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anlıfal-faz-26-raporu"/>
    <w:p>
      <w:pPr>
        <w:pStyle w:val="Heading1"/>
      </w:pPr>
      <w:r>
        <w:t xml:space="preserve">CanlıFal — Faz 26 Raporu</w:t>
      </w:r>
    </w:p>
    <w:p>
      <w:pPr>
        <w:pStyle w:val="FirstParagraph"/>
      </w:pPr>
      <w:r>
        <w:rPr>
          <w:bCs/>
          <w:b/>
        </w:rPr>
        <w:t xml:space="preserve">Kapsam:</w:t>
      </w:r>
      <w:r>
        <w:t xml:space="preserve"> </w:t>
      </w:r>
      <w:r>
        <w:t xml:space="preserve">§84 Veri Modeli Dokümanı (yenileme) + §87 Backend Test Planı (yeni)</w:t>
      </w:r>
      <w:r>
        <w:t xml:space="preserve"> </w:t>
      </w: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t xml:space="preserve"> </w:t>
      </w:r>
      <w:r>
        <w:rPr>
          <w:bCs/>
          <w:b/>
        </w:rPr>
        <w:t xml:space="preserve">Tür:</w:t>
      </w:r>
      <w:r>
        <w:t xml:space="preserve"> </w:t>
      </w:r>
      <w:r>
        <w:t xml:space="preserve">Salt dokümantasyon — uygulama kodu değişmedi, regresyon riski yok.</w:t>
      </w:r>
    </w:p>
    <w:p>
      <w:r>
        <w:pict>
          <v:rect style="width:0;height:1.5pt" o:hralign="center" o:hrstd="t" o:hr="t"/>
        </w:pict>
      </w:r>
    </w:p>
    <w:bookmarkStart w:id="20" w:name="yapılanlar"/>
    <w:p>
      <w:pPr>
        <w:pStyle w:val="Heading2"/>
      </w:pPr>
      <w:r>
        <w:t xml:space="preserve">1. Yapılanlar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 modeli dokümanı Sürüm 2.0’a yükseltildi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docs/CANLIFAL_DATA_MODEL.md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Yeniden yazıldı (317 → 553 satır)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test planı oluşturuldu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docs/CANLIFAL_BACKEND_TEST_PLAN.md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(289 satır)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raporu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docs/CANLIFAL_PHASE26_REPORT.md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veri-modeli-dokümanı-sürüm-2.0"/>
    <w:p>
      <w:pPr>
        <w:pStyle w:val="Heading2"/>
      </w:pPr>
      <w:r>
        <w:t xml:space="preserve">2. §84 — Veri Modeli Dokümanı Sürüm 2.0</w:t>
      </w:r>
    </w:p>
    <w:p>
      <w:pPr>
        <w:pStyle w:val="FirstParagraph"/>
      </w:pPr>
      <w:r>
        <w:t xml:space="preserve">Sürüm 1.0, Faz 1 envanteriydi: 198 model listesi ve</w:t>
      </w:r>
      <w:r>
        <w:t xml:space="preserve"> </w:t>
      </w:r>
      <w:r>
        <w:t xml:space="preserve">“</w:t>
      </w:r>
      <w:r>
        <w:t xml:space="preserve">eksikler</w:t>
      </w:r>
      <w:r>
        <w:t xml:space="preserve">”</w:t>
      </w:r>
      <w:r>
        <w:t xml:space="preserve"> </w:t>
      </w:r>
      <w:r>
        <w:t xml:space="preserve">tablosu. Bugün geçersizdi.</w:t>
      </w:r>
    </w:p>
    <w:bookmarkStart w:id="21" w:name="güncellenen-sayılar"/>
    <w:p>
      <w:pPr>
        <w:pStyle w:val="Heading3"/>
      </w:pPr>
      <w:r>
        <w:t xml:space="preserve">Güncellenen sayılar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Sürüm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Sürüm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İlişki alanı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306</w:t>
            </w:r>
          </w:p>
        </w:tc>
      </w:tr>
    </w:tbl>
    <w:bookmarkEnd w:id="21"/>
    <w:bookmarkStart w:id="22" w:name="eklenen-bölümler"/>
    <w:p>
      <w:pPr>
        <w:pStyle w:val="Heading3"/>
      </w:pPr>
      <w:r>
        <w:t xml:space="preserve">Eklenen bölümler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Bölüm 3 — İlişki Haritası.</w:t>
      </w:r>
      <w:r>
        <w:t xml:space="preserve"> </w:t>
      </w:r>
      <w:r>
        <w:t xml:space="preserve">§84’ün asıl istediği kısım: entity ilişkilerinin açıklanması.</w:t>
      </w:r>
    </w:p>
    <w:p>
      <w:pPr>
        <w:numPr>
          <w:ilvl w:val="1"/>
          <w:numId w:val="1002"/>
        </w:numPr>
        <w:pStyle w:val="Compact"/>
      </w:pPr>
      <w:r>
        <w:t xml:space="preserve">3.1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merkezli yıldız topoloji (74 ilişki alanı) ve pratik sonuçları</w:t>
      </w:r>
    </w:p>
    <w:p>
      <w:pPr>
        <w:numPr>
          <w:ilvl w:val="1"/>
          <w:numId w:val="1002"/>
        </w:numPr>
        <w:pStyle w:val="Compact"/>
      </w:pPr>
      <w:r>
        <w:t xml:space="preserve">3.2 Yedi çekirdek zincir, şema diyagramlarıyla: falcı seansı, sesli oda, video yayın, hediye/gelir dağıtımı, cüzdan/para çekme, sosyal akış, PK/takım/turnuva</w:t>
      </w:r>
    </w:p>
    <w:p>
      <w:pPr>
        <w:numPr>
          <w:ilvl w:val="1"/>
          <w:numId w:val="1002"/>
        </w:numPr>
        <w:pStyle w:val="Compact"/>
      </w:pPr>
      <w:r>
        <w:t xml:space="preserve">3.3 Kendine referanslı ilişkiler (3 adet: davet zinciri, düet, iç içe yorum)</w:t>
      </w:r>
    </w:p>
    <w:p>
      <w:pPr>
        <w:numPr>
          <w:ilvl w:val="1"/>
          <w:numId w:val="1002"/>
        </w:numPr>
        <w:pStyle w:val="Compact"/>
      </w:pPr>
      <w:r>
        <w:t xml:space="preserve">3.4 Açık join modelleri ve bileşik tekillik kısıtları (8 doğrulanmış tablo)</w:t>
      </w:r>
    </w:p>
    <w:p>
      <w:pPr>
        <w:numPr>
          <w:ilvl w:val="1"/>
          <w:numId w:val="1002"/>
        </w:numPr>
        <w:pStyle w:val="Compact"/>
      </w:pPr>
      <w:r>
        <w:t xml:space="preserve">3.5 Silme davranışı:</w:t>
      </w:r>
      <w:r>
        <w:t xml:space="preserve"> </w:t>
      </w:r>
      <w:r>
        <w:rPr>
          <w:bCs/>
          <w:b/>
        </w:rPr>
        <w:t xml:space="preserve">135 Cascade / 5 SetNull</w:t>
      </w:r>
      <w:r>
        <w:t xml:space="preserve">; finansal kayıtların hiçbir cascade zincirinde olmadığı kuralı</w:t>
      </w:r>
    </w:p>
    <w:p>
      <w:pPr>
        <w:numPr>
          <w:ilvl w:val="1"/>
          <w:numId w:val="1002"/>
        </w:numPr>
        <w:pStyle w:val="Compact"/>
      </w:pPr>
      <w:r>
        <w:t xml:space="preserve">3.6 Denormalize sayaçlar — hangi alanların yaklaşık olduğu, hangilerinin mutabakat için kullanılamayacağı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Bölüm 4 — Faz 3-23’te eklenen 17 model.</w:t>
      </w:r>
      <w:r>
        <w:t xml:space="preserve"> </w:t>
      </w:r>
      <w:r>
        <w:t xml:space="preserve">Sürüm 1.0’daki</w:t>
      </w:r>
      <w:r>
        <w:t xml:space="preserve"> </w:t>
      </w:r>
      <w:r>
        <w:t xml:space="preserve">“</w:t>
      </w:r>
      <w:r>
        <w:t xml:space="preserve">eksik</w:t>
      </w:r>
      <w:r>
        <w:t xml:space="preserve">”</w:t>
      </w:r>
      <w:r>
        <w:t xml:space="preserve"> </w:t>
      </w:r>
      <w:r>
        <w:t xml:space="preserve">tablosunun tamamı kapatıldı; her model hangi fazda ve hangi boşluğu kapattığı ile eşlendi.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Bölüm 5 — İndeks stratejisi.</w:t>
      </w:r>
      <w:r>
        <w:t xml:space="preserve"> </w:t>
      </w:r>
      <w:r>
        <w:t xml:space="preserve">492 indeksin beş deseni ve büyük/küçük harf duyarsız arama yasağı.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Bölüm 6 — İstemci notları.</w:t>
      </w:r>
      <w:r>
        <w:t xml:space="preserve"> </w:t>
      </w:r>
      <w:r>
        <w:t xml:space="preserve">Sayfalama modları, idempotency, sayaç alanlarının güvenilirliği,</w:t>
      </w:r>
      <w:r>
        <w:t xml:space="preserve"> </w:t>
      </w:r>
      <w:r>
        <w:rPr>
          <w:rStyle w:val="VerbatimChar"/>
        </w:rPr>
        <w:t xml:space="preserve">ownerId: null</w:t>
      </w:r>
      <w:r>
        <w:t xml:space="preserve"> </w:t>
      </w:r>
      <w:r>
        <w:t xml:space="preserve">durumu.</w:t>
      </w:r>
    </w:p>
    <w:bookmarkEnd w:id="22"/>
    <w:bookmarkStart w:id="23" w:name="şemadan-doğrulanan-düzeltmeler"/>
    <w:p>
      <w:pPr>
        <w:pStyle w:val="Heading3"/>
      </w:pPr>
      <w:r>
        <w:t xml:space="preserve">Şemadan doğrulanan düzeltmeler</w:t>
      </w:r>
    </w:p>
    <w:p>
      <w:pPr>
        <w:pStyle w:val="FirstParagraph"/>
      </w:pPr>
      <w:r>
        <w:t xml:space="preserve">Taslakta yazılan ancak şemayla uyuşmayan dört iddia,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üzerinden kontrol edilip düzeltildi: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İddia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Aksiyon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AgencyUser</w:t>
            </w:r>
            <w:r>
              <w:t xml:space="preserve"> </w:t>
            </w:r>
            <w:r>
              <w:t xml:space="preserve">bileşik unique taşır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Taşımıyor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Tablodan çıkarıldı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OkeyMatchPlayer</w:t>
            </w:r>
            <w:r>
              <w:t xml:space="preserve"> </w:t>
            </w:r>
            <w:r>
              <w:t xml:space="preserve">bileşik unique taşır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Taşımıyor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Tablodan çıkarıldı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ChatUserRole</w:t>
            </w:r>
            <w:r>
              <w:t xml:space="preserve"> </w:t>
            </w:r>
            <w:r>
              <w:t xml:space="preserve">unique =</w:t>
            </w:r>
            <w:r>
              <w:t xml:space="preserve"> </w:t>
            </w:r>
            <w:r>
              <w:rPr>
                <w:rStyle w:val="VerbatimChar"/>
              </w:rPr>
              <w:t xml:space="preserve">[userId, roomId]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[roomId, 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Düzeltildi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Denormalize sayaçlar</w:t>
            </w:r>
            <w:r>
              <w:t xml:space="preserve"> </w:t>
            </w:r>
            <w:r>
              <w:rPr>
                <w:rStyle w:val="VerbatimChar"/>
              </w:rPr>
              <w:t xml:space="preserve">ShortVideo</w:t>
            </w:r>
            <w:r>
              <w:t xml:space="preserve">/</w:t>
            </w:r>
            <w:r>
              <w:rPr>
                <w:rStyle w:val="VerbatimChar"/>
              </w:rPr>
              <w:t xml:space="preserve">SocialPost</w:t>
            </w:r>
            <w:r>
              <w:t xml:space="preserve">/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üzerinde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üç modelde sayaç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sayaç listesi yazıldı + açık uyarı eklendi</w:t>
            </w:r>
          </w:p>
        </w:tc>
      </w:tr>
    </w:tbl>
    <w:p>
      <w:pPr>
        <w:pStyle w:val="BodyText"/>
      </w:pPr>
      <w:r>
        <w:t xml:space="preserve">Ayrıca</w:t>
      </w:r>
      <w:r>
        <w:t xml:space="preserve"> </w:t>
      </w:r>
      <w:r>
        <w:rPr>
          <w:rStyle w:val="VerbatimChar"/>
        </w:rPr>
        <w:t xml:space="preserve">$transaction</w:t>
      </w:r>
      <w:r>
        <w:t xml:space="preserve"> </w:t>
      </w:r>
      <w:r>
        <w:t xml:space="preserve">sayısı, ölçülen değerle değiştirildi:</w:t>
      </w:r>
      <w:r>
        <w:t xml:space="preserve"> </w:t>
      </w:r>
      <w:r>
        <w:rPr>
          <w:bCs/>
          <w:b/>
        </w:rPr>
        <w:t xml:space="preserve">50 çağrı / 38 dosya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backend-test-planı"/>
    <w:p>
      <w:pPr>
        <w:pStyle w:val="Heading2"/>
      </w:pPr>
      <w:r>
        <w:t xml:space="preserve">3. §87 — Backend Test Planı</w:t>
      </w:r>
    </w:p>
    <w:p>
      <w:pPr>
        <w:pStyle w:val="FirstParagraph"/>
      </w:pPr>
      <w:r>
        <w:t xml:space="preserve">Spec’in istediği on sınıfın tamamı ayrı bölüm olarak yazıldı. Mevcut</w:t>
      </w:r>
      <w:r>
        <w:t xml:space="preserve"> </w:t>
      </w:r>
      <w:r>
        <w:rPr>
          <w:rStyle w:val="VerbatimChar"/>
        </w:rPr>
        <w:t xml:space="preserve">CANLIFAL_TEST_PLAN.md</w:t>
      </w:r>
      <w:r>
        <w:t xml:space="preserve"> </w:t>
      </w:r>
      <w:r>
        <w:t xml:space="preserve">API kategorisi bazlıydı; bu doküman onun yerine geçmez, yanında durur ve test</w:t>
      </w:r>
      <w:r>
        <w:t xml:space="preserve"> </w:t>
      </w:r>
      <w:r>
        <w:rPr>
          <w:bCs/>
          <w:b/>
        </w:rPr>
        <w:t xml:space="preserve">türü</w:t>
      </w:r>
      <w:r>
        <w:t xml:space="preserve"> </w:t>
      </w:r>
      <w:r>
        <w:t xml:space="preserve">ekseninde organize edilmiştir.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 sayısı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modül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akış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sözleşme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boyutlu matris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Realtime (SSE)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yarış senaryosu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mutabakat kontrolü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saldırı yolu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WebRTC signaling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ölçüm hedefi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koruma kuralı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Kritik</w:t>
            </w:r>
          </w:p>
        </w:tc>
      </w:tr>
    </w:tbl>
    <w:bookmarkStart w:id="25" w:name="plana-giren-gerçek-ölçümler"/>
    <w:p>
      <w:pPr>
        <w:pStyle w:val="Heading3"/>
      </w:pPr>
      <w:r>
        <w:t xml:space="preserve">Plana giren gerçek ölçümler</w:t>
      </w:r>
    </w:p>
    <w:p>
      <w:pPr>
        <w:pStyle w:val="FirstParagraph"/>
      </w:pPr>
      <w:r>
        <w:t xml:space="preserve">Senaryolar tahmine değil, koddan okunan değerlere dayanıyor:</w:t>
      </w:r>
    </w:p>
    <w:p>
      <w:pPr>
        <w:numPr>
          <w:ilvl w:val="0"/>
          <w:numId w:val="1003"/>
        </w:numPr>
        <w:pStyle w:val="Compact"/>
      </w:pPr>
      <w:r>
        <w:t xml:space="preserve">Rate-limit kovaları:</w:t>
      </w:r>
      <w:r>
        <w:t xml:space="preserve"> </w:t>
      </w:r>
      <w:r>
        <w:rPr>
          <w:rStyle w:val="VerbatimChar"/>
        </w:rPr>
        <w:t xml:space="preserve">lib/rate-limit-guard.ts</w:t>
      </w:r>
      <w:r>
        <w:t xml:space="preserve"> </w:t>
      </w:r>
      <w:r>
        <w:t xml:space="preserve">içinde</w:t>
      </w:r>
      <w:r>
        <w:t xml:space="preserve"> </w:t>
      </w:r>
      <w:r>
        <w:rPr>
          <w:bCs/>
          <w:b/>
        </w:rPr>
        <w:t xml:space="preserve">18 tanımlı</w:t>
      </w:r>
      <w:r>
        <w:t xml:space="preserve">, handler’larda</w:t>
      </w:r>
      <w:r>
        <w:t xml:space="preserve"> </w:t>
      </w:r>
      <w:r>
        <w:rPr>
          <w:bCs/>
          <w:b/>
        </w:rPr>
        <w:t xml:space="preserve">16 etkin kullanım</w:t>
      </w:r>
    </w:p>
    <w:p>
      <w:pPr>
        <w:numPr>
          <w:ilvl w:val="0"/>
          <w:numId w:val="1003"/>
        </w:numPr>
        <w:pStyle w:val="Compact"/>
      </w:pPr>
      <w:r>
        <w:t xml:space="preserve">Hata kodu sabiti:</w:t>
      </w:r>
      <w:r>
        <w:t xml:space="preserve"> </w:t>
      </w:r>
      <w:r>
        <w:rPr>
          <w:rStyle w:val="VerbatimChar"/>
        </w:rPr>
        <w:t xml:space="preserve">lib/api-response.ts</w:t>
      </w:r>
      <w:r>
        <w:t xml:space="preserve"> </w:t>
      </w:r>
      <w:r>
        <w:t xml:space="preserve">içinde</w:t>
      </w:r>
      <w:r>
        <w:t xml:space="preserve"> </w:t>
      </w:r>
      <w:r>
        <w:rPr>
          <w:bCs/>
          <w:b/>
        </w:rPr>
        <w:t xml:space="preserve">109</w:t>
      </w:r>
    </w:p>
    <w:p>
      <w:pPr>
        <w:numPr>
          <w:ilvl w:val="0"/>
          <w:numId w:val="1003"/>
        </w:numPr>
        <w:pStyle w:val="Compact"/>
      </w:pPr>
      <w:r>
        <w:t xml:space="preserve">SSE ucu: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 </w:t>
      </w:r>
      <w:r>
        <w:t xml:space="preserve">içeren</w:t>
      </w:r>
      <w:r>
        <w:t xml:space="preserve"> </w:t>
      </w:r>
      <w:r>
        <w:rPr>
          <w:bCs/>
          <w:b/>
        </w:rPr>
        <w:t xml:space="preserve">20 route</w:t>
      </w:r>
    </w:p>
    <w:p>
      <w:pPr>
        <w:numPr>
          <w:ilvl w:val="0"/>
          <w:numId w:val="1003"/>
        </w:numPr>
        <w:pStyle w:val="Compact"/>
      </w:pPr>
      <w:r>
        <w:t xml:space="preserve">İmleçli uç:</w:t>
      </w:r>
      <w:r>
        <w:t xml:space="preserve"> </w:t>
      </w:r>
      <w:r>
        <w:rPr>
          <w:rStyle w:val="VerbatimChar"/>
        </w:rPr>
        <w:t xml:space="preserve">parseCursorParams</w:t>
      </w:r>
      <w:r>
        <w:t xml:space="preserve"> </w:t>
      </w:r>
      <w:r>
        <w:t xml:space="preserve">kullanan</w:t>
      </w:r>
      <w:r>
        <w:t xml:space="preserve"> </w:t>
      </w:r>
      <w:r>
        <w:rPr>
          <w:bCs/>
          <w:b/>
        </w:rPr>
        <w:t xml:space="preserve">12 route</w:t>
      </w:r>
    </w:p>
    <w:p>
      <w:pPr>
        <w:numPr>
          <w:ilvl w:val="0"/>
          <w:numId w:val="1003"/>
        </w:numPr>
        <w:pStyle w:val="Compact"/>
      </w:pPr>
      <w:r>
        <w:t xml:space="preserve">İdempotent uç:</w:t>
      </w:r>
      <w:r>
        <w:t xml:space="preserve"> </w:t>
      </w:r>
      <w:r>
        <w:rPr>
          <w:rStyle w:val="VerbatimChar"/>
        </w:rPr>
        <w:t xml:space="preserve">beginIdempotent</w:t>
      </w:r>
      <w:r>
        <w:t xml:space="preserve"> </w:t>
      </w:r>
      <w:r>
        <w:t xml:space="preserve">kullanan</w:t>
      </w:r>
      <w:r>
        <w:t xml:space="preserve"> </w:t>
      </w:r>
      <w:r>
        <w:rPr>
          <w:bCs/>
          <w:b/>
        </w:rPr>
        <w:t xml:space="preserve">11 route</w:t>
      </w:r>
    </w:p>
    <w:p>
      <w:pPr>
        <w:numPr>
          <w:ilvl w:val="0"/>
          <w:numId w:val="1003"/>
        </w:numPr>
        <w:pStyle w:val="Compact"/>
      </w:pPr>
      <w:r>
        <w:t xml:space="preserve">Transaction:</w:t>
      </w:r>
      <w:r>
        <w:t xml:space="preserve"> </w:t>
      </w:r>
      <w:r>
        <w:rPr>
          <w:bCs/>
          <w:b/>
        </w:rPr>
        <w:t xml:space="preserve">50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$transaction</w:t>
      </w:r>
      <w:r>
        <w:rPr>
          <w:bCs/>
          <w:b/>
        </w:rPr>
        <w:t xml:space="preserve"> </w:t>
      </w:r>
      <w:r>
        <w:rPr>
          <w:bCs/>
          <w:b/>
        </w:rPr>
        <w:t xml:space="preserve">çağrısı / 38 dosya</w:t>
      </w:r>
    </w:p>
    <w:bookmarkEnd w:id="25"/>
    <w:bookmarkStart w:id="26" w:name="altın-kural"/>
    <w:p>
      <w:pPr>
        <w:pStyle w:val="Heading3"/>
      </w:pPr>
      <w:r>
        <w:t xml:space="preserve">Altın kural</w:t>
      </w:r>
    </w:p>
    <w:p>
      <w:pPr>
        <w:pStyle w:val="FirstParagraph"/>
      </w:pPr>
      <w:r>
        <w:t xml:space="preserve">Paylaşımlı veritabanı nedeniyle plan, toplu veri silme içeren hiçbir test adımı önermez. Her senaryo kendi kayıtlarını üretir.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oğrulama"/>
    <w:p>
      <w:pPr>
        <w:pStyle w:val="Heading2"/>
      </w:pPr>
      <w:r>
        <w:t xml:space="preserve">4. Doğrulama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Uygulama kodu değişikliği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 (0 dosya)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Şema değişikliği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Sayısal iddiaların şemadan/koddan doğrulanması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Tamamlandı; 4 hatalı iddia düzeltildi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Tarayıcı UI testi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Yapılmadı (gerekmiyor — kod değişmedi)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Dağıtım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Yapılmadı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envanter-değişmedi"/>
    <w:p>
      <w:pPr>
        <w:pStyle w:val="Heading2"/>
      </w:pPr>
      <w:r>
        <w:t xml:space="preserve">5. Envanter (değişmedi)</w:t>
      </w:r>
    </w:p>
    <w:p>
      <w:pPr>
        <w:pStyle w:val="FirstParagraph"/>
      </w:pPr>
      <w:r>
        <w:t xml:space="preserve">780 handler · 502 path · 172 kategori · 215 model · 109 hata kodu · 20 SSE ucu · 18 rate-limit kovası · 12 imleçli uç · 11 idempotent uç · 50 transaction çağrısı.</w:t>
      </w:r>
    </w:p>
    <w:p>
      <w:r>
        <w:pict>
          <v:rect style="width:0;height:1.5pt" o:hralign="center" o:hrstd="t" o:hr="t"/>
        </w:pict>
      </w:r>
    </w:p>
    <w:bookmarkEnd w:id="29"/>
    <w:bookmarkStart w:id="30" w:name="sıradaki-adım"/>
    <w:p>
      <w:pPr>
        <w:pStyle w:val="Heading2"/>
      </w:pPr>
      <w:r>
        <w:t xml:space="preserve">6. Sıradaki Adım</w:t>
      </w:r>
    </w:p>
    <w:p>
      <w:pPr>
        <w:pStyle w:val="FirstParagraph"/>
      </w:pPr>
      <w:r>
        <w:t xml:space="preserve">§88 — Flutter’a Teslim Edilecek Paket: teslim kontrol listesinin 11+ maddesinin hangilerinin hazır, hangilerinin eksik olduğunu tek tabloda gösteren kapanış dokümanı.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2026-08-27T19:47:34Z</dcterms:created>
  <dcterms:modified xsi:type="dcterms:W3CDTF">2026-08-27T19:47:34Z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