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84B" w:rsidRPr="00A00847" w:rsidRDefault="00B5387C">
      <w:pPr>
        <w:pStyle w:val="Standard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0847">
        <w:rPr>
          <w:rFonts w:ascii="Arial" w:hAnsi="Arial" w:cs="Arial"/>
          <w:b/>
          <w:bCs/>
          <w:color w:val="000000"/>
          <w:sz w:val="32"/>
          <w:szCs w:val="32"/>
        </w:rPr>
        <w:t>QA-assignment-1_2</w:t>
      </w:r>
    </w:p>
    <w:p w:rsidR="003F2CAB" w:rsidRDefault="003F2CAB">
      <w:pPr>
        <w:pStyle w:val="NormalWeb"/>
        <w:spacing w:before="0" w:after="0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3F2CAB" w:rsidRDefault="003F2CAB">
      <w:pPr>
        <w:pStyle w:val="NormalWeb"/>
        <w:spacing w:before="0" w:after="0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3F2CAB" w:rsidRDefault="003F2CAB" w:rsidP="003F2CA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Assignment-1</w:t>
      </w: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476CE4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Answer-1:</w:t>
      </w: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bookmarkStart w:id="0" w:name="docs-internal-guid-005b3aae-7fff-64e6-43"/>
      <w:bookmarkEnd w:id="0"/>
    </w:p>
    <w:p w:rsidR="0005184B" w:rsidRDefault="00476CE4">
      <w:pPr>
        <w:pStyle w:val="Textbody"/>
        <w:numPr>
          <w:ilvl w:val="0"/>
          <w:numId w:val="4"/>
        </w:numPr>
        <w:spacing w:after="0" w:line="39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Any clarification required in user story acceptance criteria.</w:t>
      </w:r>
    </w:p>
    <w:p w:rsidR="0005184B" w:rsidRDefault="00476CE4" w:rsidP="00AC57DF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Is money to be refunded, if the user cancels the </w:t>
      </w:r>
      <w:r>
        <w:rPr>
          <w:rFonts w:ascii="Arial" w:hAnsi="Arial" w:cs="Arial"/>
          <w:color w:val="000000"/>
          <w:sz w:val="22"/>
          <w:szCs w:val="22"/>
        </w:rPr>
        <w:t>ticket on the same day of the journey? If yes, then how much per cent of the ticket amount will be refunded?</w:t>
      </w:r>
    </w:p>
    <w:p w:rsidR="0005184B" w:rsidRDefault="00476CE4" w:rsidP="00AC57DF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will be the mode of payment of refund amount?</w:t>
      </w:r>
    </w:p>
    <w:p w:rsidR="0005184B" w:rsidRDefault="00476CE4" w:rsidP="00AC57DF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will be the format of cancellation mail or message sent to the user?</w:t>
      </w:r>
    </w:p>
    <w:p w:rsidR="0005184B" w:rsidRDefault="00476CE4" w:rsidP="00AC57DF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Upper limit of the can</w:t>
      </w:r>
      <w:r>
        <w:rPr>
          <w:rFonts w:ascii="Arial" w:hAnsi="Arial" w:cs="Arial"/>
          <w:color w:val="000000"/>
          <w:sz w:val="22"/>
          <w:szCs w:val="22"/>
        </w:rPr>
        <w:t>cellation duration has to be included in which range?</w:t>
      </w:r>
    </w:p>
    <w:p w:rsidR="0005184B" w:rsidRDefault="0005184B">
      <w:pPr>
        <w:pStyle w:val="NormalWeb"/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</w:p>
    <w:p w:rsidR="0005184B" w:rsidRDefault="00AC57DF" w:rsidP="00AC57DF">
      <w:pPr>
        <w:pStyle w:val="Textbody"/>
        <w:numPr>
          <w:ilvl w:val="0"/>
          <w:numId w:val="18"/>
        </w:numPr>
        <w:spacing w:after="0" w:line="396" w:lineRule="auto"/>
        <w:rPr>
          <w:rFonts w:ascii="Arial" w:hAnsi="Arial" w:cs="Arial"/>
          <w:color w:val="000000"/>
          <w:sz w:val="22"/>
          <w:szCs w:val="22"/>
        </w:rPr>
      </w:pPr>
      <w:bookmarkStart w:id="1" w:name="docs-internal-guid-0a4045d1-7fff-d7fb-e9"/>
      <w:bookmarkEnd w:id="1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76CE4">
        <w:rPr>
          <w:rFonts w:ascii="Arial" w:hAnsi="Arial" w:cs="Arial"/>
          <w:color w:val="000000"/>
          <w:sz w:val="22"/>
          <w:szCs w:val="22"/>
        </w:rPr>
        <w:t xml:space="preserve">Any questions for the scope of the requirements.  </w:t>
      </w:r>
    </w:p>
    <w:p w:rsidR="0005184B" w:rsidRDefault="00476CE4" w:rsidP="00A50275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Is there any other means of communication to be provided to inform the user about successful/ failed cancellation of the ticket like through message </w:t>
      </w:r>
      <w:r>
        <w:rPr>
          <w:rFonts w:ascii="Arial" w:hAnsi="Arial" w:cs="Arial"/>
          <w:color w:val="000000"/>
          <w:sz w:val="22"/>
          <w:szCs w:val="22"/>
        </w:rPr>
        <w:t xml:space="preserve">on phone number, </w:t>
      </w:r>
      <w:r w:rsidR="00A50275">
        <w:rPr>
          <w:rFonts w:ascii="Arial" w:hAnsi="Arial" w:cs="Arial"/>
          <w:color w:val="000000"/>
          <w:sz w:val="22"/>
          <w:szCs w:val="22"/>
        </w:rPr>
        <w:t>etc.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:rsidR="0005184B" w:rsidRDefault="00476CE4" w:rsidP="00A50275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we need to show successful ticket cancellation message on screen?</w:t>
      </w:r>
    </w:p>
    <w:p w:rsidR="0005184B" w:rsidRDefault="00476CE4" w:rsidP="00A50275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How will the money be refunded if ticket has been booked online or offline, i.e. in either of the cases?</w:t>
      </w:r>
    </w:p>
    <w:p w:rsidR="0005184B" w:rsidRDefault="00476CE4" w:rsidP="00A50275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the process of money transfer, if the person </w:t>
      </w:r>
      <w:r>
        <w:rPr>
          <w:rFonts w:ascii="Arial" w:hAnsi="Arial" w:cs="Arial"/>
          <w:color w:val="000000"/>
          <w:sz w:val="22"/>
          <w:szCs w:val="22"/>
        </w:rPr>
        <w:t>doesn’t have a bank account?</w:t>
      </w:r>
    </w:p>
    <w:p w:rsidR="0005184B" w:rsidRDefault="00476CE4" w:rsidP="00A50275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if cancellation is not successful? Do we need to send any mail in that case also?</w:t>
      </w:r>
    </w:p>
    <w:p w:rsidR="0005184B" w:rsidRDefault="00476CE4" w:rsidP="00A50275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can the user approach, if he doesn’t get his refund amount back?</w:t>
      </w:r>
    </w:p>
    <w:p w:rsidR="0005184B" w:rsidRDefault="00476CE4" w:rsidP="00A50275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</w:t>
      </w:r>
      <w:r w:rsidR="003B15F8">
        <w:rPr>
          <w:rFonts w:ascii="Arial" w:hAnsi="Arial" w:cs="Arial"/>
          <w:color w:val="000000"/>
          <w:sz w:val="22"/>
          <w:szCs w:val="22"/>
        </w:rPr>
        <w:t>are</w:t>
      </w:r>
      <w:r>
        <w:rPr>
          <w:rFonts w:ascii="Arial" w:hAnsi="Arial" w:cs="Arial"/>
          <w:color w:val="000000"/>
          <w:sz w:val="22"/>
          <w:szCs w:val="22"/>
        </w:rPr>
        <w:t xml:space="preserve"> the specified deadline or time limit/ </w:t>
      </w:r>
      <w:r w:rsidR="00A50275">
        <w:rPr>
          <w:rFonts w:ascii="Arial" w:hAnsi="Arial" w:cs="Arial"/>
          <w:color w:val="000000"/>
          <w:sz w:val="22"/>
          <w:szCs w:val="22"/>
        </w:rPr>
        <w:t>duration to</w:t>
      </w:r>
      <w:r>
        <w:rPr>
          <w:rFonts w:ascii="Arial" w:hAnsi="Arial" w:cs="Arial"/>
          <w:color w:val="000000"/>
          <w:sz w:val="22"/>
          <w:szCs w:val="22"/>
        </w:rPr>
        <w:t xml:space="preserve"> get ticket c</w:t>
      </w:r>
      <w:r>
        <w:rPr>
          <w:rFonts w:ascii="Arial" w:hAnsi="Arial" w:cs="Arial"/>
          <w:color w:val="000000"/>
          <w:sz w:val="22"/>
          <w:szCs w:val="22"/>
        </w:rPr>
        <w:t>ancellation refund amount?</w:t>
      </w:r>
    </w:p>
    <w:p w:rsidR="0005184B" w:rsidRDefault="00476CE4" w:rsidP="00A50275">
      <w:pPr>
        <w:pStyle w:val="NormalWeb"/>
        <w:numPr>
          <w:ilvl w:val="1"/>
          <w:numId w:val="18"/>
        </w:numPr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if the </w:t>
      </w:r>
      <w:r w:rsidR="00A50275">
        <w:rPr>
          <w:rFonts w:ascii="Arial" w:hAnsi="Arial" w:cs="Arial"/>
          <w:color w:val="000000"/>
          <w:sz w:val="22"/>
          <w:szCs w:val="22"/>
        </w:rPr>
        <w:t>user doesn’t</w:t>
      </w:r>
      <w:r>
        <w:rPr>
          <w:rFonts w:ascii="Arial" w:hAnsi="Arial" w:cs="Arial"/>
          <w:color w:val="000000"/>
          <w:sz w:val="22"/>
          <w:szCs w:val="22"/>
        </w:rPr>
        <w:t xml:space="preserve"> have any email id?</w:t>
      </w: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476CE4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Answer-2:</w:t>
      </w: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476CE4">
      <w:pPr>
        <w:pStyle w:val="Standard"/>
        <w:rPr>
          <w:rFonts w:ascii="Arial" w:hAnsi="Arial" w:cs="Arial"/>
          <w:b/>
          <w:bCs/>
          <w:color w:val="000000"/>
          <w:sz w:val="30"/>
          <w:szCs w:val="30"/>
          <w:u w:val="single"/>
        </w:rPr>
      </w:pPr>
      <w:bookmarkStart w:id="2" w:name="docs-internal-guid-2625f978-7fff-17f0-38"/>
      <w:bookmarkEnd w:id="2"/>
      <w:r>
        <w:rPr>
          <w:rFonts w:ascii="Arial" w:hAnsi="Arial" w:cs="Arial"/>
          <w:b/>
          <w:bCs/>
          <w:color w:val="000000"/>
          <w:sz w:val="30"/>
          <w:szCs w:val="30"/>
          <w:u w:val="single"/>
        </w:rPr>
        <w:t>Test Coverage Scenarios</w:t>
      </w: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</w:rPr>
      </w:pP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</w:rPr>
      </w:pPr>
    </w:p>
    <w:p w:rsidR="0005184B" w:rsidRDefault="00476CE4">
      <w:pPr>
        <w:pStyle w:val="Standard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Positive test coverage scenario:-</w:t>
      </w: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5184B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coverage scenario 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Ticket cancellation date &gt;</w:t>
            </w:r>
            <w:r>
              <w:t xml:space="preserve"> Current date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Find difference between journey date and ticket cancellation date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1.1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&gt;=60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70%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1.2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60 to 30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1.3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30 to 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35%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1.4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10 to 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20% refund</w:t>
            </w:r>
          </w:p>
        </w:tc>
      </w:tr>
    </w:tbl>
    <w:p w:rsidR="0005184B" w:rsidRDefault="0005184B">
      <w:pPr>
        <w:pStyle w:val="Standard"/>
        <w:rPr>
          <w:rFonts w:ascii="Arial" w:hAnsi="Arial" w:cs="Arial"/>
          <w:b/>
          <w:bCs/>
          <w:color w:val="000000"/>
        </w:rPr>
      </w:pP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476CE4">
      <w:pPr>
        <w:pStyle w:val="Standard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Negative test coverage scenario:-</w:t>
      </w: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5184B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coverage scenario 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Ticket cancellation date &lt; Current date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Invalid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1.1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&gt; journey date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Invalid</w:t>
            </w:r>
          </w:p>
        </w:tc>
      </w:tr>
    </w:tbl>
    <w:p w:rsidR="0005184B" w:rsidRDefault="0005184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476CE4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Answer-3:</w:t>
      </w: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Pr="003F2CAB" w:rsidRDefault="00476CE4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bookmarkStart w:id="3" w:name="docs-internal-guid-2e668e2b-7fff-4aa2-61"/>
      <w:bookmarkEnd w:id="3"/>
      <w:r w:rsidRPr="003F2CA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Test Cases for the Refund Amount calculations:-</w:t>
      </w: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05184B" w:rsidRDefault="0005184B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</w:rPr>
      </w:pPr>
    </w:p>
    <w:p w:rsidR="0005184B" w:rsidRDefault="0005184B">
      <w:pPr>
        <w:pStyle w:val="NormalWeb"/>
        <w:spacing w:before="0" w:after="0"/>
        <w:jc w:val="center"/>
        <w:rPr>
          <w:rFonts w:ascii="Arial" w:hAnsi="Arial" w:cs="Arial"/>
          <w:color w:val="000000"/>
          <w:sz w:val="22"/>
          <w:szCs w:val="22"/>
        </w:rPr>
      </w:pPr>
    </w:p>
    <w:tbl>
      <w:tblPr>
        <w:tblW w:w="993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5"/>
        <w:gridCol w:w="1454"/>
        <w:gridCol w:w="1590"/>
        <w:gridCol w:w="911"/>
        <w:gridCol w:w="1690"/>
        <w:gridCol w:w="1869"/>
        <w:gridCol w:w="1291"/>
      </w:tblGrid>
      <w:tr w:rsidR="0005184B">
        <w:tblPrEx>
          <w:tblCellMar>
            <w:top w:w="0" w:type="dxa"/>
            <w:bottom w:w="0" w:type="dxa"/>
          </w:tblCellMar>
        </w:tblPrEx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TableHeading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TableHeading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case summary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TableHeading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case description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TableHeading"/>
            </w:pPr>
            <w:r>
              <w:t>Prerequisite for test case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TableHeading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TableHeading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TableHeading"/>
            </w:pPr>
            <w:r>
              <w:t>Test case result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tabs>
                <w:tab w:val="left" w:pos="0"/>
              </w:tabs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user cancels ticket 60 days prior to journey date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test that 70% of the amount of ticket is refunded when user cancels the ticket 60 days prior to the journey date.</w:t>
            </w:r>
          </w:p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It is assumed the user is logged into the system.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User log-in in the system.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numPr>
                <w:ilvl w:val="0"/>
                <w:numId w:val="14"/>
              </w:numPr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on </w:t>
            </w:r>
            <w:bookmarkStart w:id="4" w:name="docs-internal-guid-15649f9f-7fff-016c-bc"/>
            <w:bookmarkEnd w:id="4"/>
            <w:r>
              <w:rPr>
                <w:rFonts w:ascii="Arial" w:hAnsi="Arial" w:cs="Arial"/>
                <w:color w:val="000000"/>
                <w:sz w:val="22"/>
                <w:szCs w:val="22"/>
              </w:rPr>
              <w:t>Cancel Ticket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button.</w:t>
            </w:r>
          </w:p>
          <w:p w:rsidR="0005184B" w:rsidRDefault="00476CE4">
            <w:pPr>
              <w:pStyle w:val="NormalWeb"/>
              <w:numPr>
                <w:ilvl w:val="0"/>
                <w:numId w:val="1"/>
              </w:numPr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Get all the ticket whose </w:t>
            </w:r>
            <w:bookmarkStart w:id="5" w:name="docs-internal-guid-f6672d43-7fff-d5e2-31"/>
            <w:bookmarkEnd w:id="5"/>
            <w:r>
              <w:rPr>
                <w:rFonts w:ascii="Arial" w:hAnsi="Arial" w:cs="Arial"/>
                <w:color w:val="000000"/>
                <w:sz w:val="22"/>
                <w:szCs w:val="22"/>
              </w:rPr>
              <w:t>journey date is previous than current date.</w:t>
            </w:r>
          </w:p>
          <w:p w:rsidR="0005184B" w:rsidRDefault="00476CE4">
            <w:pPr>
              <w:pStyle w:val="NormalWeb"/>
              <w:numPr>
                <w:ilvl w:val="0"/>
                <w:numId w:val="1"/>
              </w:numPr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Cancel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ticket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70% of amount should be refunded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70% of amount  refunded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user cancels the ticket between 60-30 days prior to journey date</w:t>
            </w:r>
          </w:p>
          <w:p w:rsidR="0005184B" w:rsidRDefault="0005184B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To test that 50% of the amount of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ticket is refunded when user cancels the ticket 60-30 days prior to the journey date.</w:t>
            </w:r>
          </w:p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 is assumed the user is logged into the system.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log-in in the system.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Same as above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50% of  amount should be refunded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50% of  amount  refunded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user cancels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the ticket between 30-10 days</w:t>
            </w:r>
          </w:p>
          <w:p w:rsidR="0005184B" w:rsidRDefault="00476CE4">
            <w:pPr>
              <w:pStyle w:val="NormalWeb"/>
              <w:spacing w:before="0" w:after="0"/>
              <w:jc w:val="center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test that 35% of the amount of ticket is refunded when user cancels the ticket 30-10 days prior to the journey date.</w:t>
            </w:r>
          </w:p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 is assumed the user is logged into the system.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log-in in the system.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Same as above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35% of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amount should be refunded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35% of  amount  refunded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user cancels the ticket between 10-1 days</w:t>
            </w:r>
          </w:p>
          <w:p w:rsidR="0005184B" w:rsidRDefault="00476CE4">
            <w:pPr>
              <w:pStyle w:val="NormalWeb"/>
              <w:spacing w:before="0" w:after="0"/>
              <w:jc w:val="center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test that 20% of the amount of ticket is refunded when user cancels the ticket 10-1 days prior to the journey date.</w:t>
            </w:r>
          </w:p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 is assumed the user is logged i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nto the system.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log-in in the system.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Same as above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20% of amount should be refunded.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84B" w:rsidRDefault="00476CE4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20% of  amount  refunded</w:t>
            </w:r>
          </w:p>
        </w:tc>
      </w:tr>
    </w:tbl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476CE4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Answer-4:</w:t>
      </w: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476CE4">
      <w:pPr>
        <w:pStyle w:val="Standard"/>
        <w:numPr>
          <w:ilvl w:val="0"/>
          <w:numId w:val="15"/>
        </w:numPr>
        <w:rPr>
          <w:b/>
        </w:rPr>
      </w:pPr>
      <w:r>
        <w:rPr>
          <w:rFonts w:ascii="Arial" w:hAnsi="Arial" w:cs="Arial"/>
          <w:b/>
          <w:bCs/>
          <w:color w:val="000000"/>
        </w:rPr>
        <w:t xml:space="preserve">Use boundary Value analysis technique and provide the set of </w:t>
      </w:r>
      <w:r>
        <w:rPr>
          <w:rFonts w:ascii="Arial" w:hAnsi="Arial"/>
          <w:color w:val="000000"/>
        </w:rPr>
        <w:t>data which you will take for testing.</w:t>
      </w:r>
    </w:p>
    <w:p w:rsidR="0005184B" w:rsidRDefault="0005184B">
      <w:pPr>
        <w:pStyle w:val="Standard"/>
        <w:rPr>
          <w:rFonts w:ascii="Arial" w:hAnsi="Arial"/>
          <w:color w:val="000000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>Range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>Limit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>Value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>Expected</w:t>
            </w:r>
            <w:r>
              <w:t xml:space="preserve"> output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&gt;=60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61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70%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60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70%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59 to 30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Upper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60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70%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31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35%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29 to 10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Upper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 xml:space="preserve">35% </w:t>
            </w:r>
            <w:r>
              <w:t>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35%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35%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35%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9 to 1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Upper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35%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20% refund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76CE4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invalid</w:t>
            </w:r>
          </w:p>
        </w:tc>
      </w:tr>
    </w:tbl>
    <w:p w:rsidR="0005184B" w:rsidRDefault="00476CE4">
      <w:pPr>
        <w:pStyle w:val="Textbody"/>
      </w:pPr>
      <w:r>
        <w:br/>
      </w:r>
    </w:p>
    <w:p w:rsidR="0005184B" w:rsidRDefault="00476CE4">
      <w:pPr>
        <w:pStyle w:val="Textbody"/>
      </w:pPr>
      <w:bookmarkStart w:id="6" w:name="docs-internal-guid-41b60fab-7fff-b488-a9"/>
      <w:bookmarkEnd w:id="6"/>
      <w:r>
        <w:rPr>
          <w:rFonts w:ascii="Arial" w:hAnsi="Arial" w:cs="Arial"/>
          <w:color w:val="000000"/>
        </w:rPr>
        <w:t xml:space="preserve">    </w:t>
      </w:r>
    </w:p>
    <w:p w:rsidR="0005184B" w:rsidRDefault="0005184B">
      <w:pPr>
        <w:pStyle w:val="Textbody"/>
      </w:pPr>
    </w:p>
    <w:p w:rsidR="0005184B" w:rsidRDefault="0005184B">
      <w:pPr>
        <w:pStyle w:val="Textbody"/>
      </w:pPr>
    </w:p>
    <w:p w:rsidR="0005184B" w:rsidRDefault="0005184B">
      <w:pPr>
        <w:pStyle w:val="Textbody"/>
      </w:pPr>
    </w:p>
    <w:p w:rsidR="0005184B" w:rsidRDefault="0005184B">
      <w:pPr>
        <w:pStyle w:val="Textbody"/>
      </w:pPr>
    </w:p>
    <w:p w:rsidR="0005184B" w:rsidRDefault="0005184B">
      <w:pPr>
        <w:pStyle w:val="Textbody"/>
      </w:pPr>
    </w:p>
    <w:p w:rsidR="0005184B" w:rsidRDefault="00476CE4">
      <w:pPr>
        <w:pStyle w:val="Textbody"/>
      </w:pPr>
      <w:r>
        <w:rPr>
          <w:rFonts w:ascii="Arial" w:hAnsi="Arial" w:cs="Arial"/>
          <w:color w:val="000000"/>
        </w:rPr>
        <w:t xml:space="preserve">b.) Use equivalence partitioning </w:t>
      </w:r>
      <w:r>
        <w:rPr>
          <w:rFonts w:ascii="Arial" w:hAnsi="Arial" w:cs="Arial"/>
          <w:color w:val="000000"/>
        </w:rPr>
        <w:t xml:space="preserve">technique and create test data </w:t>
      </w:r>
      <w:r>
        <w:rPr>
          <w:rFonts w:ascii="Arial" w:hAnsi="Arial"/>
          <w:color w:val="000000"/>
        </w:rPr>
        <w:t>which you will use for    testing.</w:t>
      </w:r>
    </w:p>
    <w:p w:rsidR="0005184B" w:rsidRDefault="0005184B">
      <w:pPr>
        <w:pStyle w:val="Textbody"/>
        <w:rPr>
          <w:rFonts w:ascii="Arial" w:hAnsi="Arial"/>
          <w:color w:val="000000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>Range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>Invalid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>Valid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>Invalid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&gt;=60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60, 67,70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91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59 to 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59, 40, 45, 30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60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29 to 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29, 20, 19, 10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30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9 to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9, 5, 3, 1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10</w:t>
            </w:r>
          </w:p>
        </w:tc>
      </w:tr>
    </w:tbl>
    <w:p w:rsidR="0005184B" w:rsidRDefault="00476CE4">
      <w:pPr>
        <w:pStyle w:val="Textbody"/>
      </w:pPr>
      <w:r>
        <w:rPr>
          <w:rFonts w:ascii="Arial" w:hAnsi="Arial"/>
          <w:color w:val="000000"/>
          <w:sz w:val="18"/>
          <w:szCs w:val="18"/>
        </w:rPr>
        <w:t>* Assume 90 is upper limit for range &gt;60.</w:t>
      </w:r>
      <w:r>
        <w:br/>
      </w:r>
    </w:p>
    <w:p w:rsidR="0005184B" w:rsidRDefault="00476CE4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Assignment-2</w:t>
      </w:r>
      <w:bookmarkStart w:id="7" w:name="_GoBack"/>
      <w:bookmarkEnd w:id="7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</w:t>
      </w: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5184B" w:rsidRDefault="00476CE4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Here conditions &amp; actions are specified as follows:-</w:t>
      </w:r>
    </w:p>
    <w:p w:rsidR="0005184B" w:rsidRDefault="0005184B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</w:rPr>
      </w:pPr>
    </w:p>
    <w:p w:rsidR="0005184B" w:rsidRDefault="00476CE4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Conditions</w:t>
      </w:r>
    </w:p>
    <w:p w:rsidR="0005184B" w:rsidRDefault="00476CE4">
      <w:pPr>
        <w:pStyle w:val="NormalWeb"/>
        <w:numPr>
          <w:ilvl w:val="0"/>
          <w:numId w:val="16"/>
        </w:numPr>
        <w:spacing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type (Values: Wholesaler and Retailer)</w:t>
      </w:r>
    </w:p>
    <w:p w:rsidR="0005184B" w:rsidRDefault="00476CE4"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Cash on Delivery (COD) (Values: Yes and No)</w:t>
      </w:r>
    </w:p>
    <w:p w:rsidR="0005184B" w:rsidRDefault="00476CE4"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Number of Units</w:t>
      </w:r>
    </w:p>
    <w:p w:rsidR="0005184B" w:rsidRDefault="0005184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5184B" w:rsidRDefault="00476CE4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Actions</w:t>
      </w:r>
    </w:p>
    <w:p w:rsidR="0005184B" w:rsidRDefault="00476CE4">
      <w:pPr>
        <w:pStyle w:val="NormalWeb"/>
        <w:numPr>
          <w:ilvl w:val="0"/>
          <w:numId w:val="17"/>
        </w:numPr>
        <w:spacing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discount</w:t>
      </w:r>
    </w:p>
    <w:p w:rsidR="0005184B" w:rsidRDefault="00476CE4"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2% discount</w:t>
      </w:r>
    </w:p>
    <w:p w:rsidR="0005184B" w:rsidRDefault="00476CE4">
      <w:pPr>
        <w:pStyle w:val="Standard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Additional 2% discount</w:t>
      </w:r>
    </w:p>
    <w:p w:rsidR="0005184B" w:rsidRDefault="0005184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9"/>
        <w:gridCol w:w="986"/>
        <w:gridCol w:w="1108"/>
        <w:gridCol w:w="1108"/>
        <w:gridCol w:w="1108"/>
        <w:gridCol w:w="1108"/>
        <w:gridCol w:w="1108"/>
        <w:gridCol w:w="1108"/>
        <w:gridCol w:w="1112"/>
      </w:tblGrid>
      <w:tr w:rsidR="0005184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 xml:space="preserve">Type of </w:t>
            </w:r>
            <w:r>
              <w:t>customer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Retailer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Retailer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Retailer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Retailer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12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>Cash on delivery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no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12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>Number of items/ units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&gt;=50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&gt;=50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&gt;=50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&gt;=50</w:t>
            </w:r>
          </w:p>
        </w:tc>
      </w:tr>
      <w:tr w:rsidR="0005184B">
        <w:tblPrEx>
          <w:tblCellMar>
            <w:top w:w="0" w:type="dxa"/>
            <w:bottom w:w="0" w:type="dxa"/>
          </w:tblCellMar>
        </w:tblPrEx>
        <w:tc>
          <w:tcPr>
            <w:tcW w:w="12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Heading"/>
            </w:pPr>
            <w:r>
              <w:t>Total discount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4.00%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6.00%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4.00%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4.00%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0.00%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4B" w:rsidRDefault="00476CE4">
            <w:pPr>
              <w:pStyle w:val="TableContents"/>
              <w:jc w:val="center"/>
            </w:pPr>
            <w:r>
              <w:t>2.00%</w:t>
            </w:r>
          </w:p>
        </w:tc>
      </w:tr>
    </w:tbl>
    <w:p w:rsidR="0005184B" w:rsidRDefault="0005184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sectPr w:rsidR="0005184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CE4" w:rsidRDefault="00476CE4">
      <w:r>
        <w:separator/>
      </w:r>
    </w:p>
  </w:endnote>
  <w:endnote w:type="continuationSeparator" w:id="0">
    <w:p w:rsidR="00476CE4" w:rsidRDefault="0047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CE4" w:rsidRDefault="00476CE4">
      <w:r>
        <w:rPr>
          <w:color w:val="000000"/>
        </w:rPr>
        <w:separator/>
      </w:r>
    </w:p>
  </w:footnote>
  <w:footnote w:type="continuationSeparator" w:id="0">
    <w:p w:rsidR="00476CE4" w:rsidRDefault="00476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F27"/>
    <w:multiLevelType w:val="multilevel"/>
    <w:tmpl w:val="8376C22C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CE27BEB"/>
    <w:multiLevelType w:val="multilevel"/>
    <w:tmpl w:val="9934E8AE"/>
    <w:lvl w:ilvl="0">
      <w:start w:val="1"/>
      <w:numFmt w:val="lowerLetter"/>
      <w:lvlText w:val="%1)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>
    <w:nsid w:val="1E252267"/>
    <w:multiLevelType w:val="multilevel"/>
    <w:tmpl w:val="0096F3F6"/>
    <w:lvl w:ilvl="0">
      <w:start w:val="1"/>
      <w:numFmt w:val="lowerLetter"/>
      <w:lvlText w:val="%1)"/>
      <w:lvlJc w:val="left"/>
    </w:lvl>
    <w:lvl w:ilvl="1">
      <w:numFmt w:val="bullet"/>
      <w:lvlText w:val="●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>
    <w:nsid w:val="28B9010B"/>
    <w:multiLevelType w:val="multilevel"/>
    <w:tmpl w:val="4A6C6B34"/>
    <w:lvl w:ilvl="0">
      <w:start w:val="1"/>
      <w:numFmt w:val="lowerLetter"/>
      <w:lvlText w:val="%1)"/>
      <w:lvlJc w:val="left"/>
    </w:lvl>
    <w:lvl w:ilvl="1">
      <w:numFmt w:val="bullet"/>
      <w:lvlText w:val="●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>
    <w:nsid w:val="29183C17"/>
    <w:multiLevelType w:val="multilevel"/>
    <w:tmpl w:val="E9BE9B46"/>
    <w:lvl w:ilvl="0">
      <w:start w:val="1"/>
      <w:numFmt w:val="lowerLetter"/>
      <w:lvlText w:val="%1)"/>
      <w:lvlJc w:val="left"/>
    </w:lvl>
    <w:lvl w:ilvl="1">
      <w:numFmt w:val="bullet"/>
      <w:lvlText w:val="●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>
    <w:nsid w:val="304E6B97"/>
    <w:multiLevelType w:val="multilevel"/>
    <w:tmpl w:val="8AD0D728"/>
    <w:lvl w:ilvl="0">
      <w:start w:val="1"/>
      <w:numFmt w:val="lowerLetter"/>
      <w:lvlText w:val="%1)"/>
      <w:lvlJc w:val="left"/>
    </w:lvl>
    <w:lvl w:ilvl="1">
      <w:numFmt w:val="bullet"/>
      <w:lvlText w:val="●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>
    <w:nsid w:val="37BD0A42"/>
    <w:multiLevelType w:val="multilevel"/>
    <w:tmpl w:val="4FE6BCFC"/>
    <w:lvl w:ilvl="0">
      <w:start w:val="1"/>
      <w:numFmt w:val="lowerLetter"/>
      <w:lvlText w:val="%1)"/>
      <w:lvlJc w:val="left"/>
    </w:lvl>
    <w:lvl w:ilvl="1">
      <w:numFmt w:val="bullet"/>
      <w:lvlText w:val="●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>
    <w:nsid w:val="3EF042FA"/>
    <w:multiLevelType w:val="multilevel"/>
    <w:tmpl w:val="70BC7B94"/>
    <w:lvl w:ilvl="0">
      <w:start w:val="1"/>
      <w:numFmt w:val="lowerLetter"/>
      <w:lvlText w:val="%1)"/>
      <w:lvlJc w:val="left"/>
    </w:lvl>
    <w:lvl w:ilvl="1">
      <w:numFmt w:val="bullet"/>
      <w:lvlText w:val="●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>
    <w:nsid w:val="4CAA502E"/>
    <w:multiLevelType w:val="multilevel"/>
    <w:tmpl w:val="6B4A90DE"/>
    <w:styleLink w:val="WW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">
    <w:nsid w:val="5A1B18D7"/>
    <w:multiLevelType w:val="multilevel"/>
    <w:tmpl w:val="4C0A7466"/>
    <w:lvl w:ilvl="0">
      <w:start w:val="1"/>
      <w:numFmt w:val="lowerLetter"/>
      <w:lvlText w:val="%1)"/>
      <w:lvlJc w:val="left"/>
    </w:lvl>
    <w:lvl w:ilvl="1">
      <w:numFmt w:val="bullet"/>
      <w:lvlText w:val="●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>
    <w:nsid w:val="640D1E74"/>
    <w:multiLevelType w:val="multilevel"/>
    <w:tmpl w:val="F7646BF0"/>
    <w:lvl w:ilvl="0">
      <w:start w:val="1"/>
      <w:numFmt w:val="lowerLetter"/>
      <w:lvlText w:val="%1)"/>
      <w:lvlJc w:val="left"/>
    </w:lvl>
    <w:lvl w:ilvl="1">
      <w:numFmt w:val="bullet"/>
      <w:lvlText w:val="●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>
    <w:nsid w:val="647D6C09"/>
    <w:multiLevelType w:val="multilevel"/>
    <w:tmpl w:val="A8B0FAC2"/>
    <w:lvl w:ilvl="0">
      <w:start w:val="1"/>
      <w:numFmt w:val="lowerLetter"/>
      <w:lvlText w:val="%1)"/>
      <w:lvlJc w:val="left"/>
    </w:lvl>
    <w:lvl w:ilvl="1">
      <w:numFmt w:val="bullet"/>
      <w:lvlText w:val="●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">
    <w:nsid w:val="7DF448A5"/>
    <w:multiLevelType w:val="multilevel"/>
    <w:tmpl w:val="4B86A9AE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7FC91565"/>
    <w:multiLevelType w:val="multilevel"/>
    <w:tmpl w:val="FB82340E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5"/>
    <w:lvlOverride w:ilvl="0">
      <w:startOverride w:val="1"/>
    </w:lvlOverride>
  </w:num>
  <w:num w:numId="7">
    <w:abstractNumId w:val="7"/>
  </w:num>
  <w:num w:numId="8">
    <w:abstractNumId w:val="11"/>
  </w:num>
  <w:num w:numId="9">
    <w:abstractNumId w:val="9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  <w:num w:numId="14">
    <w:abstractNumId w:val="8"/>
    <w:lvlOverride w:ilvl="0">
      <w:startOverride w:val="1"/>
    </w:lvlOverride>
  </w:num>
  <w:num w:numId="15">
    <w:abstractNumId w:val="13"/>
  </w:num>
  <w:num w:numId="16">
    <w:abstractNumId w:val="0"/>
    <w:lvlOverride w:ilvl="0"/>
  </w:num>
  <w:num w:numId="17">
    <w:abstractNumId w:val="12"/>
    <w:lvlOverride w:ilv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5184B"/>
    <w:rsid w:val="0005184B"/>
    <w:rsid w:val="003B15F8"/>
    <w:rsid w:val="003F2CAB"/>
    <w:rsid w:val="00436E19"/>
    <w:rsid w:val="00476CE4"/>
    <w:rsid w:val="00A00847"/>
    <w:rsid w:val="00A50275"/>
    <w:rsid w:val="00AC57DF"/>
    <w:rsid w:val="00B5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100" w:after="100"/>
    </w:pPr>
    <w:rPr>
      <w:rFonts w:eastAsia="Times New Roman" w:cs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apple-tab-span">
    <w:name w:val="apple-tab-span"/>
    <w:basedOn w:val="DefaultParagraphFont"/>
  </w:style>
  <w:style w:type="character" w:customStyle="1" w:styleId="ListLabel1">
    <w:name w:val="ListLabel 1"/>
    <w:rPr>
      <w:rFonts w:cs="Courier New"/>
    </w:rPr>
  </w:style>
  <w:style w:type="numbering" w:customStyle="1" w:styleId="WWNum11">
    <w:name w:val="WWNum11"/>
    <w:basedOn w:val="NoList"/>
    <w:pPr>
      <w:numPr>
        <w:numId w:val="1"/>
      </w:numPr>
    </w:pPr>
  </w:style>
  <w:style w:type="numbering" w:customStyle="1" w:styleId="WWNum8">
    <w:name w:val="WWNum8"/>
    <w:basedOn w:val="NoList"/>
    <w:pPr>
      <w:numPr>
        <w:numId w:val="2"/>
      </w:numPr>
    </w:pPr>
  </w:style>
  <w:style w:type="numbering" w:customStyle="1" w:styleId="WWNum7">
    <w:name w:val="WWNum7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100" w:after="100"/>
    </w:pPr>
    <w:rPr>
      <w:rFonts w:eastAsia="Times New Roman" w:cs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apple-tab-span">
    <w:name w:val="apple-tab-span"/>
    <w:basedOn w:val="DefaultParagraphFont"/>
  </w:style>
  <w:style w:type="character" w:customStyle="1" w:styleId="ListLabel1">
    <w:name w:val="ListLabel 1"/>
    <w:rPr>
      <w:rFonts w:cs="Courier New"/>
    </w:rPr>
  </w:style>
  <w:style w:type="numbering" w:customStyle="1" w:styleId="WWNum11">
    <w:name w:val="WWNum11"/>
    <w:basedOn w:val="NoList"/>
    <w:pPr>
      <w:numPr>
        <w:numId w:val="1"/>
      </w:numPr>
    </w:pPr>
  </w:style>
  <w:style w:type="numbering" w:customStyle="1" w:styleId="WWNum8">
    <w:name w:val="WWNum8"/>
    <w:basedOn w:val="NoList"/>
    <w:pPr>
      <w:numPr>
        <w:numId w:val="2"/>
      </w:numPr>
    </w:pPr>
  </w:style>
  <w:style w:type="numbering" w:customStyle="1" w:styleId="WWNum7">
    <w:name w:val="WWNum7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JAIN</dc:creator>
  <cp:lastModifiedBy>user</cp:lastModifiedBy>
  <cp:revision>10</cp:revision>
  <dcterms:created xsi:type="dcterms:W3CDTF">2018-10-15T12:50:00Z</dcterms:created>
  <dcterms:modified xsi:type="dcterms:W3CDTF">2018-10-19T06:38:00Z</dcterms:modified>
</cp:coreProperties>
</file>