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F4E79"/>
          <w:sz w:val="58"/>
        </w:rPr>
        <w:t>RAVEN-MCS V2.3</w:t>
      </w:r>
    </w:p>
    <w:p>
      <w:pPr>
        <w:jc w:val="center"/>
      </w:pPr>
      <w:r>
        <w:rPr>
          <w:b/>
          <w:color w:val="1F4E79"/>
          <w:sz w:val="50"/>
        </w:rPr>
        <w:t>实验设计方案</w:t>
      </w:r>
    </w:p>
    <w:p>
      <w:pPr>
        <w:spacing w:before="240"/>
        <w:jc w:val="center"/>
      </w:pPr>
      <w:r>
        <w:rPr>
          <w:i/>
          <w:color w:val="44546A"/>
          <w:sz w:val="26"/>
        </w:rPr>
        <w:t>Target-Risk-Calibrated Asynchronous Federated Data Completion</w:t>
        <w:br/>
        <w:t>under Two-Stage Non-Random Selection</w:t>
      </w:r>
    </w:p>
    <w:p>
      <w:pPr>
        <w:spacing w:before="680"/>
        <w:jc w:val="center"/>
      </w:pPr>
      <w:r>
        <w:rPr>
          <w:b/>
          <w:sz w:val="28"/>
        </w:rPr>
        <w:t>供学生直接实施的高质量、可复现、可审计实验计划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21"/>
              </w:rPr>
              <w:t>文档版本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21"/>
              </w:rPr>
              <w:t>V2.3-EXP-1.0</w:t>
            </w:r>
          </w:p>
        </w:tc>
      </w:tr>
      <w:tr>
        <w:tc>
          <w:tcPr>
            <w:tcW w:type="dxa" w:w="226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21"/>
              </w:rPr>
              <w:t>适用论文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21"/>
              </w:rPr>
              <w:t>RAVEN-MCS</w:t>
            </w:r>
          </w:p>
        </w:tc>
      </w:tr>
      <w:tr>
        <w:tc>
          <w:tcPr>
            <w:tcW w:type="dxa" w:w="226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21"/>
              </w:rPr>
              <w:t>实验性质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半合成受控实验 + 真实轨迹一致性实验</w:t>
            </w:r>
          </w:p>
        </w:tc>
      </w:tr>
      <w:tr>
        <w:tc>
          <w:tcPr>
            <w:tcW w:type="dxa" w:w="226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21"/>
              </w:rPr>
              <w:t>建议统计重复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21"/>
              </w:rPr>
              <w:t>主实验 20 个独立种子；大规模敏感性不少于 10 个种子</w:t>
            </w:r>
          </w:p>
        </w:tc>
      </w:tr>
      <w:tr>
        <w:tc>
          <w:tcPr>
            <w:tcW w:type="dxa" w:w="226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21"/>
              </w:rPr>
              <w:t>编制日期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21"/>
              </w:rPr>
              <w:t>2026年7月26日</w:t>
            </w:r>
          </w:p>
        </w:tc>
      </w:tr>
    </w:tbl>
    <w:p>
      <w:pPr>
        <w:spacing w:before="520"/>
        <w:jc w:val="center"/>
      </w:pPr>
      <w:r>
        <w:rPr>
          <w:color w:val="5A5A5A"/>
          <w:sz w:val="20"/>
        </w:rPr>
        <w:t>使用说明：本方案与论文 V2.3 的系统模型、窗口化异步时序、两阶段选择校正和理论指标严格对应。学生应按“硬门—主实验—扩展实验”的顺序执行，不得先跑结果再改口径。</w:t>
      </w:r>
    </w:p>
    <w:p>
      <w:r>
        <w:br w:type="page"/>
      </w:r>
    </w:p>
    <w:p>
      <w:pPr>
        <w:pStyle w:val="Heading1"/>
      </w:pPr>
      <w:r>
        <w:t>文档摘要</w:t>
      </w:r>
    </w:p>
    <w:p>
      <w:r>
        <w:t>本方案的目标不是简单“跑几个数据集、比较几个算法”，而是构建一套能够支撑RAVEN-MCS核心科学主张的完整证据链。实验必须同时证明：原始到达分布确实偏离部署目标；机会设计、观测选择和可用更新选择会产生可分解的目标风险错位；RAVEN-MCS能够在不访问原始客户端记录的条件下，通过两阶段校正、当前组校准和长期目标债务降低这种错位；理论中的分布误差、债务上界、窗口可达性和方差项在实验中具有可观测对应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524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</w:tcPr>
          <w:p>
            <w:r>
              <w:rPr>
                <w:b/>
                <w:color w:val="C00000"/>
              </w:rPr>
              <w:t>最重要的执行原则</w:t>
            </w:r>
            <w:r>
              <w:br/>
              <w:t>先验证实现正确，再比较性能；先通过平衡场景和Oracle校正硬门，再运行大规模主结果。任何不满足支持性、可达性、无泄漏或同事件轨迹公平性的运行，不得进入论文主表。</w:t>
            </w:r>
          </w:p>
        </w:tc>
      </w:tr>
    </w:tbl>
    <w:p>
      <w:pPr>
        <w:spacing w:after="0"/>
      </w:pPr>
    </w:p>
    <w:p>
      <w:r>
        <w:t>建议将实验分为三层：</w:t>
      </w:r>
    </w:p>
    <w:p>
      <w:pPr>
        <w:pStyle w:val="ListNumber"/>
        <w:ind w:left="369" w:hanging="142"/>
      </w:pPr>
      <w:r>
        <w:rPr>
          <w:b/>
        </w:rPr>
        <w:t>层A：机制正确性。</w:t>
      </w:r>
      <w:r>
        <w:t>使用小规模半合成数据和固定事件轨迹，验证权重、P2、债务、事件窗口和指标公式。</w:t>
      </w:r>
    </w:p>
    <w:p>
      <w:pPr>
        <w:pStyle w:val="ListNumber"/>
        <w:ind w:left="369" w:hanging="142"/>
      </w:pPr>
      <w:r>
        <w:rPr>
          <w:b/>
        </w:rPr>
        <w:t>层B：论文主证据。</w:t>
      </w:r>
      <w:r>
        <w:t>在SensorScope、U-Air和NSW Traffic Volume上运行受控机会与两阶段选择实验，完整回答RQ1–RQ6。</w:t>
      </w:r>
    </w:p>
    <w:p>
      <w:pPr>
        <w:pStyle w:val="ListNumber"/>
        <w:ind w:left="369" w:hanging="142"/>
      </w:pPr>
      <w:r>
        <w:rPr>
          <w:b/>
        </w:rPr>
        <w:t>层C：真实轨迹一致性。</w:t>
      </w:r>
      <w:r>
        <w:t>在T-Drive-Speed上使用真实车辆移动轨迹构造机会流，验证方法在非均匀真实移动模式下仍成立。</w:t>
      </w:r>
    </w:p>
    <w:p>
      <w:r>
        <w:drawing>
          <wp:inline xmlns:a="http://schemas.openxmlformats.org/drawingml/2006/main" xmlns:pic="http://schemas.openxmlformats.org/drawingml/2006/picture">
            <wp:extent cx="6012000" cy="1955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955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505050"/>
          <w:sz w:val="18"/>
        </w:rPr>
        <w:t>图1  RAVEN-MCS实验总体流水线</w:t>
      </w:r>
    </w:p>
    <w:p>
      <w:pPr>
        <w:pStyle w:val="Heading1"/>
      </w:pPr>
      <w:r>
        <w:t>目录与阅读顺序</w:t>
      </w:r>
    </w:p>
    <w:p>
      <w:pPr>
        <w:pStyle w:val="ListBullet"/>
        <w:ind w:left="369" w:hanging="142"/>
      </w:pPr>
      <w:r>
        <w:t>第1–4节：明确研究问题、冻结规则、硬件软件和代码结构。</w:t>
      </w:r>
    </w:p>
    <w:p>
      <w:pPr>
        <w:pStyle w:val="ListBullet"/>
        <w:ind w:left="369" w:hanging="142"/>
      </w:pPr>
      <w:r>
        <w:t>第5–8节：完成数据审计、公共目标构造、机会分层和两阶段事件模拟。</w:t>
      </w:r>
    </w:p>
    <w:p>
      <w:pPr>
        <w:pStyle w:val="ListBullet"/>
        <w:ind w:left="369" w:hanging="142"/>
      </w:pPr>
      <w:r>
        <w:t>第9–12节：实现共同补全骨干、对比方法、RAVEN-MCS和参数选择。</w:t>
      </w:r>
    </w:p>
    <w:p>
      <w:pPr>
        <w:pStyle w:val="ListBullet"/>
        <w:ind w:left="369" w:hanging="142"/>
      </w:pPr>
      <w:r>
        <w:t>第13–16节：运行主实验、消融、鲁棒性、理论诊断与系统开销。</w:t>
      </w:r>
    </w:p>
    <w:p>
      <w:pPr>
        <w:pStyle w:val="ListBullet"/>
        <w:ind w:left="369" w:hanging="142"/>
      </w:pPr>
      <w:r>
        <w:t>第17–20节：统计报告、质量保证、时间计划和最终验收。</w:t>
      </w:r>
    </w:p>
    <w:p>
      <w:pPr>
        <w:pStyle w:val="ListBullet"/>
        <w:ind w:left="369" w:hanging="142"/>
      </w:pPr>
      <w:r>
        <w:t>附录：默认配置、输出文件规范、论文图表映射和数据来源。</w:t>
      </w:r>
    </w:p>
    <w:p>
      <w:pPr>
        <w:pStyle w:val="Heading1"/>
      </w:pPr>
      <w:r>
        <w:t>1. 实验目标与研究问题</w:t>
      </w:r>
    </w:p>
    <w:p>
      <w:pPr>
        <w:pStyle w:val="Heading2"/>
      </w:pPr>
      <w:r>
        <w:t>1.1 总体目标</w:t>
      </w:r>
    </w:p>
    <w:p>
      <w:r>
        <w:t>构建一套可复现的窗口化异步联邦数据补全实验平台，系统比较“原始到达分布优化”与“部署目标风险优化”的差异，并验证RAVEN-MCS在机会不平衡和两阶段非随机选择下的有效性、稳健性、理论一致性及系统开销。</w:t>
      </w:r>
    </w:p>
    <w:p>
      <w:pPr>
        <w:pStyle w:val="Heading2"/>
      </w:pPr>
      <w:r>
        <w:t>1.2 必须回答的研究问题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6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232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623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核心证据</w:t>
            </w:r>
          </w:p>
        </w:tc>
      </w:tr>
      <w:t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RQ1</w:t>
            </w:r>
          </w:p>
        </w:tc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目标风险错位是否真实存在？</w:t>
            </w:r>
          </w:p>
        </w:tc>
        <w:tc>
          <w:tcPr>
            <w:tcW w:type="dxa" w:w="62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比较平衡、机会偏置、观测偏置、可用更新偏置及完整偏置场景下的RMSE_ρ、RMSE_μ和分布错位。</w:t>
            </w:r>
          </w:p>
        </w:tc>
      </w:tr>
      <w:t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RQ2</w:t>
            </w:r>
          </w:p>
        </w:tc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完整RAVEN-MCS能否改善部署目标风险？</w:t>
            </w:r>
          </w:p>
        </w:tc>
        <w:tc>
          <w:tcPr>
            <w:tcW w:type="dxa" w:w="62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主表比较RMSE_μ、Tail RMSE、Δ_pair/Δ_c-s及Δ_group。</w:t>
            </w:r>
          </w:p>
        </w:tc>
      </w:tr>
      <w:t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RQ3</w:t>
            </w:r>
          </w:p>
        </w:tc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每个组件是否必要？</w:t>
            </w:r>
          </w:p>
        </w:tc>
        <w:tc>
          <w:tcPr>
            <w:tcW w:type="dxa" w:w="62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进行设计比、观测IPW、可用更新IPW、当前校准、债务、参考项、方差和陈旧度消融。</w:t>
            </w:r>
          </w:p>
        </w:tc>
      </w:tr>
      <w:t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RQ4</w:t>
            </w:r>
          </w:p>
        </w:tc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在估计误差和识别边界下是否稳健？</w:t>
            </w:r>
          </w:p>
        </w:tc>
        <w:tc>
          <w:tcPr>
            <w:tcW w:type="dxa" w:w="62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测试倾向模型错设、机会漂移、权重截断、弱支持、总体校准残差及隐藏混杂。</w:t>
            </w:r>
          </w:p>
        </w:tc>
      </w:tr>
      <w:t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RQ5</w:t>
            </w:r>
          </w:p>
        </w:tc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理论量是否与实测一致？</w:t>
            </w:r>
          </w:p>
        </w:tc>
        <w:tc>
          <w:tcPr>
            <w:tcW w:type="dxa" w:w="62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验证债务上界、窗口可达误差、pair discrepancy、方差代理和目标误差之间关系。</w:t>
            </w:r>
          </w:p>
        </w:tc>
      </w:tr>
      <w:t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RQ6</w:t>
            </w:r>
          </w:p>
        </w:tc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额外系统代价是否可接受？</w:t>
            </w:r>
          </w:p>
        </w:tc>
        <w:tc>
          <w:tcPr>
            <w:tcW w:type="dxa" w:w="62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统计注册消息、模型通信、客户端计算、P2求解时间、内存和达到固定RMSE的时间。</w:t>
            </w:r>
          </w:p>
        </w:tc>
      </w:tr>
    </w:tbl>
    <w:p>
      <w:pPr>
        <w:spacing w:after="0"/>
      </w:pPr>
    </w:p>
    <w:p>
      <w:pPr>
        <w:pStyle w:val="Heading1"/>
      </w:pPr>
      <w:r>
        <w:t>2. 论文—实验一致性的冻结规则</w:t>
      </w:r>
    </w:p>
    <w:p>
      <w:r>
        <w:t>以下规则是实验实现的“宪法”。任一规则被破坏，实验即使得到更好数值也不能用于论文。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冻结项</w:t>
            </w:r>
          </w:p>
        </w:tc>
        <w:tc>
          <w:tcPr>
            <w:tcW w:type="dxa" w:w="7483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必须遵守的实现口径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公共预测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所有方法预测同一个城市级Y_i；禁止使用客户端索引作为预测目标。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原子单元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i=(n,t)，其中t是绝对时间槽；但机会概率不得按每个绝对时间槽单独计数。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机会分层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使用可重复的s(i)=(空间分区、日内时段、工作日类型等)估计机会分布。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窗口化异步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窗口W_r内服务器保持θ_r固定；所有可用到达在窗口关闭时联合求解一次P2。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尝试集合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E_r在训练完成前由注册消息确定；失败、超时和过期客户端仍必须保留U=0标签。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可用结果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U同时包含计算成功、网络成功、按时到达和τ≤S_max。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q特征边界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q估计只能使用注册时可得特征；禁止使用实际到达时延、实际陈旧度或当前更新值。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P2信息边界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P2不得读取当前随机更新向量u_{k,r}的坐标来决定其自身权重。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测试一致性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所有方法共享相同测试单元、测试掩码、公共特征和目标权重。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隐私表述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只声明原始记录留在本地；除非另加机制，不声称密码学或差分隐私保证。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524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</w:tcPr>
          <w:p>
            <w:r>
              <w:rPr>
                <w:b/>
                <w:color w:val="C00000"/>
              </w:rPr>
              <w:t>禁止的错误实现</w:t>
            </w:r>
            <w:r>
              <w:br/>
              <w:t>禁止把每个到达立即更新模型；禁止直接按“实际陈旧度”采样q；禁止只记录成功上传的客户端；禁止用测试误差调超参数；禁止将组级到达权重冒充原子单元到达分布；禁止用不同事件轨迹比较不同方法。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976000" cy="2215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1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505050"/>
          <w:sz w:val="18"/>
        </w:rPr>
        <w:t>图2  窗口化异步事件与联合聚合时序</w:t>
      </w:r>
    </w:p>
    <w:p>
      <w:pPr>
        <w:pStyle w:val="Heading1"/>
      </w:pPr>
      <w:r>
        <w:t>3. 实验执行阶段与硬门</w:t>
      </w:r>
    </w:p>
    <w:p>
      <w:r>
        <w:drawing>
          <wp:inline xmlns:a="http://schemas.openxmlformats.org/drawingml/2006/main" xmlns:pic="http://schemas.openxmlformats.org/drawingml/2006/picture">
            <wp:extent cx="6012000" cy="2318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318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505050"/>
          <w:sz w:val="18"/>
        </w:rPr>
        <w:t>图3  实验阶段与硬门</w:t>
      </w:r>
    </w:p>
    <w:p>
      <w:pPr>
        <w:pStyle w:val="Heading2"/>
      </w:pPr>
      <w:r>
        <w:t>3.1 八项前置硬门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6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硬门</w:t>
            </w:r>
          </w:p>
        </w:tc>
        <w:tc>
          <w:tcPr>
            <w:tcW w:type="dxa" w:w="635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检查内容</w:t>
            </w:r>
          </w:p>
        </w:tc>
        <w:tc>
          <w:tcPr>
            <w:tcW w:type="dxa" w:w="158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G0 数据完整性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数据哈希固定；时间划分无重叠；训练归一化参数未使用验证/测试数据。</w:t>
            </w:r>
          </w:p>
        </w:tc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必须通过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G1 事件复现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同一seed下所有方法的R、O、E、U、计算时延、网络时延完全相同。</w:t>
            </w:r>
          </w:p>
        </w:tc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必须通过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G2 时间模型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窗口内θ固定；窗口关闭后仅产生一次θ_{r+1}。</w:t>
            </w:r>
          </w:p>
        </w:tc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必须通过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G3 权重正确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a、m、c、ESS、d、β均满足定义、非负、归一化和截断规则。</w:t>
            </w:r>
          </w:p>
        </w:tc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必须通过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G4 P2正确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解满足单纯形、上界、ESS约束；重复求解一致；λ_β&gt;0时解唯一。</w:t>
            </w:r>
          </w:p>
        </w:tc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必须通过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G5 债务恒等式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每个前缀均满足||ω̄_r−μ||_1 ≤ 2||Q_r||_1/S_r（数值容差10^-8）。</w:t>
            </w:r>
          </w:p>
        </w:tc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必须通过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G6 平衡场景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RAVEN-MCS在Balanced场景不应显著劣于最强同骨干基线；若明显恶化先查权重方差。</w:t>
            </w:r>
          </w:p>
        </w:tc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必须通过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G7 Oracle排序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RAVEN-SimOracle应在分布错位指标上不差于估计版；若反常，先查真实概率和归一化。</w:t>
            </w:r>
          </w:p>
        </w:tc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必须通过</w:t>
            </w:r>
          </w:p>
        </w:tc>
      </w:tr>
    </w:tbl>
    <w:p>
      <w:pPr>
        <w:spacing w:after="0"/>
      </w:pPr>
    </w:p>
    <w:p>
      <w:pPr>
        <w:pStyle w:val="Heading2"/>
      </w:pPr>
      <w:r>
        <w:t>3.2 运行停止规则</w:t>
      </w:r>
    </w:p>
    <w:p>
      <w:pPr>
        <w:pStyle w:val="ListBullet"/>
        <w:ind w:left="369" w:hanging="142"/>
      </w:pPr>
      <w:r>
        <w:t>任何硬门失败时，不得继续完整20种子实验。</w:t>
      </w:r>
    </w:p>
    <w:p>
      <w:pPr>
        <w:pStyle w:val="ListBullet"/>
        <w:ind w:left="369" w:hanging="142"/>
      </w:pPr>
      <w:r>
        <w:t>如果一个场景的目标支持N_g^eff不足或窗口可达误差过大，应标记为“stress/unsupported”，不得混入理论一致性主表。</w:t>
      </w:r>
    </w:p>
    <w:p>
      <w:pPr>
        <w:pStyle w:val="ListBullet"/>
        <w:ind w:left="369" w:hanging="142"/>
      </w:pPr>
      <w:r>
        <w:t>若RAVEN与Oracle差距过大，优先审计机会比、p/q校准和截断率，而不是立即提高λ参数。</w:t>
      </w:r>
    </w:p>
    <w:p>
      <w:pPr>
        <w:pStyle w:val="ListBullet"/>
        <w:ind w:left="369" w:hanging="142"/>
      </w:pPr>
      <w:r>
        <w:t>若所有方法在RMSE_μ上无差异，先检查生成的到达分布是否真的偏离目标，以及客户端偏差b_{k,i}是否足以使组成变化影响梯度。</w:t>
      </w:r>
    </w:p>
    <w:p>
      <w:pPr>
        <w:pStyle w:val="Heading1"/>
      </w:pPr>
      <w:r>
        <w:t>4. 软硬件环境与可复现设置</w:t>
      </w:r>
    </w:p>
    <w:p>
      <w:pPr>
        <w:pStyle w:val="Heading2"/>
      </w:pPr>
      <w:r>
        <w:t>4.1 推荐环境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759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操作系统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Ubuntu 22.04/24.04或等价Linux；Windows学生可使用WSL2。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Python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建议Python 3.11；建立独立conda/venv环境。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深度学习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PyTorch 2.x；CUDA非必需，但完整多种子运行建议使用GPU。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数值与数据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NumPy、pandas、SciPy、scikit-learn。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凸优化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CVXPY；主结果使用CLARABEL或可稳定处理二阶锥约束的求解器。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配置与日志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Hydra/OmegaConf或YAML；MLflow/W&amp;B可选，但原始CSV/JSON必须保留。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绘图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Matplotlib；论文图同时导出PDF和PNG。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版本冻结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首次通过G0–G7后保存environment.yml、requirements-lock.txt和pip-freeze.txt。</w:t>
            </w:r>
          </w:p>
        </w:tc>
      </w:tr>
    </w:tbl>
    <w:p>
      <w:pPr>
        <w:spacing w:after="0"/>
      </w:pPr>
    </w:p>
    <w:p>
      <w:pPr>
        <w:pStyle w:val="Heading2"/>
      </w:pPr>
      <w:r>
        <w:t>4.2 硬件建议</w:t>
      </w:r>
    </w:p>
    <w:p>
      <w:pPr>
        <w:pStyle w:val="ListBullet"/>
        <w:ind w:left="369" w:hanging="142"/>
      </w:pPr>
      <w:r>
        <w:t>最低可运行：8核CPU、32 GB内存；先完成G0–G7和小规模实验。</w:t>
      </w:r>
    </w:p>
    <w:p>
      <w:pPr>
        <w:pStyle w:val="ListBullet"/>
        <w:ind w:left="369" w:hanging="142"/>
      </w:pPr>
      <w:r>
        <w:t>推荐主实验：16核以上CPU、64 GB内存、1张16 GB以上显存GPU。P2维度只与窗口内可用客户端数有关，CPU即可求解。</w:t>
      </w:r>
    </w:p>
    <w:p>
      <w:pPr>
        <w:pStyle w:val="ListBullet"/>
        <w:ind w:left="369" w:hanging="142"/>
      </w:pPr>
      <w:r>
        <w:t>磁盘：预留100–200 GB，保存原始数据、所有种子日志、检查点、逐窗口指标和图表。</w:t>
      </w:r>
    </w:p>
    <w:p>
      <w:pPr>
        <w:pStyle w:val="Heading2"/>
      </w:pPr>
      <w:r>
        <w:t>4.3 随机性控制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def seed_everything(seed):</w:t>
            </w:r>
            <w:r>
              <w:br/>
            </w:r>
            <w:r>
              <w:t xml:space="preserve">    random.seed(seed)</w:t>
            </w:r>
            <w:r>
              <w:br/>
            </w:r>
            <w:r>
              <w:t xml:space="preserve">    numpy.random.seed(seed)</w:t>
            </w:r>
            <w:r>
              <w:br/>
            </w:r>
            <w:r>
              <w:t xml:space="preserve">    torch.manual_seed(seed)</w:t>
            </w:r>
            <w:r>
              <w:br/>
            </w:r>
            <w:r>
              <w:t xml:space="preserve">    torch.cuda.manual_seed_all(seed)</w:t>
            </w:r>
            <w:r>
              <w:br/>
            </w:r>
            <w:r>
              <w:t xml:space="preserve">    torch.use_deterministic_algorithms(True, warn_only=True)</w:t>
            </w:r>
            <w:r>
              <w:br/>
            </w:r>
            <w:r/>
            <w:r>
              <w:br/>
            </w:r>
            <w:r>
              <w:t># 每个run同时记录：</w:t>
            </w:r>
            <w:r>
              <w:br/>
            </w:r>
            <w:r>
              <w:t># data_seed, opportunity_seed, observation_seed,</w:t>
            </w:r>
            <w:r>
              <w:br/>
            </w:r>
            <w:r>
              <w:t># event_seed, model_seed, mc_oracle_seed</w:t>
            </w:r>
          </w:p>
        </w:tc>
      </w:tr>
    </w:tbl>
    <w:p>
      <w:pPr>
        <w:spacing w:after="0"/>
      </w:pPr>
    </w:p>
    <w:p>
      <w:pPr>
        <w:pStyle w:val="Heading1"/>
      </w:pPr>
      <w:r>
        <w:t>5. 代码仓库与产物结构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raven-mcs/</w:t>
            </w:r>
            <w:r>
              <w:br/>
            </w:r>
            <w:r>
              <w:t>├── configs/</w:t>
            </w:r>
            <w:r>
              <w:br/>
            </w:r>
            <w:r>
              <w:t>│   ├── dataset/          # SensorScope, U-Air, Traffic, T-Drive</w:t>
            </w:r>
            <w:r>
              <w:br/>
            </w:r>
            <w:r>
              <w:t>│   ├── scenario/         # balanced, complete, drift, hidden-confounding</w:t>
            </w:r>
            <w:r>
              <w:br/>
            </w:r>
            <w:r>
              <w:t>│   ├── method/           # baselines, ablations, RAVEN</w:t>
            </w:r>
            <w:r>
              <w:br/>
            </w:r>
            <w:r>
              <w:t>│   └── experiment/       # E0...E9</w:t>
            </w:r>
            <w:r>
              <w:br/>
            </w:r>
            <w:r>
              <w:t>├── data/</w:t>
            </w:r>
            <w:r>
              <w:br/>
            </w:r>
            <w:r>
              <w:t>│   ├── raw/              # 只读原始数据</w:t>
            </w:r>
            <w:r>
              <w:br/>
            </w:r>
            <w:r>
              <w:t>│   ├── interim/          # 清洗、对齐、审计结果</w:t>
            </w:r>
            <w:r>
              <w:br/>
            </w:r>
            <w:r>
              <w:t>│   └── processed/        # 固定split与公共目标</w:t>
            </w:r>
            <w:r>
              <w:br/>
            </w:r>
            <w:r>
              <w:t>├── raven/</w:t>
            </w:r>
            <w:r>
              <w:br/>
            </w:r>
            <w:r>
              <w:t>│   ├── data/             # 数据加载与公共场构造</w:t>
            </w:r>
            <w:r>
              <w:br/>
            </w:r>
            <w:r>
              <w:t>│   ├── opportunity/      # 风险集、机会分层、设计比</w:t>
            </w:r>
            <w:r>
              <w:br/>
            </w:r>
            <w:r>
              <w:t>│   ├── selection/        # p_obs、q_use、两阶段事件</w:t>
            </w:r>
            <w:r>
              <w:br/>
            </w:r>
            <w:r>
              <w:t>│   ├── models/           # Common-NDMF与FLAMF外部基线</w:t>
            </w:r>
            <w:r>
              <w:br/>
            </w:r>
            <w:r>
              <w:t>│   ├── aggregation/      # FedAvg/FedAsync/P2/target debt</w:t>
            </w:r>
            <w:r>
              <w:br/>
            </w:r>
            <w:r>
              <w:t>│   ├── metrics/          # target、arrival、pair、debt、variance</w:t>
            </w:r>
            <w:r>
              <w:br/>
            </w:r>
            <w:r>
              <w:t>│   └── utils/            # seed、hash、logging、validation</w:t>
            </w:r>
            <w:r>
              <w:br/>
            </w:r>
            <w:r>
              <w:t>├── scripts/              # 下载、预处理、运行、聚合、制图</w:t>
            </w:r>
            <w:r>
              <w:br/>
            </w:r>
            <w:r>
              <w:t>├── tests/                # 单元测试、性质测试、回归测试</w:t>
            </w:r>
            <w:r>
              <w:br/>
            </w:r>
            <w:r>
              <w:t>├── outputs/</w:t>
            </w:r>
            <w:r>
              <w:br/>
            </w:r>
            <w:r>
              <w:t>│   └── &lt;run_id&gt;/</w:t>
            </w:r>
            <w:r>
              <w:br/>
            </w:r>
            <w:r>
              <w:t>│       ├── config_resolved.yaml</w:t>
            </w:r>
            <w:r>
              <w:br/>
            </w:r>
            <w:r>
              <w:t>│       ├── manifest.json</w:t>
            </w:r>
            <w:r>
              <w:br/>
            </w:r>
            <w:r>
              <w:t>│       ├── window_metrics.parquet</w:t>
            </w:r>
            <w:r>
              <w:br/>
            </w:r>
            <w:r>
              <w:t>│       ├── final_metrics.json</w:t>
            </w:r>
            <w:r>
              <w:br/>
            </w:r>
            <w:r>
              <w:t>│       ├── predictions.npz</w:t>
            </w:r>
            <w:r>
              <w:br/>
            </w:r>
            <w:r>
              <w:t>│       └── logs.txt</w:t>
            </w:r>
            <w:r>
              <w:br/>
            </w:r>
            <w:r>
              <w:t>└── paper_artifacts/</w:t>
            </w:r>
            <w:r>
              <w:br/>
            </w:r>
            <w:r>
              <w:t xml:space="preserve">    ├── tables/</w:t>
            </w:r>
            <w:r>
              <w:br/>
            </w:r>
            <w:r>
              <w:t xml:space="preserve">    ├── figures/</w:t>
            </w:r>
            <w:r>
              <w:br/>
            </w:r>
            <w:r>
              <w:t xml:space="preserve">    └── reports/</w:t>
            </w:r>
          </w:p>
        </w:tc>
      </w:tr>
    </w:tbl>
    <w:p>
      <w:pPr>
        <w:spacing w:after="0"/>
      </w:pPr>
    </w:p>
    <w:p>
      <w:r>
        <w:t>每个run的manifest.json至少包含：Git commit、dirty状态、数据哈希、配置哈希、环境哈希、所有seed、运行开始/结束时间、主机信息、求解器状态、是否通过硬门、是否可进入主表。</w:t>
      </w:r>
    </w:p>
    <w:p>
      <w:pPr>
        <w:pStyle w:val="Heading1"/>
      </w:pPr>
      <w:r>
        <w:t>6. 数据集选择、下载与审计</w:t>
      </w:r>
    </w:p>
    <w:p>
      <w:pPr>
        <w:pStyle w:val="Heading2"/>
      </w:pPr>
      <w:r>
        <w:t>6.1 数据集角色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58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数据集</w:t>
            </w:r>
          </w:p>
        </w:tc>
        <w:tc>
          <w:tcPr>
            <w:tcW w:type="dxa" w:w="192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角色</w:t>
            </w:r>
          </w:p>
        </w:tc>
        <w:tc>
          <w:tcPr>
            <w:tcW w:type="dxa" w:w="232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目标变量</w:t>
            </w:r>
          </w:p>
        </w:tc>
        <w:tc>
          <w:tcPr>
            <w:tcW w:type="dxa" w:w="345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主要价值</w:t>
            </w:r>
          </w:p>
        </w:tc>
      </w:tr>
      <w:t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SensorScope</w:t>
            </w:r>
          </w:p>
        </w:tc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环境感知；主受控数据集</w:t>
            </w:r>
          </w:p>
        </w:tc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温度为主目标；可用湿度做辅助诊断</w:t>
            </w:r>
          </w:p>
        </w:tc>
        <w:tc>
          <w:tcPr>
            <w:tcW w:type="dxa" w:w="34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固定传感器场，适合精确控制机会与选择偏置</w:t>
            </w:r>
          </w:p>
        </w:tc>
      </w:tr>
      <w:t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U-Air</w:t>
            </w:r>
          </w:p>
        </w:tc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城市空气质量；主受控数据集</w:t>
            </w:r>
          </w:p>
        </w:tc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PM2.5为主目标；PM10可作公开特征或辅助诊断</w:t>
            </w:r>
          </w:p>
        </w:tc>
        <w:tc>
          <w:tcPr>
            <w:tcW w:type="dxa" w:w="34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空间异质性和非线性更强</w:t>
            </w:r>
          </w:p>
        </w:tc>
      </w:tr>
      <w:t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NSW Traffic Volume</w:t>
            </w:r>
          </w:p>
        </w:tc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交通流；主受控数据集</w:t>
            </w:r>
          </w:p>
        </w:tc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小时交通量</w:t>
            </w:r>
          </w:p>
        </w:tc>
        <w:tc>
          <w:tcPr>
            <w:tcW w:type="dxa" w:w="34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多站点、强日周期；必须做传感器可用性和质量审计</w:t>
            </w:r>
          </w:p>
        </w:tc>
      </w:tr>
      <w:t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T-Drive-Speed</w:t>
            </w:r>
          </w:p>
        </w:tc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真实移动轨迹；外部一致性实验</w:t>
            </w:r>
          </w:p>
        </w:tc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网格—时间平均速度</w:t>
            </w:r>
          </w:p>
        </w:tc>
        <w:tc>
          <w:tcPr>
            <w:tcW w:type="dxa" w:w="34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机会流来自真实出租车轨迹，验证移动偏置</w:t>
            </w:r>
          </w:p>
        </w:tc>
      </w:tr>
    </w:tbl>
    <w:p>
      <w:pPr>
        <w:spacing w:after="0"/>
      </w:pPr>
    </w:p>
    <w:p>
      <w:pPr>
        <w:pStyle w:val="Heading2"/>
      </w:pPr>
      <w:r>
        <w:t>6.2 官方来源与下载记录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36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数据集</w:t>
            </w:r>
          </w:p>
        </w:tc>
        <w:tc>
          <w:tcPr>
            <w:tcW w:type="dxa" w:w="238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官方入口</w:t>
            </w:r>
          </w:p>
        </w:tc>
        <w:tc>
          <w:tcPr>
            <w:tcW w:type="dxa" w:w="362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URL</w:t>
            </w:r>
          </w:p>
        </w:tc>
        <w:tc>
          <w:tcPr>
            <w:tcW w:type="dxa" w:w="215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下载注意事项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SensorScope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EPFL/Zenodo SensorScope Data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https://zenodo.org/records/2654726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保存下载日期、文件大小和SHA256。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U-Air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Microsoft Research Urban Air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https://www.microsoft.com/en-us/research/project/urban-air/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确认研究用途许可并保留原始压缩包。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NSW Traffic Volume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Transport for NSW / Data.NSW Traffic Volume Counts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https://data.nsw.gov.au/data/dataset/2-nsw-roads-traffic-volume-counts-api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当前门户提示数据质量与传感器可用性问题，必须执行质量门。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T-Drive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Microsoft Research T-Drive trajectory sample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https://www.microsoft.com/en-us/research/publication/t-drive-trajectory-data-sample/</w:t>
            </w:r>
          </w:p>
        </w:tc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样本含一周出租车轨迹；保存原始文本和引用信息。</w:t>
            </w:r>
          </w:p>
        </w:tc>
      </w:tr>
    </w:tbl>
    <w:p>
      <w:pPr>
        <w:spacing w:after="0"/>
      </w:pPr>
    </w:p>
    <w:p>
      <w:pPr>
        <w:pStyle w:val="Heading2"/>
      </w:pPr>
      <w:r>
        <w:t>6.3 数据审计硬门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审计项</w:t>
            </w:r>
          </w:p>
        </w:tc>
        <w:tc>
          <w:tcPr>
            <w:tcW w:type="dxa" w:w="759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通过标准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Schema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字段名、单位、时间戳格式、经纬度、站点ID可解释；重复记录已处理。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Time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时间单调；时区统一；无训练/验证/测试交叉；夏令时重复小时单独记录。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Value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物理范围检查；异常值不静默删除，记录规则和计数。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Coverage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每个候选空间单元的有效时段数、连续缺失长度、原始缺失率。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Public target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参考值构造不使用客户端自身同一记录；T-Drive参考车队与客户端车队严格分离。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Station support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Traffic数据至少保留30个高质量站点，优先60个；连续有效小时不少于336，优先720。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Hash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raw/interim/processed均生成SHA256；处理脚本版本写入manifest。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524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r>
              <w:rPr>
                <w:b/>
                <w:color w:val="BF9000"/>
              </w:rPr>
              <w:t>Traffic数据特别风险</w:t>
            </w:r>
            <w:r>
              <w:br/>
              <w:t>Transport for NSW公开门户已提示数据质量与传感器可用性问题。因此学生必须先输出station_quality_report.csv，再选择站点和连续时间段。若无法形成至少30站点×336小时的可靠矩阵，不得静默换数据；应先向教师报告，并将PEMS-BAY作为“需修改论文数据集描述”的备选方案。</w:t>
            </w:r>
          </w:p>
        </w:tc>
      </w:tr>
    </w:tbl>
    <w:p>
      <w:pPr>
        <w:spacing w:after="0"/>
      </w:pPr>
    </w:p>
    <w:p>
      <w:pPr>
        <w:pStyle w:val="Heading2"/>
      </w:pPr>
      <w:r>
        <w:t>6.4 建议预处理口径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数据集</w:t>
            </w:r>
          </w:p>
        </w:tc>
        <w:tc>
          <w:tcPr>
            <w:tcW w:type="dxa" w:w="3855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初始矩阵/网格建议</w:t>
            </w:r>
          </w:p>
        </w:tc>
        <w:tc>
          <w:tcPr>
            <w:tcW w:type="dxa" w:w="3855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清洗原则</w:t>
            </w:r>
          </w:p>
        </w:tc>
      </w:tr>
      <w:t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SensorScope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选择连续312个时间片、55个稳定传感器作为复现起点；随后可扩展到更长区间。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负值/极端值依据变量物理范围标记；短缺失仅用于构建公共参考，不作为客户端已观测。</w:t>
            </w:r>
          </w:p>
        </w:tc>
      </w:tr>
      <w:t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U-Air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优先采用36个1 km×1 km区域、264个小时的可复现设置；随后扩大时间范围。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统一PM2.5单位；对极端污染值保留但记录winsorization敏感性。</w:t>
            </w:r>
          </w:p>
        </w:tc>
      </w:tr>
      <w:t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Traffic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按站点×小时构造矩阵；方向可合并或作为站点子ID，全文保持一致。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仅用训练期统计量标准化；保留质量评级字段。</w:t>
            </w:r>
          </w:p>
        </w:tc>
      </w:tr>
      <w:t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T-Drive-Speed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过滤时间倒序、重复点、速度&lt;5或&gt;120 km/h；500 m网格、15或30分钟槽。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30%车辆构造参考场，70%作为客户端；按轨迹长度分层抽样。</w:t>
            </w:r>
          </w:p>
        </w:tc>
      </w:tr>
    </w:tbl>
    <w:p>
      <w:pPr>
        <w:spacing w:after="0"/>
      </w:pPr>
    </w:p>
    <w:p>
      <w:pPr>
        <w:pStyle w:val="Heading1"/>
      </w:pPr>
      <w:r>
        <w:t>7. 公共目标、数据划分与客户端测量构造</w:t>
      </w:r>
    </w:p>
    <w:p>
      <w:pPr>
        <w:pStyle w:val="Heading2"/>
      </w:pPr>
      <w:r>
        <w:t>7.1 时间划分</w:t>
      </w:r>
    </w:p>
    <w:p>
      <w:pPr>
        <w:pStyle w:val="Equation"/>
      </w:pPr>
      <w:r>
        <w:t>按时间顺序划分：训练 60% / 验证 20% / 测试 20%</w:t>
      </w:r>
    </w:p>
    <w:p>
      <w:pPr>
        <w:pStyle w:val="ListBullet"/>
        <w:ind w:left="369" w:hanging="142"/>
      </w:pPr>
      <w:r>
        <w:t>训练段前20%作为warm-up机会日志和倾向模型初始化，即占全数据约12%；其余训练段用于联邦训练。</w:t>
      </w:r>
    </w:p>
    <w:p>
      <w:pPr>
        <w:pStyle w:val="ListBullet"/>
        <w:ind w:left="369" w:hanging="142"/>
      </w:pPr>
      <w:r>
        <w:t>归一化中心和尺度仅由训练段计算。推荐RobustScaler：训练中位数和0.995绝对分位尺度。</w:t>
      </w:r>
    </w:p>
    <w:p>
      <w:pPr>
        <w:pStyle w:val="ListBullet"/>
        <w:ind w:left="369" w:hanging="142"/>
      </w:pPr>
      <w:r>
        <w:t>验证段用于选择模型维度、学习率、λ参数、截断阈值和机会分层粒度。</w:t>
      </w:r>
    </w:p>
    <w:p>
      <w:pPr>
        <w:pStyle w:val="ListBullet"/>
        <w:ind w:left="369" w:hanging="142"/>
      </w:pPr>
      <w:r>
        <w:t>测试段只在最终冻结配置后运行一次；测试结果不得反向修改配置。</w:t>
      </w:r>
    </w:p>
    <w:p>
      <w:pPr>
        <w:pStyle w:val="Heading2"/>
      </w:pPr>
      <w:r>
        <w:t>7.2 原子单元、目标组和机会分层</w:t>
      </w:r>
    </w:p>
    <w:p>
      <w:pPr>
        <w:pStyle w:val="Equation"/>
      </w:pPr>
      <w:r>
        <w:t>原子单元：i=(n,t)；目标组：h(i)=(空间单元 n，日内4时段)</w:t>
      </w:r>
    </w:p>
    <w:p>
      <w:pPr>
        <w:pStyle w:val="Equation"/>
      </w:pPr>
      <w:r>
        <w:t>机会分层：s(i)=(较粗空间区 n_s，日内时段 b_s，工作日/周末 d)</w:t>
      </w:r>
    </w:p>
    <w:p>
      <w:r>
        <w:t>目标组h用于评价和债务；机会分层s用于估计重复机会概率。两者可以相同，也可以让s比h更粗以降低设计比估计方差。所有粒度必须在验证段冻结。</w:t>
      </w:r>
    </w:p>
    <w:p>
      <w:pPr>
        <w:pStyle w:val="Heading2"/>
      </w:pPr>
      <w:r>
        <w:t>7.3 目标分布</w:t>
      </w:r>
    </w:p>
    <w:p>
      <w:pPr>
        <w:pStyle w:val="ListBullet"/>
        <w:ind w:left="369" w:hanging="142"/>
      </w:pPr>
      <w:r>
        <w:t>主目标：测试支持上的原子单元均匀分布。由此自动得到μ_g和ν_{i|g}^{tar}。</w:t>
      </w:r>
    </w:p>
    <w:p>
      <w:pPr>
        <w:pStyle w:val="ListBullet"/>
        <w:ind w:left="369" w:hanging="142"/>
      </w:pPr>
      <w:r>
        <w:t>扩展目标：服务加权目标，例如交通主干道/重点空气监测区域权重为普通区域的2倍；权重在训练前固定。</w:t>
      </w:r>
    </w:p>
    <w:p>
      <w:pPr>
        <w:pStyle w:val="ListBullet"/>
        <w:ind w:left="369" w:hanging="142"/>
      </w:pPr>
      <w:r>
        <w:t>不得根据某个方法的误差临时提高困难区域权重。</w:t>
      </w:r>
    </w:p>
    <w:p>
      <w:pPr>
        <w:pStyle w:val="Heading2"/>
      </w:pPr>
      <w:r>
        <w:t>7.4 客户端测量异质性</w:t>
      </w:r>
    </w:p>
    <w:p>
      <w:pPr>
        <w:pStyle w:val="Equation"/>
      </w:pPr>
      <w:r>
        <w:t>Z*_{k,i} = Y_i + b_{k,i} + ε_{k,i}</w:t>
      </w:r>
    </w:p>
    <w:p>
      <w:pPr>
        <w:pStyle w:val="ListBullet"/>
        <w:ind w:left="369" w:hanging="142"/>
      </w:pPr>
      <w:r>
        <w:t>ε_{k,i}：零均值噪声，主设置标准差为训练目标标准差的5%；敏感性取2%、10%、20%。</w:t>
      </w:r>
    </w:p>
    <w:p>
      <w:pPr>
        <w:pStyle w:val="ListBullet"/>
        <w:ind w:left="369" w:hanging="142"/>
      </w:pPr>
      <w:r>
        <w:t>未中心化客户端偏差先按N(0,σ_b²)或空间相关随机效应生成，再按目标客户端组成λ_{k|s}^{tar}中心化，使主受控实验Δ_cal=0。</w:t>
      </w:r>
    </w:p>
    <w:p>
      <w:pPr>
        <w:pStyle w:val="ListBullet"/>
        <w:ind w:left="369" w:hanging="142"/>
      </w:pPr>
      <w:r>
        <w:t>异质性σ_b取0、0.1σ_Y、0.2σ_Y、0.4σ_Y。若σ_b=0，组成错位对目标梯度影响会变弱，仅用于机制检查。</w:t>
      </w:r>
    </w:p>
    <w:p>
      <w:pPr>
        <w:pStyle w:val="ListBullet"/>
        <w:ind w:left="369" w:hanging="142"/>
      </w:pPr>
      <w:r>
        <w:t>校准残差stress：在每个机会分层增加共同偏移δ_s^{cal}，形成可控非零Δ_cal。</w:t>
      </w:r>
    </w:p>
    <w:p>
      <w:pPr>
        <w:pStyle w:val="Heading1"/>
      </w:pPr>
      <w:r>
        <w:t>8. 机会流与两阶段非随机选择模拟器</w:t>
      </w:r>
    </w:p>
    <w:p>
      <w:pPr>
        <w:pStyle w:val="Heading2"/>
      </w:pPr>
      <w:r>
        <w:t>8.1 固定事件轨迹原则</w:t>
      </w:r>
    </w:p>
    <w:p>
      <w:r>
        <w:t>每个seed先生成一个与方法无关的EventTrace，包含所有客户端的风险集、机会单元、观测结果、注册时间、下载版本、计算成功、计算时延、网络成功、网络时延和最终U。所有方法读取同一个只读EventTrace，禁止方法改变事件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EventTrace/window_r/client_k:</w:t>
            </w:r>
            <w:r>
              <w:br/>
            </w:r>
            <w:r>
              <w:t xml:space="preserve">  risk_set: [unit_id, ...]</w:t>
            </w:r>
            <w:r>
              <w:br/>
            </w:r>
            <w:r>
              <w:t xml:space="preserve">  opportunity_features: ...</w:t>
            </w:r>
            <w:r>
              <w:br/>
            </w:r>
            <w:r>
              <w:t xml:space="preserve">  observation_indicator: O[k,r,i]</w:t>
            </w:r>
            <w:r>
              <w:br/>
            </w:r>
            <w:r>
              <w:t xml:space="preserve">  registration_time: T_reg[k,r]</w:t>
            </w:r>
            <w:r>
              <w:br/>
            </w:r>
            <w:r>
              <w:t xml:space="preserve">  downloaded_version: s[k,r]</w:t>
            </w:r>
            <w:r>
              <w:br/>
            </w:r>
            <w:r>
              <w:t xml:space="preserve">  compute_success: C_cmp[k,r]</w:t>
            </w:r>
            <w:r>
              <w:br/>
            </w:r>
            <w:r>
              <w:t xml:space="preserve">  compute_duration: T_cmp[k,r]</w:t>
            </w:r>
            <w:r>
              <w:br/>
            </w:r>
            <w:r>
              <w:t xml:space="preserve">  network_success: C_net[k,r]</w:t>
            </w:r>
            <w:r>
              <w:br/>
            </w:r>
            <w:r>
              <w:t xml:space="preserve">  network_delay: T_net[k,r]</w:t>
            </w:r>
            <w:r>
              <w:br/>
            </w:r>
            <w:r>
              <w:t xml:space="preserve">  usable_indicator: U[k,r]</w:t>
            </w:r>
            <w:r>
              <w:br/>
            </w:r>
            <w:r>
              <w:t xml:space="preserve">  pre_outcome_features_for_q: X_use[k,r]</w:t>
            </w:r>
          </w:p>
        </w:tc>
      </w:tr>
    </w:tbl>
    <w:p>
      <w:pPr>
        <w:spacing w:after="0"/>
      </w:pPr>
    </w:p>
    <w:p>
      <w:pPr>
        <w:pStyle w:val="Heading2"/>
      </w:pPr>
      <w:r>
        <w:t>8.2 受控机会生成</w:t>
      </w:r>
    </w:p>
    <w:p>
      <w:r>
        <w:t>对固定传感器数据集，客户端移动是半合成的。为每个客户端生成空间偏好向量、时间偏好和Markov移动矩阵；每个窗口先采样客户端—机会分层，再在分层内采样原子单元。主设置满足分层内交换性，扩展设置引入分层内偏置。</w:t>
      </w:r>
    </w:p>
    <w:p>
      <w:pPr>
        <w:pStyle w:val="Equation"/>
      </w:pPr>
      <w:r>
        <w:t>π_{k,s,r}^{opp} ∝ exp(θ_k^T ψ_{s,r} + χ_{k,s,r})</w:t>
      </w:r>
    </w:p>
    <w:p>
      <w:pPr>
        <w:pStyle w:val="ListBullet"/>
        <w:ind w:left="369" w:hanging="142"/>
      </w:pPr>
      <w:r>
        <w:t>机会偏置强度κ_opp∈{0,0.5,1,2}，0表示接近目标分布。</w:t>
      </w:r>
    </w:p>
    <w:p>
      <w:pPr>
        <w:pStyle w:val="ListBullet"/>
        <w:ind w:left="369" w:hanging="142"/>
      </w:pPr>
      <w:r>
        <w:t>漂移设置：客户端热点每D个窗口渐变或切换，使用Γ_drift记录相邻机会分布L1变化。</w:t>
      </w:r>
    </w:p>
    <w:p>
      <w:pPr>
        <w:pStyle w:val="ListBullet"/>
        <w:ind w:left="369" w:hanging="142"/>
      </w:pPr>
      <w:r>
        <w:t>每个窗口风险集大小默认Poisson(6)+1；敏感性取2、5、10、20。</w:t>
      </w:r>
    </w:p>
    <w:p>
      <w:pPr>
        <w:pStyle w:val="ListBullet"/>
        <w:ind w:left="369" w:hanging="142"/>
      </w:pPr>
      <w:r>
        <w:t>T-Drive中风险集直接来自车辆在该时间槽实际进入的网格，不再生成半合成移动。</w:t>
      </w:r>
    </w:p>
    <w:p>
      <w:pPr>
        <w:pStyle w:val="Heading2"/>
      </w:pPr>
      <w:r>
        <w:t>8.3 第一阶段：观测选择</w:t>
      </w:r>
    </w:p>
    <w:p>
      <w:pPr>
        <w:pStyle w:val="Equation"/>
      </w:pPr>
      <w:r>
        <w:t>p_obs = clip(sigmoid(a0 + a^T X_obs), p_lo, p_hi)，O~Bernoulli(p_obs)</w:t>
      </w:r>
    </w:p>
    <w:p>
      <w:pPr>
        <w:pStyle w:val="ListBullet"/>
        <w:ind w:left="369" w:hanging="142"/>
      </w:pPr>
      <w:r>
        <w:t>X_obs只包含距离、时段、设备状态、历史访问、区域热度和感知日程。</w:t>
      </w:r>
    </w:p>
    <w:p>
      <w:pPr>
        <w:pStyle w:val="ListBullet"/>
        <w:ind w:left="369" w:hanging="142"/>
      </w:pPr>
      <w:r>
        <w:t>禁止Y_i、当前测量误差和当前模型误差进入主生成器。</w:t>
      </w:r>
    </w:p>
    <w:p>
      <w:pPr>
        <w:pStyle w:val="ListBullet"/>
        <w:ind w:left="369" w:hanging="142"/>
      </w:pPr>
      <w:r>
        <w:t>主平均观测率设置为0.10、0.20、0.30；通过调截距a0实现。</w:t>
      </w:r>
    </w:p>
    <w:p>
      <w:pPr>
        <w:pStyle w:val="ListBullet"/>
        <w:ind w:left="369" w:hanging="142"/>
      </w:pPr>
      <w:r>
        <w:t>估计模型：客户端本地带L2正则的逻辑回归；仅用上一窗口及更早的风险集结果更新。</w:t>
      </w:r>
    </w:p>
    <w:p>
      <w:pPr>
        <w:pStyle w:val="Heading2"/>
      </w:pPr>
      <w:r>
        <w:t>8.4 第二阶段：计算—网络—过期事件</w:t>
      </w:r>
    </w:p>
    <w:p>
      <w:pPr>
        <w:pStyle w:val="Equation"/>
      </w:pPr>
      <w:r>
        <w:t>T_arr = T_reg + T_cmp + T_net</w:t>
      </w:r>
    </w:p>
    <w:p>
      <w:pPr>
        <w:pStyle w:val="Equation"/>
      </w:pPr>
      <w:r>
        <w:t>U=1{C_cmp=1, C_net=1, T_arr&lt;T_{r+1}, r−s_{k,r}≤S_max}</w:t>
      </w:r>
    </w:p>
    <w:p>
      <w:pPr>
        <w:pStyle w:val="ListBullet"/>
        <w:ind w:left="369" w:hanging="142"/>
      </w:pPr>
      <w:r>
        <w:t>设备能力z_dev∈{低、中、高}影响计算成功率和LogNormal计算时延。</w:t>
      </w:r>
    </w:p>
    <w:p>
      <w:pPr>
        <w:pStyle w:val="ListBullet"/>
        <w:ind w:left="369" w:hanging="142"/>
      </w:pPr>
      <w:r>
        <w:t>网络状态z_net∈{差、中、好}影响网络成功率和LogNormal网络时延。</w:t>
      </w:r>
    </w:p>
    <w:p>
      <w:pPr>
        <w:pStyle w:val="ListBullet"/>
        <w:ind w:left="369" w:hanging="142"/>
      </w:pPr>
      <w:r>
        <w:t>注册时间默认均匀分布在窗口前30%；较晚注册会增加超时概率。</w:t>
      </w:r>
    </w:p>
    <w:p>
      <w:pPr>
        <w:pStyle w:val="ListBullet"/>
        <w:ind w:left="369" w:hanging="142"/>
      </w:pPr>
      <w:r>
        <w:t>模型年龄A_start默认截断几何分布，取0–S_max+2；τ=r−s。</w:t>
      </w:r>
    </w:p>
    <w:p>
      <w:pPr>
        <w:pStyle w:val="ListBullet"/>
        <w:ind w:left="369" w:hanging="142"/>
      </w:pPr>
      <w:r>
        <w:t>q估计模型使用注册时特征：预期计算/网络时延、设备、带宽、能量、m、ESS、模型年龄和历史成功率。</w:t>
      </w:r>
    </w:p>
    <w:p>
      <w:pPr>
        <w:pStyle w:val="ListBullet"/>
        <w:ind w:left="369" w:hanging="142"/>
      </w:pPr>
      <w:r>
        <w:t>RAVEN-SimOracle通过固定事前状态并重复重放M_MC=2000次估计q；小规模验证可用10000次检查误差。</w:t>
      </w:r>
    </w:p>
    <w:p>
      <w:pPr>
        <w:pStyle w:val="Heading2"/>
      </w:pPr>
      <w:r>
        <w:t>8.5 六类选择场景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5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4649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生成方式</w:t>
            </w:r>
          </w:p>
        </w:tc>
        <w:tc>
          <w:tcPr>
            <w:tcW w:type="dxa" w:w="289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Balanced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机会≈目标；p和q近似常数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验证方法不伤害</w:t>
            </w:r>
          </w:p>
        </w:tc>
      </w:tr>
      <w:t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Opportunity-only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仅π^opp偏离目标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验证设计比</w:t>
            </w:r>
          </w:p>
        </w:tc>
      </w:tr>
      <w:t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Observation-only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仅p_obs非均匀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验证本地观测校正</w:t>
            </w:r>
          </w:p>
        </w:tc>
      </w:tr>
      <w:t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Usable-only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仅q_use非均匀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验证第二阶段校正</w:t>
            </w:r>
          </w:p>
        </w:tc>
      </w:tr>
      <w:t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Complete-aligned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三种偏置方向一致，弱势区域持续欠表示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主场景，最清晰的错位证据</w:t>
            </w:r>
          </w:p>
        </w:tc>
      </w:tr>
      <w:t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Complete-counteracting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观测偏置与可用更新偏置部分抵消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验证只校正一个阶段可能反而加剧目标错位</w:t>
            </w:r>
          </w:p>
        </w:tc>
      </w:tr>
      <w:t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Drifting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Complete + 机会分布缓慢漂移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验证指数遗忘</w:t>
            </w:r>
          </w:p>
        </w:tc>
      </w:tr>
      <w:t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Hidden-confounding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潜变量同时影响选择与测量/更新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只用于识别边界，不做正确性主张</w:t>
            </w:r>
          </w:p>
        </w:tc>
      </w:tr>
    </w:tbl>
    <w:p>
      <w:pPr>
        <w:spacing w:after="0"/>
      </w:pPr>
    </w:p>
    <w:p>
      <w:pPr>
        <w:pStyle w:val="Heading1"/>
      </w:pPr>
      <w:r>
        <w:t>9. 共同数据补全骨干与训练协议</w:t>
      </w:r>
    </w:p>
    <w:p>
      <w:pPr>
        <w:pStyle w:val="Heading2"/>
      </w:pPr>
      <w:r>
        <w:t>9.1 主同骨干：Common-NDMF</w:t>
      </w:r>
    </w:p>
    <w:p>
      <w:r>
        <w:t>为了把实验重点放在“训练分布校准”而不是网络结构，除FLAMF-Original和集中式参考外，所有主对比方法使用同一轻量非线性矩阵补全骨干Common-NDMF。该模型没有客户端ID输入，预测对象是公共城市级Y_i。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组件</w:t>
            </w:r>
          </w:p>
        </w:tc>
        <w:tc>
          <w:tcPr>
            <w:tcW w:type="dxa" w:w="759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默认实现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空间编码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每个空间单元一个32维embedding；只由训练梯度更新。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时间编码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小时/日内正余弦、星期正余弦、归一化连续时间趋势；两层MLP输出32维。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交互特征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[e_n, e_t, e_n⊙e_t, |e_n−e_t|]。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预测头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MLP 128→64→32→1，ReLU，dropout=0.1。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训练标准化域中的标量预测，评价前反标准化。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损失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每个客户端使用Hájek归一化加权平方损失；基线使用归一化原始样本权重。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优化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主理论实验使用SGD；初始lr从{1e-3,3e-3,1e-2,3e-2}验证选择。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524"/>
            <w:shd w:fill="DDEBF7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r>
              <w:rPr>
                <w:b/>
                <w:color w:val="5B9BD5"/>
              </w:rPr>
              <w:t>为什么使用Common-NDMF</w:t>
            </w:r>
            <w:r>
              <w:br/>
              <w:t>它满足论文中一般可微f_θ的要求，能在所有方法间完全共享模型容量和局部优化协议，并能对未来时间槽使用公共时间特征预测。FLAMF-Original仍作为外部系统基线单独复现，但不用于组件级公平比较。</w:t>
            </w:r>
          </w:p>
        </w:tc>
      </w:tr>
    </w:tbl>
    <w:p>
      <w:pPr>
        <w:spacing w:after="0"/>
      </w:pPr>
    </w:p>
    <w:p>
      <w:pPr>
        <w:pStyle w:val="Heading2"/>
      </w:pPr>
      <w:r>
        <w:t>9.2 局部训练与更新归一化</w:t>
      </w:r>
    </w:p>
    <w:p>
      <w:pPr>
        <w:pStyle w:val="Equation"/>
      </w:pPr>
      <w:r>
        <w:t>u_{k,r}=(θ_{s_{k,r}}−θ_{k,r}^{(E_loc)})/(γ_r E_loc)</w:t>
      </w:r>
    </w:p>
    <w:p>
      <w:pPr>
        <w:pStyle w:val="ListBullet"/>
        <w:ind w:left="369" w:hanging="142"/>
      </w:pPr>
      <w:r>
        <w:t>默认E_loc=5；敏感性取1、5、10、30。</w:t>
      </w:r>
    </w:p>
    <w:p>
      <w:pPr>
        <w:pStyle w:val="ListBullet"/>
        <w:ind w:left="369" w:hanging="142"/>
      </w:pPr>
      <w:r>
        <w:t>每个窗口每客户端的局部mini-batch由当前窗口观测缓冲构成；历史缓存是否使用必须全方法一致。主设置仅用当前窗口，扩展设置可用固定长度回放缓存。</w:t>
      </w:r>
    </w:p>
    <w:p>
      <w:pPr>
        <w:pStyle w:val="ListBullet"/>
        <w:ind w:left="369" w:hanging="142"/>
      </w:pPr>
      <w:r>
        <w:t>梯度裁剪仅作为数值保护，阈值由Balanced验证场景确定；所有方法一致。</w:t>
      </w:r>
    </w:p>
    <w:p>
      <w:pPr>
        <w:pStyle w:val="ListBullet"/>
        <w:ind w:left="369" w:hanging="142"/>
      </w:pPr>
      <w:r>
        <w:t>模型初始化、优化器状态和学习率日程在同一seed下完全相同。</w:t>
      </w:r>
    </w:p>
    <w:p>
      <w:pPr>
        <w:pStyle w:val="Heading2"/>
      </w:pPr>
      <w:r>
        <w:t>9.3 FLAMF-Original外部复现</w:t>
      </w:r>
    </w:p>
    <w:p>
      <w:pPr>
        <w:pStyle w:val="ListBullet"/>
        <w:ind w:left="369" w:hanging="142"/>
      </w:pPr>
      <w:r>
        <w:t>按照原论文实现TIME-DMF和其异步聚合，初始检查使用隐藏维度128、Adam学习率0.001、每客户端30局部epoch。</w:t>
      </w:r>
    </w:p>
    <w:p>
      <w:pPr>
        <w:pStyle w:val="ListBullet"/>
        <w:ind w:left="369" w:hanging="142"/>
      </w:pPr>
      <w:r>
        <w:t>先在SensorScope N=55、T=312和原论文2–5客户端设置上复现实验趋势；通过后再接入本研究窗口事件。</w:t>
      </w:r>
    </w:p>
    <w:p>
      <w:pPr>
        <w:pStyle w:val="ListBullet"/>
        <w:ind w:left="369" w:hanging="142"/>
      </w:pPr>
      <w:r>
        <w:t>由于模型骨干和原始训练协议不同，FLAMF-Original只在“外部系统比较”列中报告，不用于归因RAVEN组件。</w:t>
      </w:r>
    </w:p>
    <w:p>
      <w:pPr>
        <w:pStyle w:val="ListBullet"/>
        <w:ind w:left="369" w:hanging="142"/>
      </w:pPr>
      <w:r>
        <w:t>无法完全复现时，必须报告复现差异，不得把TimeAlign-Agg错误命名为FLAMF。</w:t>
      </w:r>
    </w:p>
    <w:p>
      <w:pPr>
        <w:pStyle w:val="Heading1"/>
      </w:pPr>
      <w:r>
        <w:t>10. 对比方法与精确定义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703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精确定义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Central-All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集中使用所有有效观测，忽略计算/网络丢失；信息丰富参考，不称理论上界。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Central-Delivered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集中使用最终可用更新对应的原始观测；与联邦方法具有相同信息到达。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FedAvg-Window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α_k∝原始样本数；无陈旧度和选择校正。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FedAsync-Window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α_k∝原始样本数×exp(−κ_ττ_k)。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TimeAlign-Agg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同骨干，使用时间戳/陈旧度对齐权重；无目标分布校正。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FLAMF-Original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原TIME-DMF与原异步聚合，外部系统基线。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Local-Hajek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使用ζ和p_obs构造本地Hájek目标；服务器不校正q、不做目标校准。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TwoStage-Hajek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使用ζ、p和q，直接令α=β_hat；无债务、方差和陈旧度优化。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Inst-Cal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P2保留当前组校准与参考项，不使用债务。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Debt-Cal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使用债务和当前组校准，但ζ=p=q=1。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RAVEN-MCS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完整估计版。</w:t>
            </w:r>
          </w:p>
        </w:tc>
      </w:tr>
      <w:t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RAVEN-SimOracle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受控场景使用生成ζ、真实p和Monte Carlo q；作为校正参考。</w:t>
            </w:r>
          </w:p>
        </w:tc>
      </w:tr>
    </w:tbl>
    <w:p>
      <w:pPr>
        <w:spacing w:after="0"/>
      </w:pPr>
    </w:p>
    <w:p>
      <w:r>
        <w:t>公平性要求：除Central-All、Central-Delivered和FLAMF-Original外，其余方法使用同一Common-NDMF、同一局部步数、同一学习率搜索空间、同一事件轨迹和相同通信窗口。</w:t>
      </w:r>
    </w:p>
    <w:p>
      <w:pPr>
        <w:pStyle w:val="Heading1"/>
      </w:pPr>
      <w:r>
        <w:t>11. RAVEN-MCS核心实现细节</w:t>
      </w:r>
    </w:p>
    <w:p>
      <w:pPr>
        <w:pStyle w:val="Heading2"/>
      </w:pPr>
      <w:r>
        <w:t>11.1 第一阶段权重与ESS</w:t>
      </w:r>
    </w:p>
    <w:p>
      <w:pPr>
        <w:pStyle w:val="Equation"/>
      </w:pPr>
      <w:r>
        <w:t>a_{k,r,i}=min{a_max, ζ_hat_{k,r,i}/max(p_hat_{k,r,i},p_min)}</w:t>
      </w:r>
    </w:p>
    <w:p>
      <w:pPr>
        <w:pStyle w:val="Equation"/>
      </w:pPr>
      <w:r>
        <w:t>m_{k,r}=Σ_i O_{k,r,i}a_{k,r,i},  ā_{k,r,i}=Oa/m</w:t>
      </w:r>
    </w:p>
    <w:p>
      <w:pPr>
        <w:pStyle w:val="Equation"/>
      </w:pPr>
      <w:r>
        <w:t>n_eff=m²/Σ_i(Oa)²=1/Σ_i ā²</w:t>
      </w:r>
    </w:p>
    <w:p>
      <w:pPr>
        <w:pStyle w:val="ListBullet"/>
        <w:ind w:left="369" w:hanging="142"/>
      </w:pPr>
      <w:r>
        <w:t>当m=0时不注册训练尝试。</w:t>
      </w:r>
    </w:p>
    <w:p>
      <w:pPr>
        <w:pStyle w:val="ListBullet"/>
        <w:ind w:left="369" w:hanging="142"/>
      </w:pPr>
      <w:r>
        <w:t>m用于第二阶段目标等效质量；n_eff只用于不确定性和稳定性，不得互换。</w:t>
      </w:r>
    </w:p>
    <w:p>
      <w:pPr>
        <w:pStyle w:val="ListBullet"/>
        <w:ind w:left="369" w:hanging="142"/>
      </w:pPr>
      <w:r>
        <w:t>每个窗口记录p/ζ截断率、a最大值、a均值、ESS分位数。</w:t>
      </w:r>
    </w:p>
    <w:p>
      <w:pPr>
        <w:pStyle w:val="Heading2"/>
      </w:pPr>
      <w:r>
        <w:t>11.2 第二阶段参考</w:t>
      </w:r>
    </w:p>
    <w:p>
      <w:pPr>
        <w:pStyle w:val="Equation"/>
      </w:pPr>
      <w:r>
        <w:t>d_{k,r}=min{d_max,1/max(q_hat_{k,r},q_min)}, b_{k,r}=m_{k,r}d_{k,r}</w:t>
      </w:r>
    </w:p>
    <w:p>
      <w:pPr>
        <w:pStyle w:val="Equation"/>
      </w:pPr>
      <w:r>
        <w:t>β_hat_{k,r}=b_{k,r}/Σ_{j∈A_r}b_{j,r}</w:t>
      </w:r>
    </w:p>
    <w:p>
      <w:r>
        <w:t>必须先基于注册消息构造E_r并获得所有U标签，才能训练q模型。只用A_r会产生幸存者偏差。</w:t>
      </w:r>
    </w:p>
    <w:p>
      <w:pPr>
        <w:pStyle w:val="Heading2"/>
      </w:pPr>
      <w:r>
        <w:t>11.3 目标债务与P2</w:t>
      </w:r>
    </w:p>
    <w:p>
      <w:pPr>
        <w:pStyle w:val="Equation"/>
      </w:pPr>
      <w:r>
        <w:t>Q_{r+1}=[Q_r+η_r(μ−M_rα_r)]_+</w:t>
      </w:r>
    </w:p>
    <w:p>
      <w:pPr>
        <w:pStyle w:val="Equation"/>
      </w:pPr>
      <w:r>
        <w:t>P2: −Q_r^T M_rα + (λ_g/2)||M_rα−μ||² + (λ_β/2)||α−β_hat||² + (λ_v/2)α^T V_rα + λ_s τ̄_r^Tα</w:t>
      </w:r>
    </w:p>
    <w:p>
      <w:pPr>
        <w:pStyle w:val="ListBullet"/>
        <w:ind w:left="369" w:hanging="142"/>
      </w:pPr>
      <w:r>
        <w:t>约束：1^Tα=1；0≤α_k≤α_bar；||α||²≤1/E_bar。</w:t>
      </w:r>
    </w:p>
    <w:p>
      <w:pPr>
        <w:pStyle w:val="ListBullet"/>
        <w:ind w:left="369" w:hanging="142"/>
      </w:pPr>
      <w:r>
        <w:t>默认λ_β&gt;0，确保强凸和唯一解。</w:t>
      </w:r>
    </w:p>
    <w:p>
      <w:pPr>
        <w:pStyle w:val="ListBullet"/>
        <w:ind w:left="369" w:hanging="142"/>
      </w:pPr>
      <w:r>
        <w:t>主结果使用CVXPY+CLARABEL；每次记录status、primal residual、solve time和约束违反。</w:t>
      </w:r>
    </w:p>
    <w:p>
      <w:pPr>
        <w:pStyle w:val="ListBullet"/>
        <w:ind w:left="369" w:hanging="142"/>
      </w:pPr>
      <w:r>
        <w:t>若窗口可用客户端仅1个，α=1；仍更新债务和模型。</w:t>
      </w:r>
    </w:p>
    <w:p>
      <w:pPr>
        <w:pStyle w:val="ListBullet"/>
        <w:ind w:left="369" w:hanging="142"/>
      </w:pPr>
      <w:r>
        <w:t>空窗口θ和Q均不变，且S_R不增加。</w:t>
      </w:r>
    </w:p>
    <w:p>
      <w:pPr>
        <w:pStyle w:val="Heading2"/>
      </w:pPr>
      <w:r>
        <w:t>11.4 滞后方差代理</w:t>
      </w:r>
    </w:p>
    <w:p>
      <w:pPr>
        <w:pStyle w:val="Equation"/>
      </w:pPr>
      <w:r>
        <w:t>v_{k,r}=S̄²_{k,r^-}/max(n_eff,1)+v_floor</w:t>
      </w:r>
    </w:p>
    <w:p>
      <w:r>
        <w:t>聚合决策只使用上一窗口以前的方差状态。当前更新完成后的梯度方差只写入未来状态，禁止用于当前α。</w:t>
      </w:r>
    </w:p>
    <w:p>
      <w:pPr>
        <w:pStyle w:val="Heading1"/>
      </w:pPr>
      <w:r>
        <w:t>12. 参数设置与验证策略</w:t>
      </w:r>
    </w:p>
    <w:p>
      <w:pPr>
        <w:pStyle w:val="Heading2"/>
      </w:pPr>
      <w:r>
        <w:t>12.1 默认参数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2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</w:t>
            </w:r>
          </w:p>
        </w:tc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默认</w:t>
            </w:r>
          </w:p>
        </w:tc>
        <w:tc>
          <w:tcPr>
            <w:tcW w:type="dxa" w:w="5159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搜索/敏感性范围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客户端数K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50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主敏感性：20, 50, 100, 200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窗口数R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300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小规模门控100；主实验300–500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风险集均值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2, 5, 10, 20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E_loc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1, 5, 10, 30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S_max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1, 2, 5, 10, 20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p_min/q_min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0.05/0.05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0.02, 0.05, 0.10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a_max/d_max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20/10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5, 10, 20, 50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E_min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1, 2, 3, 5, 10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α_max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0.5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0.2, 0.3, 0.5, 1.0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λ_g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1.0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0.1, 0.3, 1, 3, 10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λ_β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1.0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0.1, 0.3, 1, 3, 10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λ_v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0.1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0, 0.03, 0.1, 0.3, 1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λ_s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0.1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0, 0.03, 0.1, 0.3, 1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机会遗忘ρ_opp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0.95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0.8, 0.9, 0.95, 0.99, 1.0</w:t>
            </w:r>
          </w:p>
        </w:tc>
      </w:tr>
      <w:tr>
        <w:tc>
          <w:tcPr>
            <w:tcW w:type="dxa" w:w="23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Monte Carlo M_MC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2000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诊断10000</w:t>
            </w:r>
          </w:p>
        </w:tc>
      </w:tr>
    </w:tbl>
    <w:p>
      <w:pPr>
        <w:spacing w:after="0"/>
      </w:pPr>
    </w:p>
    <w:p>
      <w:pPr>
        <w:pStyle w:val="Heading2"/>
      </w:pPr>
      <w:r>
        <w:t>12.2 调参顺序</w:t>
      </w:r>
    </w:p>
    <w:p>
      <w:pPr>
        <w:pStyle w:val="ListNumber"/>
        <w:ind w:left="369" w:hanging="142"/>
      </w:pPr>
      <w:r>
        <w:t>在Balanced场景选择骨干学习率、模型维度和局部步数，目标是稳定且不过拟合。</w:t>
      </w:r>
    </w:p>
    <w:p>
      <w:pPr>
        <w:pStyle w:val="ListNumber"/>
        <w:ind w:left="369" w:hanging="142"/>
      </w:pPr>
      <w:r>
        <w:t>在Complete验证场景选择p_min、q_min、a_max、d_max，使RMSE_μ与ESS达到合理折中。</w:t>
      </w:r>
    </w:p>
    <w:p>
      <w:pPr>
        <w:pStyle w:val="ListNumber"/>
        <w:ind w:left="369" w:hanging="142"/>
      </w:pPr>
      <w:r>
        <w:t>固定校正参数后选择λ_β和λ_g，再选择λ_v、λ_s、E_min和α_max。</w:t>
      </w:r>
    </w:p>
    <w:p>
      <w:pPr>
        <w:pStyle w:val="ListNumber"/>
        <w:ind w:left="369" w:hanging="142"/>
      </w:pPr>
      <w:r>
        <w:t>选择机会分层粒度和ρ_opp，使用验证期Err_ζ与RMSE_μ，不使用测试结果。</w:t>
      </w:r>
    </w:p>
    <w:p>
      <w:pPr>
        <w:pStyle w:val="ListNumber"/>
        <w:ind w:left="369" w:hanging="142"/>
      </w:pPr>
      <w:r>
        <w:t>冻结配置后生成frozen_config.yaml和hash；随后才能运行测试段和20种子主实验。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524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r>
              <w:rPr>
                <w:b/>
                <w:color w:val="70AD47"/>
              </w:rPr>
              <w:t>避免组合爆炸</w:t>
            </w:r>
            <w:r>
              <w:br/>
              <w:t>不要对所有参数做笛卡尔积。采用分阶段验证和小规模预筛：每阶段最多20–30个候选配置，先3个种子筛选，再用5个种子确认；最终冻结后跑20种子。</w:t>
            </w:r>
          </w:p>
        </w:tc>
      </w:tr>
    </w:tbl>
    <w:p>
      <w:pPr>
        <w:spacing w:after="0"/>
      </w:pPr>
    </w:p>
    <w:p>
      <w:pPr>
        <w:pStyle w:val="Heading1"/>
      </w:pPr>
      <w:r>
        <w:t>13. 完整实验矩阵</w:t>
      </w:r>
    </w:p>
    <w:p>
      <w:pPr>
        <w:pStyle w:val="Heading2"/>
      </w:pPr>
      <w:r>
        <w:t>13.1 E0：单元测试与合成真值检查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13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204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测试</w:t>
            </w:r>
          </w:p>
        </w:tc>
        <w:tc>
          <w:tcPr>
            <w:tcW w:type="dxa" w:w="6123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通过标准</w:t>
            </w:r>
          </w:p>
        </w:tc>
      </w:tr>
      <w:tr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E0.1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权重归一化</w:t>
            </w:r>
          </w:p>
        </w:tc>
        <w:tc>
          <w:tcPr>
            <w:tcW w:type="dxa" w:w="6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构造3客户端5记录手算例；检查Σā=1、Σβ=1、Σα=1。</w:t>
            </w:r>
          </w:p>
        </w:tc>
      </w:tr>
      <w:tr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E0.2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IPW无偏性</w:t>
            </w:r>
          </w:p>
        </w:tc>
        <w:tc>
          <w:tcPr>
            <w:tcW w:type="dxa" w:w="6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固定已知p/q，重复10^5次，样本均值接近目标质量。</w:t>
            </w:r>
          </w:p>
        </w:tc>
      </w:tr>
      <w:tr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E0.3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P2唯一性</w:t>
            </w:r>
          </w:p>
        </w:tc>
        <w:tc>
          <w:tcPr>
            <w:tcW w:type="dxa" w:w="6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相同输入重复求解；λ_β&gt;0时解差&lt;10^-8。</w:t>
            </w:r>
          </w:p>
        </w:tc>
      </w:tr>
      <w:tr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E0.4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债务恒等式</w:t>
            </w:r>
          </w:p>
        </w:tc>
        <w:tc>
          <w:tcPr>
            <w:tcW w:type="dxa" w:w="6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随机可行α序列，检查所有前缀债务上界。</w:t>
            </w:r>
          </w:p>
        </w:tc>
      </w:tr>
      <w:tr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E0.5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事件窗口</w:t>
            </w:r>
          </w:p>
        </w:tc>
        <w:tc>
          <w:tcPr>
            <w:tcW w:type="dxa" w:w="6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窗口内到达不改变θ；窗口关闭只更新一次。</w:t>
            </w:r>
          </w:p>
        </w:tc>
      </w:tr>
      <w:tr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E0.6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信息泄漏</w:t>
            </w:r>
          </w:p>
        </w:tc>
        <w:tc>
          <w:tcPr>
            <w:tcW w:type="dxa" w:w="61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静态检查q特征中不存在realized_delay、arrival_staleness、update_norm。</w:t>
            </w:r>
          </w:p>
        </w:tc>
      </w:tr>
    </w:tbl>
    <w:p>
      <w:pPr>
        <w:spacing w:after="0"/>
      </w:pPr>
    </w:p>
    <w:p>
      <w:pPr>
        <w:pStyle w:val="Heading2"/>
      </w:pPr>
      <w:r>
        <w:t>13.2 E1：Balanced不伤害硬门</w:t>
      </w:r>
    </w:p>
    <w:p>
      <w:pPr>
        <w:pStyle w:val="ListBullet"/>
        <w:ind w:left="369" w:hanging="142"/>
      </w:pPr>
      <w:r>
        <w:t>数据集：三个受控数据集。K=50，R=200，5个种子。</w:t>
      </w:r>
    </w:p>
    <w:p>
      <w:pPr>
        <w:pStyle w:val="ListBullet"/>
        <w:ind w:left="369" w:hanging="142"/>
      </w:pPr>
      <w:r>
        <w:t>机会、p、q近似均匀；σ_b取0.2σ_Y。</w:t>
      </w:r>
    </w:p>
    <w:p>
      <w:pPr>
        <w:pStyle w:val="ListBullet"/>
        <w:ind w:left="369" w:hanging="142"/>
      </w:pPr>
      <w:r>
        <w:t>比较FedAsync-Window、TwoStage-Hajek和RAVEN-MCS。</w:t>
      </w:r>
    </w:p>
    <w:p>
      <w:pPr>
        <w:pStyle w:val="ListBullet"/>
        <w:ind w:left="369" w:hanging="142"/>
      </w:pPr>
      <w:r>
        <w:t>通过标准：RAVEN的RMSE_μ相对最强基线恶化不超过2%，且95%CI包含0；权重截断率&lt;5%，中位ESS≥2。</w:t>
      </w:r>
    </w:p>
    <w:p>
      <w:pPr>
        <w:pStyle w:val="Heading2"/>
      </w:pPr>
      <w:r>
        <w:t>13.3 E2：目标风险错位证据</w:t>
      </w:r>
    </w:p>
    <w:p>
      <w:pPr>
        <w:pStyle w:val="ListBullet"/>
        <w:ind w:left="369" w:hanging="142"/>
      </w:pPr>
      <w:r>
        <w:t>场景：Balanced、Opportunity-only、Observation-only、Usable-only、Complete-aligned、Complete-counteracting。</w:t>
      </w:r>
    </w:p>
    <w:p>
      <w:pPr>
        <w:pStyle w:val="ListBullet"/>
        <w:ind w:left="369" w:hanging="142"/>
      </w:pPr>
      <w:r>
        <w:t>方法：FedAvg-Window、FedAsync-Window、TimeAlign-Agg。</w:t>
      </w:r>
    </w:p>
    <w:p>
      <w:pPr>
        <w:pStyle w:val="ListBullet"/>
        <w:ind w:left="369" w:hanging="142"/>
      </w:pPr>
      <w:r>
        <w:t>主要输出：原子级RMSE_ρ、RMSE_μ、Gap_mis、Δ_group、Δ_pair、tail/head误差。</w:t>
      </w:r>
    </w:p>
    <w:p>
      <w:pPr>
        <w:pStyle w:val="ListBullet"/>
        <w:ind w:left="369" w:hanging="142"/>
      </w:pPr>
      <w:r>
        <w:t>关键判据：Complete场景中RMSE_ρ可保持较低，但RMSE_μ和Tail RMSE显著增加；counteracting场景展示仅校正p或q可能加剧错位。</w:t>
      </w:r>
    </w:p>
    <w:p>
      <w:pPr>
        <w:pStyle w:val="Heading2"/>
      </w:pPr>
      <w:r>
        <w:t>13.4 E3：主性能结果</w:t>
      </w:r>
    </w:p>
    <w:p>
      <w:pPr>
        <w:pStyle w:val="ListBullet"/>
        <w:ind w:left="369" w:hanging="142"/>
      </w:pPr>
      <w:r>
        <w:t>三个受控数据集，Complete-aligned主场景，20个种子。</w:t>
      </w:r>
    </w:p>
    <w:p>
      <w:pPr>
        <w:pStyle w:val="ListBullet"/>
        <w:ind w:left="369" w:hanging="142"/>
      </w:pPr>
      <w:r>
        <w:t>方法：全部同骨干方法 + Central参考 + FLAMF-Original外部基线。</w:t>
      </w:r>
    </w:p>
    <w:p>
      <w:pPr>
        <w:pStyle w:val="ListBullet"/>
        <w:ind w:left="369" w:hanging="142"/>
      </w:pPr>
      <w:r>
        <w:t>主指标：RMSE_μ、MAE_μ、Tail RMSE、Δ_pair/Δ_c-s、Δ_group、δ_ref、Q/S。</w:t>
      </w:r>
    </w:p>
    <w:p>
      <w:pPr>
        <w:pStyle w:val="ListBullet"/>
        <w:ind w:left="369" w:hanging="142"/>
      </w:pPr>
      <w:r>
        <w:t>必须同时报告均值、标准差、95%CI、相对提升、配对p值和效应量。</w:t>
      </w:r>
    </w:p>
    <w:p>
      <w:pPr>
        <w:pStyle w:val="ListBullet"/>
        <w:ind w:left="369" w:hanging="142"/>
      </w:pPr>
      <w:r>
        <w:t>RAVEN-SimOracle只用于受控场景；真实数据不冒充真Oracle。</w:t>
      </w:r>
    </w:p>
    <w:p>
      <w:pPr>
        <w:pStyle w:val="Heading2"/>
      </w:pPr>
      <w:r>
        <w:t>13.5 E4：消融实验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消融</w:t>
            </w:r>
          </w:p>
        </w:tc>
        <w:tc>
          <w:tcPr>
            <w:tcW w:type="dxa" w:w="2835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改动</w:t>
            </w:r>
          </w:p>
        </w:tc>
        <w:tc>
          <w:tcPr>
            <w:tcW w:type="dxa" w:w="4649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要验证的作用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w/o Design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ζ=1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机会分布校正贡献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w/o Obs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p=1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第一阶段选择贡献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w/o Use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q=1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第二阶段选择贡献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w/o Inst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λ_g=0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当前组边缘校准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w/o Debt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去掉−Q^TMα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长期组覆盖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w/o Ref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λ_β=0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客户端—记录组成保持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w/o Var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λ_v=0且去掉ESS约束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方差控制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w/o Stale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λ_s=0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陈旧度控制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No Forget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ρ_opp=1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漂移适应</w:t>
            </w:r>
          </w:p>
        </w:tc>
      </w:tr>
      <w:t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Current-Var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当前更新估方差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条件中心化风险</w:t>
            </w:r>
          </w:p>
        </w:tc>
      </w:tr>
    </w:tbl>
    <w:p>
      <w:pPr>
        <w:spacing w:after="0"/>
      </w:pPr>
    </w:p>
    <w:p>
      <w:pPr>
        <w:pStyle w:val="Heading2"/>
      </w:pPr>
      <w:r>
        <w:t>13.6 E5：支持性与可达性</w:t>
      </w:r>
    </w:p>
    <w:p>
      <w:pPr>
        <w:pStyle w:val="ListBullet"/>
        <w:ind w:left="369" w:hanging="142"/>
      </w:pPr>
      <w:r>
        <w:t>逐步减少某些目标组的机会概率或可用更新概率。</w:t>
      </w:r>
    </w:p>
    <w:p>
      <w:pPr>
        <w:pStyle w:val="ListBullet"/>
        <w:ind w:left="369" w:hanging="142"/>
      </w:pPr>
      <w:r>
        <w:t>计算N_g^eff、p/q/π低分位、窗口ε_reach、Q增长和最终Δ_group。</w:t>
      </w:r>
    </w:p>
    <w:p>
      <w:pPr>
        <w:pStyle w:val="ListBullet"/>
        <w:ind w:left="369" w:hanging="142"/>
      </w:pPr>
      <w:r>
        <w:t>将场景分为supported、weak-support、unsupported；主理论结论只使用supported。</w:t>
      </w:r>
    </w:p>
    <w:p>
      <w:pPr>
        <w:pStyle w:val="ListBullet"/>
        <w:ind w:left="369" w:hanging="142"/>
      </w:pPr>
      <w:r>
        <w:t>验证弱支持时截断可降低方差但引入残余偏差；unsupported时明确方法不能恢复不存在的目标质量。</w:t>
      </w:r>
    </w:p>
    <w:p>
      <w:pPr>
        <w:pStyle w:val="Heading2"/>
      </w:pPr>
      <w:r>
        <w:t>13.7 E6：估计误差、漂移与截断</w:t>
      </w:r>
    </w:p>
    <w:p>
      <w:pPr>
        <w:pStyle w:val="ListBullet"/>
        <w:ind w:left="369" w:hanging="142"/>
      </w:pPr>
      <w:r>
        <w:t>机会模型：正确、遗漏空间热度、遗漏日类型、无遗忘。</w:t>
      </w:r>
    </w:p>
    <w:p>
      <w:pPr>
        <w:pStyle w:val="ListBullet"/>
        <w:ind w:left="369" w:hanging="142"/>
      </w:pPr>
      <w:r>
        <w:t>p模型：正确、遗漏设备状态、非线性生成但线性估计。</w:t>
      </w:r>
    </w:p>
    <w:p>
      <w:pPr>
        <w:pStyle w:val="ListBullet"/>
        <w:ind w:left="369" w:hanging="142"/>
      </w:pPr>
      <w:r>
        <w:t>q模型：正确、遗漏带宽、遗漏模型年龄、概率校准后处理/不处理。</w:t>
      </w:r>
    </w:p>
    <w:p>
      <w:pPr>
        <w:pStyle w:val="ListBullet"/>
        <w:ind w:left="369" w:hanging="142"/>
      </w:pPr>
      <w:r>
        <w:t>绘制Err_ζ、Brier/ECE与RMSE_μ、Δ_pair的关系。</w:t>
      </w:r>
    </w:p>
    <w:p>
      <w:pPr>
        <w:pStyle w:val="ListBullet"/>
        <w:ind w:left="369" w:hanging="142"/>
      </w:pPr>
      <w:r>
        <w:t>对a_max、d_max进行对数网格，展示偏差—方差—ESS三者关系。</w:t>
      </w:r>
    </w:p>
    <w:p>
      <w:pPr>
        <w:pStyle w:val="Heading2"/>
      </w:pPr>
      <w:r>
        <w:t>13.8 E7：识别边界与总体校准残差</w:t>
      </w:r>
    </w:p>
    <w:p>
      <w:pPr>
        <w:pStyle w:val="ListBullet"/>
        <w:ind w:left="369" w:hanging="142"/>
      </w:pPr>
      <w:r>
        <w:t>隐藏混杂：潜变量H同时影响O和b，或同时影响U和更新方向；H不进入估计特征。</w:t>
      </w:r>
    </w:p>
    <w:p>
      <w:pPr>
        <w:pStyle w:val="ListBullet"/>
        <w:ind w:left="369" w:hanging="142"/>
      </w:pPr>
      <w:r>
        <w:t>校准残差：控制Δ_cal从0增加到0.05、0.1、0.2个标准差。</w:t>
      </w:r>
    </w:p>
    <w:p>
      <w:pPr>
        <w:pStyle w:val="ListBullet"/>
        <w:ind w:left="369" w:hanging="142"/>
      </w:pPr>
      <w:r>
        <w:t>目的不是证明RAVEN仍无偏，而是展示残余误差并验证论文限制声明。</w:t>
      </w:r>
    </w:p>
    <w:p>
      <w:pPr>
        <w:pStyle w:val="Heading2"/>
      </w:pPr>
      <w:r>
        <w:t>13.9 E8：规模与系统开销</w:t>
      </w:r>
    </w:p>
    <w:p>
      <w:pPr>
        <w:pStyle w:val="ListBullet"/>
        <w:ind w:left="369" w:hanging="142"/>
      </w:pPr>
      <w:r>
        <w:t>K∈{20,50,100,200}，窗口可用客户端数和P2维度随之变化。</w:t>
      </w:r>
    </w:p>
    <w:p>
      <w:pPr>
        <w:pStyle w:val="ListBullet"/>
        <w:ind w:left="369" w:hanging="142"/>
      </w:pPr>
      <w:r>
        <w:t>分别统计客户端校正时间、本地训练时间、注册字节、更新字节、P2求解时间和峰值内存。</w:t>
      </w:r>
    </w:p>
    <w:p>
      <w:pPr>
        <w:pStyle w:val="ListBullet"/>
        <w:ind w:left="369" w:hanging="142"/>
      </w:pPr>
      <w:r>
        <w:t>比较CVXPY精确求解和投影一阶实现的目标差、约束违反和时间。</w:t>
      </w:r>
    </w:p>
    <w:p>
      <w:pPr>
        <w:pStyle w:val="ListBullet"/>
        <w:ind w:left="369" w:hanging="142"/>
      </w:pPr>
      <w:r>
        <w:t>报告达到固定RMSE_μ阈值的活动窗口数和墙钟时间。</w:t>
      </w:r>
    </w:p>
    <w:p>
      <w:pPr>
        <w:pStyle w:val="Heading2"/>
      </w:pPr>
      <w:r>
        <w:t>13.10 E9：T-Drive-Speed真实轨迹一致性实验</w:t>
      </w:r>
    </w:p>
    <w:p>
      <w:pPr>
        <w:pStyle w:val="ListBullet"/>
        <w:ind w:left="369" w:hanging="142"/>
      </w:pPr>
      <w:r>
        <w:t>每seed按车辆轨迹长度分层，30%车辆构造参考场，70%作为候选客户端。</w:t>
      </w:r>
    </w:p>
    <w:p>
      <w:pPr>
        <w:pStyle w:val="ListBullet"/>
        <w:ind w:left="369" w:hanging="142"/>
      </w:pPr>
      <w:r>
        <w:t>从客户端车队中选K=50/100/200辆；不足目标覆盖的单元从公共支持中剔除并记录。</w:t>
      </w:r>
    </w:p>
    <w:p>
      <w:pPr>
        <w:pStyle w:val="ListBullet"/>
        <w:ind w:left="369" w:hanging="142"/>
      </w:pPr>
      <w:r>
        <w:t>机会风险集由车辆实际轨迹决定；观测有效性来自速度过滤与可控缺失；第二阶段计算/网络仍为半合成。</w:t>
      </w:r>
    </w:p>
    <w:p>
      <w:pPr>
        <w:pStyle w:val="ListBullet"/>
        <w:ind w:left="369" w:hanging="142"/>
      </w:pPr>
      <w:r>
        <w:t>主指标使用RMSE_μ、RMSE_ρ、Δ_c-s、Δ_group、Δ_cal诊断。</w:t>
      </w:r>
    </w:p>
    <w:p>
      <w:pPr>
        <w:pStyle w:val="ListBullet"/>
        <w:ind w:left="369" w:hanging="142"/>
      </w:pPr>
      <w:r>
        <w:t>只把T-Drive作为真实移动机会验证，不声称计算和网络故障也是真实记录。</w:t>
      </w:r>
    </w:p>
    <w:p>
      <w:pPr>
        <w:pStyle w:val="Heading1"/>
      </w:pPr>
      <w:r>
        <w:t>14. 指标公式与实现注意事项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362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定义</w:t>
            </w:r>
          </w:p>
        </w:tc>
        <w:tc>
          <w:tcPr>
            <w:tcW w:type="dxa" w:w="3969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注意事项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目标RMSE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RMSE_μ=[Σ_i ϖ_i^tar(Ŷ_i−Y_i)²]^{1/2}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论文主精度；测试支持上重新归一化。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目标MAE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MAE_μ=Σ_i ϖ_i^tar|Ŷ_i−Y_i|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抗极端误差。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到达RMSE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RMSE_ρ=[Σ_i ρ_i^arr(Ŷ_i−Y_i)²]^{1/2}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必须使用原子单元到达权重，不得只用组边缘。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错位间隙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Gap_mis=RMSE_μ−RMSE_ρ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正值表示按到达分布评价低估部署风险。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组错位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Δ_group=||ω_hat−μ||_1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长期组覆盖。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pair错位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Δ_pair=||Π_hat−π^tar||_1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受控实验的完整客户端—记录错位。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client-stratum错位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Δ_c-s=Σ_{k,s}|Π_hat_{k,s}−π^tar_{k,s}|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真实大规模轨迹的可估计替代指标。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参考偏离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平均√K_r||α_r−β_hat_r||_2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P2偏离两阶段统计参考的程度。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债务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||Q_R||_1/S_R及2||Q_R||_1/S_R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长期组混合及确定性上界。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ESS/权重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n_eff、max α、截断率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稳定性和弱支持诊断。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方差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实测聚合更新方差与α^TVα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验证方差代理。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系统开销</w:t>
            </w:r>
          </w:p>
        </w:tc>
        <w:tc>
          <w:tcPr>
            <w:tcW w:type="dxa" w:w="36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时间、内存、字节、达到阈值的窗口数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实用性。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524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r>
              <w:rPr>
                <w:b/>
                <w:color w:val="BF9000"/>
              </w:rPr>
              <w:t>指标实现检查</w:t>
            </w:r>
            <w:r>
              <w:br/>
              <w:t>有效训练分布中，记录i未参与当前本地目标时w_{k,r,i}=0。所有学习率加权分布以S_R=Ση_r I_r归一化。测试到达权重由冻结的机会和选择模型预测，不能拿训练到达计数直接映射到未来绝对时间槽。</w:t>
            </w:r>
          </w:p>
        </w:tc>
      </w:tr>
    </w:tbl>
    <w:p>
      <w:pPr>
        <w:spacing w:after="0"/>
      </w:pPr>
    </w:p>
    <w:p>
      <w:pPr>
        <w:pStyle w:val="Heading1"/>
      </w:pPr>
      <w:r>
        <w:t>15. 统计检验与报告规范</w:t>
      </w:r>
    </w:p>
    <w:p>
      <w:pPr>
        <w:pStyle w:val="Heading2"/>
      </w:pPr>
      <w:r>
        <w:t>15.1 重复次数</w:t>
      </w:r>
    </w:p>
    <w:p>
      <w:pPr>
        <w:pStyle w:val="ListBullet"/>
        <w:ind w:left="369" w:hanging="142"/>
      </w:pPr>
      <w:r>
        <w:t>主结果、主要消融：20个独立种子。</w:t>
      </w:r>
    </w:p>
    <w:p>
      <w:pPr>
        <w:pStyle w:val="ListBullet"/>
        <w:ind w:left="369" w:hanging="142"/>
      </w:pPr>
      <w:r>
        <w:t>大规模敏感性和系统开销：至少10个种子。</w:t>
      </w:r>
    </w:p>
    <w:p>
      <w:pPr>
        <w:pStyle w:val="ListBullet"/>
        <w:ind w:left="369" w:hanging="142"/>
      </w:pPr>
      <w:r>
        <w:t>硬门和调参预筛：3–5个种子，但不得用于最终显著性声明。</w:t>
      </w:r>
    </w:p>
    <w:p>
      <w:pPr>
        <w:pStyle w:val="Heading2"/>
      </w:pPr>
      <w:r>
        <w:t>15.2 配对统计</w:t>
      </w:r>
    </w:p>
    <w:p>
      <w:pPr>
        <w:pStyle w:val="ListBullet"/>
        <w:ind w:left="369" w:hanging="142"/>
      </w:pPr>
      <w:r>
        <w:t>同一seed下方法共享EventTrace，因此使用配对比较。</w:t>
      </w:r>
    </w:p>
    <w:p>
      <w:pPr>
        <w:pStyle w:val="ListBullet"/>
        <w:ind w:left="369" w:hanging="142"/>
      </w:pPr>
      <w:r>
        <w:t>两方法比较使用双侧Wilcoxon signed-rank test。</w:t>
      </w:r>
    </w:p>
    <w:p>
      <w:pPr>
        <w:pStyle w:val="ListBullet"/>
        <w:ind w:left="369" w:hanging="142"/>
      </w:pPr>
      <w:r>
        <w:t>同一张主表多个比较使用Holm校正。</w:t>
      </w:r>
    </w:p>
    <w:p>
      <w:pPr>
        <w:pStyle w:val="ListBullet"/>
        <w:ind w:left="369" w:hanging="142"/>
      </w:pPr>
      <w:r>
        <w:t>同时报告配对差的bootstrap 95%CI、相对改进和Cliff’s delta或rank-biserial effect size。</w:t>
      </w:r>
    </w:p>
    <w:p>
      <w:pPr>
        <w:pStyle w:val="ListBullet"/>
        <w:ind w:left="369" w:hanging="142"/>
      </w:pPr>
      <w:r>
        <w:t>不得仅用“平均值更低”声称显著优越。</w:t>
      </w:r>
    </w:p>
    <w:p>
      <w:pPr>
        <w:pStyle w:val="Heading2"/>
      </w:pPr>
      <w:r>
        <w:t>15.3 结果异常处理</w:t>
      </w:r>
    </w:p>
    <w:p>
      <w:pPr>
        <w:pStyle w:val="ListBullet"/>
        <w:ind w:left="369" w:hanging="142"/>
      </w:pPr>
      <w:r>
        <w:t>任何run失败都必须保留日志并给出失败原因；不得删除不利seed。</w:t>
      </w:r>
    </w:p>
    <w:p>
      <w:pPr>
        <w:pStyle w:val="ListBullet"/>
        <w:ind w:left="369" w:hanging="142"/>
      </w:pPr>
      <w:r>
        <w:t>求解器失败可以使用预注册fallback求解器重跑，但必须在manifest标记。</w:t>
      </w:r>
    </w:p>
    <w:p>
      <w:pPr>
        <w:pStyle w:val="ListBullet"/>
        <w:ind w:left="369" w:hanging="142"/>
      </w:pPr>
      <w:r>
        <w:t>异常值只在明确的实现/数据错误证据下排除，并同时给出包含与排除结果。</w:t>
      </w:r>
    </w:p>
    <w:p>
      <w:pPr>
        <w:pStyle w:val="ListBullet"/>
        <w:ind w:left="369" w:hanging="142"/>
      </w:pPr>
      <w:r>
        <w:t>如果方法在某些seed不可行，应把不可行率作为结果报告。</w:t>
      </w:r>
    </w:p>
    <w:p>
      <w:pPr>
        <w:pStyle w:val="Heading1"/>
      </w:pPr>
      <w:r>
        <w:t>16. 论文图表与输出清单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表</w:t>
            </w:r>
          </w:p>
        </w:tc>
        <w:tc>
          <w:tcPr>
            <w:tcW w:type="dxa" w:w="759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Table I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数据集与处理后统计：N、T、目标变量、原始缺失率、客户端数、目标组/机会分层数。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Table II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主性能：RMSE_μ、Tail RMSE、Δ_group、Δ_pair/Δ_c-s、δ_ref、Q/S。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Table III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主要消融。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Table IV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系统开销和通信。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Appendix Tables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倾向校准、支持性、完整敏感性、统计p值与效应量。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图</w:t>
            </w:r>
          </w:p>
        </w:tc>
        <w:tc>
          <w:tcPr>
            <w:tcW w:type="dxa" w:w="7597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Fig. 1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框架图（论文方法部分，不由实验脚本生成）。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Fig. 2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Balanced与Complete下RMSE_ρ/RMSE_μ对比，直接展示目标错位。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Fig. 3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有效组分布/目标分布柱状图或热图。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Fig. 4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训练过程中||ω̄−μ||_1与2||Q||_1/S。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Fig. 5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机会/观测/可用更新偏置强度与RMSE_μ。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Fig. 6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a_max、d_max下RMSE_μ—ESS—max weight权衡。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Fig. 7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ε_reach与最终Δ_group/Q增长。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Fig. 8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客户端数与P2求解时间/总时间。</w:t>
            </w:r>
          </w:p>
        </w:tc>
      </w:tr>
      <w:t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Appendix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propensity reliability diagrams、误差分解、完整消融和T-Drive地图。</w:t>
            </w:r>
          </w:p>
        </w:tc>
      </w:tr>
    </w:tbl>
    <w:p>
      <w:pPr>
        <w:spacing w:after="0"/>
      </w:pPr>
    </w:p>
    <w:p>
      <w:r>
        <w:t>每张图同时导出PDF（论文）和PNG（快速查看），并保存对应的plot_data.csv，保证图可重建。</w:t>
      </w:r>
    </w:p>
    <w:p>
      <w:pPr>
        <w:pStyle w:val="Heading1"/>
      </w:pPr>
      <w:r>
        <w:t>17. 质量保证与自动化测试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测试名</w:t>
            </w:r>
          </w:p>
        </w:tc>
        <w:tc>
          <w:tcPr>
            <w:tcW w:type="dxa" w:w="6463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检查内容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test_split_no_overlap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训练/验证/测试时间和单位无交叉。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test_no_post_outcome_features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p/q特征不含当前结果和未来信息。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test_event_trace_identity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所有方法读取相同EventTrace hash。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test_weight_normalization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ā、β、α均非负且和为1。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test_ess_identity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m²/Σw²与1/Σā²一致。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test_p2_feasibility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单纯形、α上界、L2/ESS约束满足。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test_p2_unique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λ_β&gt;0时扰动初值不改变解。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test_debt_bound_prefix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每个前缀满足确定性债务界。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test_empty_window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空窗口θ/Q不更新、S不增加。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test_metric_atomic_arrival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RMSE_ρ使用原子到达权重而不是目标组内权重。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test_manifest_complete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所有主表run均有数据/config/git/environment hash。</w:t>
            </w:r>
          </w:p>
        </w:tc>
      </w:tr>
      <w:t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test_oracle_probabilities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MC q的标准误低于预设阈值。</w:t>
            </w:r>
          </w:p>
        </w:tc>
      </w:tr>
    </w:tbl>
    <w:p>
      <w:pPr>
        <w:spacing w:after="0"/>
      </w:pPr>
    </w:p>
    <w:p>
      <w:r>
        <w:t>建议采用pytest并设置CI：每次合并代码自动运行单元测试、一个小型end-to-end smoke run和结果schema验证。</w:t>
      </w:r>
    </w:p>
    <w:p>
      <w:pPr>
        <w:pStyle w:val="Heading1"/>
      </w:pPr>
      <w:r>
        <w:t>18. 建议时间计划与分工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6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4649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28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交付物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第1周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下载与审计数据；冻结processed数据；完成G0。</w:t>
            </w:r>
          </w:p>
        </w:tc>
        <w:tc>
          <w:tcPr>
            <w:tcW w:type="dxa" w:w="3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data_audit_report、dataset_manifest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第2周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Common-NDMF、事件轨迹和窗口时序；完成G1–G2。</w:t>
            </w:r>
          </w:p>
        </w:tc>
        <w:tc>
          <w:tcPr>
            <w:tcW w:type="dxa" w:w="3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smoke模型、EventTrace、时间测试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第3周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ζ/p/q、Hájek、ESS、P2和债务；完成G3–G5。</w:t>
            </w:r>
          </w:p>
        </w:tc>
        <w:tc>
          <w:tcPr>
            <w:tcW w:type="dxa" w:w="3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单元测试、手算对照、P2日志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第4周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Balanced和Oracle硬门；冻结参数流程。</w:t>
            </w:r>
          </w:p>
        </w:tc>
        <w:tc>
          <w:tcPr>
            <w:tcW w:type="dxa" w:w="3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G6–G7报告、frozen_config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第5周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E2错位证据与E3主结果，先5种子审计再20种子。</w:t>
            </w:r>
          </w:p>
        </w:tc>
        <w:tc>
          <w:tcPr>
            <w:tcW w:type="dxa" w:w="3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主CSV、主表初稿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第6周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消融E4、支持/可达E5。</w:t>
            </w:r>
          </w:p>
        </w:tc>
        <w:tc>
          <w:tcPr>
            <w:tcW w:type="dxa" w:w="3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消融表、债务/可达图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第7周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鲁棒性E6–E7和T-Drive E9。</w:t>
            </w:r>
          </w:p>
        </w:tc>
        <w:tc>
          <w:tcPr>
            <w:tcW w:type="dxa" w:w="3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鲁棒性图、真实轨迹结果</w:t>
            </w:r>
          </w:p>
        </w:tc>
      </w:tr>
      <w:t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第8周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系统开销E8、统计检验、论文图表和复现包。</w:t>
            </w:r>
          </w:p>
        </w:tc>
        <w:tc>
          <w:tcPr>
            <w:tcW w:type="dxa" w:w="3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最终报告、paper_artifacts、release</w:t>
            </w:r>
          </w:p>
        </w:tc>
      </w:tr>
    </w:tbl>
    <w:p>
      <w:pPr>
        <w:spacing w:after="0"/>
      </w:pPr>
    </w:p>
    <w:p>
      <w:r>
        <w:t>若只有一名学生，先完成SensorScope和U-Air的E0–E5，再扩展Traffic与T-Drive；不要同时铺开所有数据集。</w:t>
      </w:r>
    </w:p>
    <w:p>
      <w:pPr>
        <w:pStyle w:val="Heading1"/>
      </w:pPr>
      <w:r>
        <w:t>19. 风险清单与应对措施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113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等级</w:t>
            </w:r>
          </w:p>
        </w:tc>
        <w:tc>
          <w:tcPr>
            <w:tcW w:type="dxa" w:w="5783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应对</w:t>
            </w:r>
          </w:p>
        </w:tc>
      </w:tr>
      <w:t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真实交通数据质量不足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57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先做站点质量门；不足时报告教师并决定是否将PEMS-BAY作为正式替代。</w:t>
            </w:r>
          </w:p>
        </w:tc>
      </w:tr>
      <w:t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FLAMF复现困难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中高</w:t>
            </w:r>
          </w:p>
        </w:tc>
        <w:tc>
          <w:tcPr>
            <w:tcW w:type="dxa" w:w="57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把TimeAlign-Agg作为主要同骨干对比；FLAMF只作为外部基线，明确复现差异。</w:t>
            </w:r>
          </w:p>
        </w:tc>
      </w:tr>
      <w:t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P2求解慢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  <w:tc>
          <w:tcPr>
            <w:tcW w:type="dxa" w:w="57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主结果用精确求解；规模实验实现投影一阶法；记录objective gap。</w:t>
            </w:r>
          </w:p>
        </w:tc>
      </w:tr>
      <w:t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权重爆炸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57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使用p/q floor、a/d clipping、ESS约束；报告截断率和弱支持。</w:t>
            </w:r>
          </w:p>
        </w:tc>
      </w:tr>
      <w:t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方法差异不明显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  <w:tc>
          <w:tcPr>
            <w:tcW w:type="dxa" w:w="57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检查机会/选择错位、σ_b和target shift是否真正非退化，而不是盲目调λ。</w:t>
            </w:r>
          </w:p>
        </w:tc>
      </w:tr>
      <w:t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Oracle反而更差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57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审计MC q、设计比方向、质量m与ESS混用、归一化和事件共享。</w:t>
            </w:r>
          </w:p>
        </w:tc>
      </w:tr>
      <w:t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测试泄漏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高</w:t>
            </w:r>
          </w:p>
        </w:tc>
        <w:tc>
          <w:tcPr>
            <w:tcW w:type="dxa" w:w="57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配置冻结、测试只运行一次、manifest记录选择阶段。</w:t>
            </w:r>
          </w:p>
        </w:tc>
      </w:tr>
      <w:t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统计量太多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  <w:tc>
          <w:tcPr>
            <w:tcW w:type="dxa" w:w="57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预注册主指标和主比较，其余放附录；避免挑结果。</w:t>
            </w:r>
          </w:p>
        </w:tc>
      </w:tr>
    </w:tbl>
    <w:p>
      <w:pPr>
        <w:spacing w:after="0"/>
      </w:pPr>
    </w:p>
    <w:p>
      <w:pPr>
        <w:pStyle w:val="Heading1"/>
      </w:pPr>
      <w:r>
        <w:t>20. 最终验收标准</w:t>
      </w:r>
    </w:p>
    <w:p>
      <w:pPr>
        <w:pStyle w:val="Heading2"/>
      </w:pPr>
      <w:r>
        <w:t>20.1 可进入论文主表的必要条件</w:t>
      </w:r>
    </w:p>
    <w:p>
      <w:pPr>
        <w:pStyle w:val="ListBullet"/>
        <w:ind w:left="369" w:hanging="142"/>
      </w:pPr>
      <w:r>
        <w:t>G0–G7全部通过。</w:t>
      </w:r>
    </w:p>
    <w:p>
      <w:pPr>
        <w:pStyle w:val="ListBullet"/>
        <w:ind w:left="369" w:hanging="142"/>
      </w:pPr>
      <w:r>
        <w:t>run的manifest完整，配置、数据、事件和代码可重建。</w:t>
      </w:r>
    </w:p>
    <w:p>
      <w:pPr>
        <w:pStyle w:val="ListBullet"/>
        <w:ind w:left="369" w:hanging="142"/>
      </w:pPr>
      <w:r>
        <w:t>场景满足目标支持与可达性要求，或明确标为stress。</w:t>
      </w:r>
    </w:p>
    <w:p>
      <w:pPr>
        <w:pStyle w:val="ListBullet"/>
        <w:ind w:left="369" w:hanging="142"/>
      </w:pPr>
      <w:r>
        <w:t>所有主要方法共享同一事件轨迹和同骨干协议。</w:t>
      </w:r>
    </w:p>
    <w:p>
      <w:pPr>
        <w:pStyle w:val="ListBullet"/>
        <w:ind w:left="369" w:hanging="142"/>
      </w:pPr>
      <w:r>
        <w:t>主结果为20个配对seed，统计检验和多重比较校正完整。</w:t>
      </w:r>
    </w:p>
    <w:p>
      <w:pPr>
        <w:pStyle w:val="ListBullet"/>
        <w:ind w:left="369" w:hanging="142"/>
      </w:pPr>
      <w:r>
        <w:t>结果表中没有手工复制数字；全部由聚合脚本生成。</w:t>
      </w:r>
    </w:p>
    <w:p>
      <w:pPr>
        <w:pStyle w:val="ListBullet"/>
        <w:ind w:left="369" w:hanging="142"/>
      </w:pPr>
      <w:r>
        <w:t>论文中的每个结论都能指向一个CSV/JSON和一条可重跑命令。</w:t>
      </w:r>
    </w:p>
    <w:p>
      <w:pPr>
        <w:pStyle w:val="Heading2"/>
      </w:pPr>
      <w:r>
        <w:t>20.2 高质量实验的最低证据链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92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证据</w:t>
            </w:r>
          </w:p>
        </w:tc>
        <w:tc>
          <w:tcPr>
            <w:tcW w:type="dxa" w:w="737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验收内容</w:t>
            </w:r>
          </w:p>
        </w:tc>
      </w:tr>
      <w:t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错位存在</w:t>
            </w:r>
          </w:p>
        </w:tc>
        <w:tc>
          <w:tcPr>
            <w:tcW w:type="dxa" w:w="73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Complete场景中arrival risk与target risk出现清晰差异；分布错位指标同步增大。</w:t>
            </w:r>
          </w:p>
        </w:tc>
      </w:tr>
      <w:t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两阶段必要</w:t>
            </w:r>
          </w:p>
        </w:tc>
        <w:tc>
          <w:tcPr>
            <w:tcW w:type="dxa" w:w="73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Local-Hajek与TwoStage-Hajek在对应单阶段/双阶段场景呈现预期排序。</w:t>
            </w:r>
          </w:p>
        </w:tc>
      </w:tr>
      <w:t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校准有效</w:t>
            </w:r>
          </w:p>
        </w:tc>
        <w:tc>
          <w:tcPr>
            <w:tcW w:type="dxa" w:w="73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完整RAVEN显著降低RMSE_μ和目标欠表示组误差，并降低Δ_pair/Δ_group。</w:t>
            </w:r>
          </w:p>
        </w:tc>
      </w:tr>
      <w:t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理论一致</w:t>
            </w:r>
          </w:p>
        </w:tc>
        <w:tc>
          <w:tcPr>
            <w:tcW w:type="dxa" w:w="73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债务确定性界始终成立；可达误差与残余组错位相关；pair discrepancy与目标误差相关。</w:t>
            </w:r>
          </w:p>
        </w:tc>
      </w:tr>
      <w:t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稳健边界清楚</w:t>
            </w:r>
          </w:p>
        </w:tc>
        <w:tc>
          <w:tcPr>
            <w:tcW w:type="dxa" w:w="73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弱支持、错设和隐藏混杂下不夸大能力，能够解释残余误差。</w:t>
            </w:r>
          </w:p>
        </w:tc>
      </w:tr>
      <w:t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开销可接受</w:t>
            </w:r>
          </w:p>
        </w:tc>
        <w:tc>
          <w:tcPr>
            <w:tcW w:type="dxa" w:w="73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P2和摘要传输相对本地训练/模型更新占比较小，且规模曲线明确。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524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r>
              <w:rPr>
                <w:b/>
                <w:color w:val="70AD47"/>
              </w:rPr>
              <w:t>最终提醒</w:t>
            </w:r>
            <w:r>
              <w:br/>
              <w:t>高质量实验不是要求RAVEN在每个指标、每个场景都第一，而是要求结果与方法作用和理论边界一致：Balanced不伤害、Complete改善目标风险、Oracle给出校正上限、弱支持和隐藏混杂产生可解释残余。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附录A：建议默认配置示例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experiment: E3_main_complete</w:t>
            </w:r>
            <w:r>
              <w:br/>
            </w:r>
            <w:r>
              <w:t>dataset: sensorscope</w:t>
            </w:r>
            <w:r>
              <w:br/>
            </w:r>
            <w:r>
              <w:t>seed: 26001</w:t>
            </w:r>
            <w:r>
              <w:br/>
            </w:r>
            <w:r>
              <w:t>split:</w:t>
            </w:r>
            <w:r>
              <w:br/>
            </w:r>
            <w:r>
              <w:t xml:space="preserve">  train: 0.60</w:t>
            </w:r>
            <w:r>
              <w:br/>
            </w:r>
            <w:r>
              <w:t xml:space="preserve">  validation: 0.20</w:t>
            </w:r>
            <w:r>
              <w:br/>
            </w:r>
            <w:r>
              <w:t xml:space="preserve">  test: 0.20</w:t>
            </w:r>
            <w:r>
              <w:br/>
            </w:r>
            <w:r>
              <w:t xml:space="preserve">  warmup_fraction_of_train: 0.20</w:t>
            </w:r>
            <w:r>
              <w:br/>
            </w:r>
            <w:r>
              <w:t>clients:</w:t>
            </w:r>
            <w:r>
              <w:br/>
            </w:r>
            <w:r>
              <w:t xml:space="preserve">  K: 50</w:t>
            </w:r>
            <w:r>
              <w:br/>
            </w:r>
            <w:r>
              <w:t xml:space="preserve">  local_steps: 5</w:t>
            </w:r>
            <w:r>
              <w:br/>
            </w:r>
            <w:r>
              <w:t xml:space="preserve">  risk_set_mean: 7</w:t>
            </w:r>
            <w:r>
              <w:br/>
            </w:r>
            <w:r>
              <w:t>window:</w:t>
            </w:r>
            <w:r>
              <w:br/>
            </w:r>
            <w:r>
              <w:t xml:space="preserve">  num_windows: 300</w:t>
            </w:r>
            <w:r>
              <w:br/>
            </w:r>
            <w:r>
              <w:t xml:space="preserve">  duration: 1.0</w:t>
            </w:r>
            <w:r>
              <w:br/>
            </w:r>
            <w:r>
              <w:t xml:space="preserve">  max_staleness: 5</w:t>
            </w:r>
            <w:r>
              <w:br/>
            </w:r>
            <w:r>
              <w:t>scenario:</w:t>
            </w:r>
            <w:r>
              <w:br/>
            </w:r>
            <w:r>
              <w:t xml:space="preserve">  name: complete_aligned</w:t>
            </w:r>
            <w:r>
              <w:br/>
            </w:r>
            <w:r>
              <w:t xml:space="preserve">  opportunity_skew: 1.0</w:t>
            </w:r>
            <w:r>
              <w:br/>
            </w:r>
            <w:r>
              <w:t xml:space="preserve">  mean_observation_rate: 0.20</w:t>
            </w:r>
            <w:r>
              <w:br/>
            </w:r>
            <w:r>
              <w:t xml:space="preserve">  mean_usable_rate: 0.60</w:t>
            </w:r>
            <w:r>
              <w:br/>
            </w:r>
            <w:r>
              <w:t xml:space="preserve">  client_bias_std_ratio: 0.20</w:t>
            </w:r>
            <w:r>
              <w:br/>
            </w:r>
            <w:r>
              <w:t>correction:</w:t>
            </w:r>
            <w:r>
              <w:br/>
            </w:r>
            <w:r>
              <w:t xml:space="preserve">  p_min: 0.05</w:t>
            </w:r>
            <w:r>
              <w:br/>
            </w:r>
            <w:r>
              <w:t xml:space="preserve">  q_min: 0.05</w:t>
            </w:r>
            <w:r>
              <w:br/>
            </w:r>
            <w:r>
              <w:t xml:space="preserve">  a_max: 20</w:t>
            </w:r>
            <w:r>
              <w:br/>
            </w:r>
            <w:r>
              <w:t xml:space="preserve">  d_max: 10</w:t>
            </w:r>
            <w:r>
              <w:br/>
            </w:r>
            <w:r>
              <w:t xml:space="preserve">  opportunity_forgetting: 0.95</w:t>
            </w:r>
            <w:r>
              <w:br/>
            </w:r>
            <w:r>
              <w:t>aggregation:</w:t>
            </w:r>
            <w:r>
              <w:br/>
            </w:r>
            <w:r>
              <w:t xml:space="preserve">  lambda_group: 1.0</w:t>
            </w:r>
            <w:r>
              <w:br/>
            </w:r>
            <w:r>
              <w:t xml:space="preserve">  lambda_reference: 1.0</w:t>
            </w:r>
            <w:r>
              <w:br/>
            </w:r>
            <w:r>
              <w:t xml:space="preserve">  lambda_variance: 0.1</w:t>
            </w:r>
            <w:r>
              <w:br/>
            </w:r>
            <w:r>
              <w:t xml:space="preserve">  lambda_staleness: 0.1</w:t>
            </w:r>
            <w:r>
              <w:br/>
            </w:r>
            <w:r>
              <w:t xml:space="preserve">  min_effective_clients: 3</w:t>
            </w:r>
            <w:r>
              <w:br/>
            </w:r>
            <w:r>
              <w:t xml:space="preserve">  alpha_max: 0.5</w:t>
            </w:r>
            <w:r>
              <w:br/>
            </w:r>
            <w:r>
              <w:t>solver:</w:t>
            </w:r>
            <w:r>
              <w:br/>
            </w:r>
            <w:r>
              <w:t xml:space="preserve">  backend: CLARABEL</w:t>
            </w:r>
            <w:r>
              <w:br/>
            </w:r>
            <w:r>
              <w:t xml:space="preserve">  tolerance: 1.0e-6</w:t>
            </w:r>
            <w:r>
              <w:br/>
            </w:r>
            <w:r>
              <w:t>statistics:</w:t>
            </w:r>
            <w:r>
              <w:br/>
            </w:r>
            <w:r>
              <w:t xml:space="preserve">  paired_seeds: 20</w:t>
            </w:r>
            <w:r>
              <w:br/>
            </w:r>
            <w:r>
              <w:t xml:space="preserve">  test: wilcoxon</w:t>
            </w:r>
            <w:r>
              <w:br/>
            </w:r>
            <w:r>
              <w:t xml:space="preserve">  multiplicity: holm</w:t>
            </w:r>
          </w:p>
        </w:tc>
      </w:tr>
    </w:tbl>
    <w:p>
      <w:pPr>
        <w:spacing w:after="0"/>
      </w:pPr>
    </w:p>
    <w:p>
      <w:pPr>
        <w:pStyle w:val="Heading1"/>
      </w:pPr>
      <w:r>
        <w:t>附录B：逐窗口输出字段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969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329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run_id, seed, dataset, method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身份与复现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r, I_r, K_attempt, K_usable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窗口和客户端数量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mean/min/max p_hat, q_hat, zeta_hat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校正诊断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clip_rate_a, clip_rate_d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截断率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m_k, n_eff_k, c_k,g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本地质量摘要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beta_k, alpha_k, max_alpha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参考与最终聚合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group_mismatch, reference_deviation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当前校准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Q_norm1, Q_norm2, debt_bound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债务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variance_proxy, update_variance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方差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mean_staleness, weighted_staleness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陈旧度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solver_status, solve_time, constraint_violation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</w:tr>
      <w:t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train_loss, val_snapshot_loss</w:t>
            </w:r>
          </w:p>
        </w:tc>
        <w:tc>
          <w:tcPr>
            <w:tcW w:type="dxa" w:w="532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优化轨迹</w:t>
            </w:r>
          </w:p>
        </w:tc>
      </w:tr>
    </w:tbl>
    <w:p>
      <w:pPr>
        <w:spacing w:after="0"/>
      </w:pPr>
    </w:p>
    <w:p>
      <w:pPr>
        <w:pStyle w:val="Heading1"/>
      </w:pPr>
      <w:r>
        <w:t>附录C：主运行命令建议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# 1. 数据审计与预处理</w:t>
            </w:r>
            <w:r>
              <w:br/>
            </w:r>
            <w:r>
              <w:t>python scripts/audit_data.py --dataset sensorscope</w:t>
            </w:r>
            <w:r>
              <w:br/>
            </w:r>
            <w:r>
              <w:t>python scripts/prepare_data.py --dataset sensorscope --freeze</w:t>
            </w:r>
            <w:r>
              <w:br/>
            </w:r>
            <w:r/>
            <w:r>
              <w:br/>
            </w:r>
            <w:r>
              <w:t># 2. 硬门</w:t>
            </w:r>
            <w:r>
              <w:br/>
            </w:r>
            <w:r>
              <w:t>pytest -q</w:t>
            </w:r>
            <w:r>
              <w:br/>
            </w:r>
            <w:r>
              <w:t>python scripts/run_experiment.py experiment=E1_balanced seeds=26001,26002,26003,26004,26005</w:t>
            </w:r>
            <w:r>
              <w:br/>
            </w:r>
            <w:r>
              <w:t>python scripts/check_hard_gates.py outputs/E1_balanced</w:t>
            </w:r>
            <w:r>
              <w:br/>
            </w:r>
            <w:r/>
            <w:r>
              <w:br/>
            </w:r>
            <w:r>
              <w:t># 3. 主实验</w:t>
            </w:r>
            <w:r>
              <w:br/>
            </w:r>
            <w:r>
              <w:t>python scripts/run_grid.py experiment=E2_misalignment --seeds-file configs/seeds_20.txt</w:t>
            </w:r>
            <w:r>
              <w:br/>
            </w:r>
            <w:r>
              <w:t>python scripts/run_grid.py experiment=E3_main_complete --seeds-file configs/seeds_20.txt</w:t>
            </w:r>
            <w:r>
              <w:br/>
            </w:r>
            <w:r>
              <w:t>python scripts/run_grid.py experiment=E4_ablation --seeds-file configs/seeds_20.txt</w:t>
            </w:r>
            <w:r>
              <w:br/>
            </w:r>
            <w:r/>
            <w:r>
              <w:br/>
            </w:r>
            <w:r>
              <w:t># 4. 聚合与制图</w:t>
            </w:r>
            <w:r>
              <w:br/>
            </w:r>
            <w:r>
              <w:t>python scripts/aggregate_results.py --experiment E3_main_complete</w:t>
            </w:r>
            <w:r>
              <w:br/>
            </w:r>
            <w:r>
              <w:t>python scripts/statistical_tests.py --experiment E3_main_complete</w:t>
            </w:r>
            <w:r>
              <w:br/>
            </w:r>
            <w:r>
              <w:t>python scripts/make_paper_artifacts.py --all</w:t>
            </w:r>
            <w:r>
              <w:br/>
            </w:r>
            <w:r/>
            <w:r>
              <w:br/>
            </w:r>
            <w:r>
              <w:t># 所有长任务必须支持：--dry-run --resume --max-workers --fail-fast</w:t>
            </w:r>
          </w:p>
        </w:tc>
      </w:tr>
    </w:tbl>
    <w:p>
      <w:pPr>
        <w:spacing w:after="0"/>
      </w:pPr>
    </w:p>
    <w:p>
      <w:pPr>
        <w:pStyle w:val="Heading1"/>
      </w:pPr>
      <w:r>
        <w:t>附录D：数据与方法参考资料</w:t>
      </w:r>
    </w:p>
    <w:p>
      <w:pPr>
        <w:pStyle w:val="SmallText"/>
      </w:pPr>
      <w:r>
        <w:t>[R1] E. Wang et al., “Federated Learning-Based Distributed Data Completion in Sparse Mobile CrowdSensing,” IEEE Transactions on Mobile Computing, vol. 25, no. 5, pp. 6784–6800, 2026.</w:t>
      </w:r>
    </w:p>
    <w:p>
      <w:pPr>
        <w:pStyle w:val="SmallText"/>
      </w:pPr>
      <w:r>
        <w:t>[R2] SensorScope Data, EPFL/Zenodo, https://zenodo.org/records/2654726 (accessed 2026-07-26).</w:t>
      </w:r>
    </w:p>
    <w:p>
      <w:pPr>
        <w:pStyle w:val="SmallText"/>
      </w:pPr>
      <w:r>
        <w:t>[R3] Microsoft Research Urban Air Project, https://www.microsoft.com/en-us/research/project/urban-air/ (accessed 2026-07-26).</w:t>
      </w:r>
    </w:p>
    <w:p>
      <w:pPr>
        <w:pStyle w:val="SmallText"/>
      </w:pPr>
      <w:r>
        <w:t>[R4] Transport for NSW, NSW Roads Traffic Volume Counts API, https://data.nsw.gov.au/data/dataset/2-nsw-roads-traffic-volume-counts-api (accessed 2026-07-26).</w:t>
      </w:r>
    </w:p>
    <w:p>
      <w:pPr>
        <w:pStyle w:val="SmallText"/>
      </w:pPr>
      <w:r>
        <w:t>[R5] Microsoft Research, T-Drive Trajectory Data Sample, https://www.microsoft.com/en-us/research/publication/t-drive-trajectory-data-sample/ (accessed 2026-07-26).</w:t>
      </w:r>
    </w:p>
    <w:p>
      <w:pPr>
        <w:pStyle w:val="SmallText"/>
      </w:pPr>
      <w:r>
        <w:t>[R6] D. G. Horvitz and D. J. Thompson, “A Generalization of Sampling Without Replacement from a Finite Universe,” JASA, 1952.</w:t>
      </w:r>
    </w:p>
    <w:p>
      <w:pPr>
        <w:pStyle w:val="SmallText"/>
      </w:pPr>
      <w:r>
        <w:t>[R7] B. McMahan et al., “Communication-Efficient Learning of Deep Networks from Decentralized Data,” AISTATS, 2017.</w:t>
      </w:r>
    </w:p>
    <w:p>
      <w:pPr>
        <w:pStyle w:val="Heading1"/>
      </w:pPr>
      <w:r>
        <w:t>附录E：学生提交给教师的最终实验包</w:t>
      </w:r>
    </w:p>
    <w:p>
      <w:pPr>
        <w:pStyle w:val="ListBullet"/>
        <w:ind w:left="369" w:hanging="142"/>
      </w:pPr>
      <w:r>
        <w:t>README_REPRODUCE.md：从零环境到生成全部论文表图的命令。</w:t>
      </w:r>
    </w:p>
    <w:p>
      <w:pPr>
        <w:pStyle w:val="ListBullet"/>
        <w:ind w:left="369" w:hanging="142"/>
      </w:pPr>
      <w:r>
        <w:t>DATA_AUDIT_REPORT.md：每个数据集质量、split、支持和哈希。</w:t>
      </w:r>
    </w:p>
    <w:p>
      <w:pPr>
        <w:pStyle w:val="ListBullet"/>
        <w:ind w:left="369" w:hanging="142"/>
      </w:pPr>
      <w:r>
        <w:t>HARD_GATE_REPORT.md：G0–G7逐项证据。</w:t>
      </w:r>
    </w:p>
    <w:p>
      <w:pPr>
        <w:pStyle w:val="ListBullet"/>
        <w:ind w:left="369" w:hanging="142"/>
      </w:pPr>
      <w:r>
        <w:t>EXPERIMENT_REPORT.md：RQ1–RQ6的结果与解释。</w:t>
      </w:r>
    </w:p>
    <w:p>
      <w:pPr>
        <w:pStyle w:val="ListBullet"/>
        <w:ind w:left="369" w:hanging="142"/>
      </w:pPr>
      <w:r>
        <w:t>paper_artifacts/tables/*.tex与*.csv。</w:t>
      </w:r>
    </w:p>
    <w:p>
      <w:pPr>
        <w:pStyle w:val="ListBullet"/>
        <w:ind w:left="369" w:hanging="142"/>
      </w:pPr>
      <w:r>
        <w:t>paper_artifacts/figures/*.pdf、*.png和plot_data/*.csv。</w:t>
      </w:r>
    </w:p>
    <w:p>
      <w:pPr>
        <w:pStyle w:val="ListBullet"/>
        <w:ind w:left="369" w:hanging="142"/>
      </w:pPr>
      <w:r>
        <w:t>所有run的manifest、resolved config、原始逐窗口metrics和日志。</w:t>
      </w:r>
    </w:p>
    <w:p>
      <w:pPr>
        <w:pStyle w:val="ListBullet"/>
        <w:ind w:left="369" w:hanging="142"/>
      </w:pPr>
      <w:r>
        <w:t>environment.yml、requirements-lock.txt、git_provenance.json。</w:t>
      </w:r>
    </w:p>
    <w:p>
      <w:pPr>
        <w:pStyle w:val="ListBullet"/>
        <w:ind w:left="369" w:hanging="142"/>
      </w:pPr>
      <w:r>
        <w:t>一页LIMITATIONS.md：弱支持、错设、隐藏混杂、真实轨迹半合成部分和无法复现项。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7"/>
      </w:rPr>
      <w:t xml:space="preserve">第 </w:t>
    </w:r>
    <w:fldSimple w:instr="PAGE"/>
    <w:r>
      <w:rPr>
        <w:rFonts w:ascii="Noto Sans CJK SC" w:hAnsi="Noto Sans CJK SC" w:eastAsia="Noto Sans CJK S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RAVEN-MCS V2.3 实验设计方案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4454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52" w:lineRule="auto"/>
      <w:ind w:left="227" w:right="113"/>
    </w:pPr>
    <w:rPr>
      <w:rFonts w:ascii="Consolas" w:hAnsi="Consolas" w:eastAsia="Noto Sans Mono CJK SC"/>
      <w:sz w:val="17"/>
    </w:rPr>
  </w:style>
  <w:style w:type="paragraph" w:customStyle="1" w:styleId="Equation">
    <w:name w:val="Equation"/>
    <w:pPr>
      <w:spacing w:before="80" w:after="80"/>
      <w:jc w:val="center"/>
    </w:pPr>
    <w:rPr>
      <w:rFonts w:ascii="Cambria Math" w:hAnsi="Cambria Math" w:eastAsia="Cambria Math"/>
      <w:sz w:val="21"/>
    </w:rPr>
  </w:style>
  <w:style w:type="paragraph" w:customStyle="1" w:styleId="SmallText">
    <w:name w:val="Small Text"/>
    <w:pPr>
      <w:spacing w:line="252" w:lineRule="auto" w:after="40"/>
    </w:pPr>
    <w:rPr>
      <w:rFonts w:ascii="Noto Sans CJK SC" w:hAnsi="Noto Sans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RAVEN-MCS V2.3 实验设计方案</dc:title>
  <dc:subject>Target-risk-calibrated asynchronous federated data completion experimental plan</dc:subject>
  <dc:creator>OpenAI</dc:creator>
  <cp:keywords>RAVEN-MCS, experiment design, mobile crowdsensing, federated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