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bookmarkStart w:colFirst="0" w:colLast="0" w:name="_etxemtlswi41" w:id="0"/>
      <w:bookmarkEnd w:id="0"/>
      <w:r w:rsidDel="00000000" w:rsidR="00000000" w:rsidRPr="00000000">
        <w:rPr>
          <w:sz w:val="32"/>
          <w:szCs w:val="32"/>
          <w:rtl w:val="0"/>
        </w:rPr>
        <w:t xml:space="preserve">Reglamento Interno de funcionamiento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va4vcfpeqad" w:id="1"/>
      <w:bookmarkEnd w:id="1"/>
      <w:r w:rsidDel="00000000" w:rsidR="00000000" w:rsidRPr="00000000">
        <w:rPr>
          <w:rtl w:val="0"/>
        </w:rPr>
        <w:t xml:space="preserve">metaberry studios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Motivos para considerar la expulsión del grupo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 votación unánime, ante cualquier percance el cual sea considerado competente para realizar una expulsión del grupo del proyecto.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sucederá con el nombre de la empresa en caso de expulsión o disolución del equipo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caso de ser necesario expulsar integrantes, estos podrán acceder al derecho de nombre de la empresa, y utilizar los materiales que se hayan contribuido hasta la fecha de su expulsión.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la disolución del equipo, todos los integrantes se reservaran el derecho sobre el proyecto y sus materiales creados.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tomar decisiones dentro del equipo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decisiones podrán ser ejecutadas si y sólo si se llega a la mayoría de votos, en caso de unanimidad serán ejecutadas también.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