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diagram represents </w:t>
      </w:r>
      <w:r w:rsidDel="00000000" w:rsidR="00000000" w:rsidRPr="00000000">
        <w:rPr>
          <w:b w:val="1"/>
          <w:bCs w:val="1"/>
          <w:rtl w:val="0"/>
        </w:rPr>
        <w:t xml:space="preserve">cardiac muscle</w:t>
      </w:r>
      <w:r w:rsidDel="00000000" w:rsidR="00000000" w:rsidRPr="00000000">
        <w:rPr>
          <w:rtl w:val="0"/>
        </w:rPr>
        <w:t xml:space="preserve">, using specific human proteins rather than generic families. </w:t>
      </w:r>
      <w:r w:rsidDel="00000000" w:rsidR="00000000" w:rsidRPr="00000000">
        <w:rPr>
          <w:b w:val="1"/>
          <w:bCs w:val="1"/>
          <w:rtl w:val="0"/>
        </w:rPr>
        <w:t xml:space="preserve">PFKFB2, PFKM and FBP2</w:t>
      </w:r>
      <w:r w:rsidDel="00000000" w:rsidR="00000000" w:rsidRPr="00000000">
        <w:rPr>
          <w:rtl w:val="0"/>
        </w:rPr>
        <w:t xml:space="preserve"> reflect the cardiac/muscle context, with </w:t>
      </w:r>
      <w:r w:rsidDel="00000000" w:rsidR="00000000" w:rsidRPr="00000000">
        <w:rPr>
          <w:b w:val="1"/>
          <w:bCs w:val="1"/>
          <w:rtl w:val="0"/>
        </w:rPr>
        <w:t xml:space="preserve">FBP2</w:t>
      </w:r>
      <w:r w:rsidDel="00000000" w:rsidR="00000000" w:rsidRPr="00000000">
        <w:rPr>
          <w:rtl w:val="0"/>
        </w:rPr>
        <w:t xml:space="preserve"> used instead of liver-associated </w:t>
      </w:r>
      <w:r w:rsidDel="00000000" w:rsidR="00000000" w:rsidRPr="00000000">
        <w:rPr>
          <w:b w:val="1"/>
          <w:bCs w:val="1"/>
          <w:rtl w:val="0"/>
        </w:rPr>
        <w:t xml:space="preserve">FBP1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ADCY5 and ADCY6</w:t>
      </w:r>
      <w:r w:rsidDel="00000000" w:rsidR="00000000" w:rsidRPr="00000000">
        <w:rPr>
          <w:rtl w:val="0"/>
        </w:rPr>
        <w:t xml:space="preserve"> represent major cardiac adenylyl cyclases; other isoforms are relevant in other tissues, including </w:t>
      </w:r>
      <w:r w:rsidDel="00000000" w:rsidR="00000000" w:rsidRPr="00000000">
        <w:rPr>
          <w:b w:val="1"/>
          <w:bCs w:val="1"/>
          <w:rtl w:val="0"/>
        </w:rPr>
        <w:t xml:space="preserve">ADCY9 in skeletal muscle</w:t>
      </w:r>
      <w:r w:rsidDel="00000000" w:rsidR="00000000" w:rsidRPr="00000000">
        <w:rPr>
          <w:rtl w:val="0"/>
        </w:rPr>
        <w:t xml:space="preserve">. PKA has alternative catalytic (</w:t>
      </w:r>
      <w:r w:rsidDel="00000000" w:rsidR="00000000" w:rsidRPr="00000000">
        <w:rPr>
          <w:b w:val="1"/>
          <w:bCs w:val="1"/>
          <w:rtl w:val="0"/>
        </w:rPr>
        <w:t xml:space="preserve">PRKACA/PRKACB</w:t>
      </w:r>
      <w:r w:rsidDel="00000000" w:rsidR="00000000" w:rsidRPr="00000000">
        <w:rPr>
          <w:rtl w:val="0"/>
        </w:rPr>
        <w:t xml:space="preserve">) and regulatory (</w:t>
      </w:r>
      <w:r w:rsidDel="00000000" w:rsidR="00000000" w:rsidRPr="00000000">
        <w:rPr>
          <w:b w:val="1"/>
          <w:bCs w:val="1"/>
          <w:rtl w:val="0"/>
        </w:rPr>
        <w:t xml:space="preserve">PRKAR1A/B, PRKAR2A/B</w:t>
      </w:r>
      <w:r w:rsidDel="00000000" w:rsidR="00000000" w:rsidRPr="00000000">
        <w:rPr>
          <w:rtl w:val="0"/>
        </w:rPr>
        <w:t xml:space="preserve">) subunits; </w:t>
      </w:r>
      <w:r w:rsidDel="00000000" w:rsidR="00000000" w:rsidRPr="00000000">
        <w:rPr>
          <w:b w:val="1"/>
          <w:bCs w:val="1"/>
          <w:rtl w:val="0"/>
        </w:rPr>
        <w:t xml:space="preserve">PRKACA and PRKAR2A</w:t>
      </w:r>
      <w:r w:rsidDel="00000000" w:rsidR="00000000" w:rsidRPr="00000000">
        <w:rPr>
          <w:rtl w:val="0"/>
        </w:rPr>
        <w:t xml:space="preserve"> are used here as a specific cardiac example.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it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itter" w:cs="Bitter" w:eastAsia="Bitter" w:hAnsi="Bitter"/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4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left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tter-regular.ttf"/><Relationship Id="rId2" Type="http://schemas.openxmlformats.org/officeDocument/2006/relationships/font" Target="fonts/Bitter-bold.ttf"/><Relationship Id="rId3" Type="http://schemas.openxmlformats.org/officeDocument/2006/relationships/font" Target="fonts/Bitter-italic.ttf"/><Relationship Id="rId4" Type="http://schemas.openxmlformats.org/officeDocument/2006/relationships/font" Target="fonts/Bit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