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6395A" w14:textId="77777777" w:rsidR="00191288" w:rsidRDefault="00191288" w:rsidP="0026312E">
      <w:pPr>
        <w:ind w:left="284" w:hanging="284"/>
        <w:jc w:val="both"/>
      </w:pPr>
    </w:p>
    <w:p w14:paraId="2068CE9D" w14:textId="3FE34FC2" w:rsidR="00191288" w:rsidRPr="00191288" w:rsidRDefault="00191288" w:rsidP="005B713B">
      <w:pPr>
        <w:pStyle w:val="ListParagraph"/>
        <w:ind w:left="284"/>
        <w:jc w:val="center"/>
        <w:rPr>
          <w:b/>
          <w:bCs/>
          <w:sz w:val="28"/>
          <w:szCs w:val="28"/>
        </w:rPr>
      </w:pPr>
      <w:r w:rsidRPr="00191288">
        <w:rPr>
          <w:b/>
          <w:bCs/>
          <w:sz w:val="28"/>
          <w:szCs w:val="28"/>
        </w:rPr>
        <w:t>Terms of Reference (</w:t>
      </w:r>
      <w:proofErr w:type="spellStart"/>
      <w:r w:rsidRPr="00191288">
        <w:rPr>
          <w:b/>
          <w:bCs/>
          <w:sz w:val="28"/>
          <w:szCs w:val="28"/>
        </w:rPr>
        <w:t>ToR</w:t>
      </w:r>
      <w:proofErr w:type="spellEnd"/>
      <w:r w:rsidRPr="00191288">
        <w:rPr>
          <w:b/>
          <w:bCs/>
          <w:sz w:val="28"/>
          <w:szCs w:val="28"/>
        </w:rPr>
        <w:t>) for CHESS-Hub</w:t>
      </w:r>
    </w:p>
    <w:p w14:paraId="61024CAF" w14:textId="77777777" w:rsidR="00191288" w:rsidRPr="00191288" w:rsidRDefault="00191288" w:rsidP="0026312E">
      <w:pPr>
        <w:pStyle w:val="ListParagraph"/>
        <w:ind w:left="284"/>
        <w:jc w:val="both"/>
      </w:pPr>
    </w:p>
    <w:p w14:paraId="6BC3A84A" w14:textId="6FCB3021" w:rsidR="009E32D2" w:rsidRDefault="009E32D2" w:rsidP="0026312E">
      <w:pPr>
        <w:pStyle w:val="ListParagraph"/>
        <w:numPr>
          <w:ilvl w:val="0"/>
          <w:numId w:val="1"/>
        </w:numPr>
        <w:ind w:left="284" w:hanging="284"/>
        <w:jc w:val="both"/>
      </w:pPr>
      <w:r w:rsidRPr="009E32D2">
        <w:rPr>
          <w:b/>
          <w:bCs/>
        </w:rPr>
        <w:t>Name:</w:t>
      </w:r>
      <w:r>
        <w:t xml:space="preserve"> </w:t>
      </w:r>
      <w:proofErr w:type="spellStart"/>
      <w:r>
        <w:t>C</w:t>
      </w:r>
      <w:r w:rsidR="0033107E">
        <w:t>HE</w:t>
      </w:r>
      <w:r>
        <w:t>mical</w:t>
      </w:r>
      <w:proofErr w:type="spellEnd"/>
      <w:r>
        <w:t xml:space="preserve"> Structural Solutions </w:t>
      </w:r>
      <w:r w:rsidR="0033107E">
        <w:t xml:space="preserve">for metabolites - </w:t>
      </w:r>
      <w:r>
        <w:t>Hub (CHESS-Hub)</w:t>
      </w:r>
    </w:p>
    <w:p w14:paraId="4C1C0BE7" w14:textId="77777777" w:rsidR="009E32D2" w:rsidRDefault="009E32D2" w:rsidP="0026312E">
      <w:pPr>
        <w:jc w:val="both"/>
      </w:pPr>
    </w:p>
    <w:p w14:paraId="6B0181D8" w14:textId="5102AE56" w:rsidR="009E32D2" w:rsidRDefault="009E32D2" w:rsidP="0026312E">
      <w:pPr>
        <w:jc w:val="both"/>
        <w:rPr>
          <w:b/>
          <w:bCs/>
        </w:rPr>
      </w:pPr>
      <w:r>
        <w:t xml:space="preserve">2. </w:t>
      </w:r>
      <w:r w:rsidR="00A03978">
        <w:rPr>
          <w:b/>
          <w:bCs/>
        </w:rPr>
        <w:t>Aim</w:t>
      </w:r>
      <w:r w:rsidRPr="009E32D2">
        <w:rPr>
          <w:b/>
          <w:bCs/>
        </w:rPr>
        <w:t xml:space="preserve"> </w:t>
      </w:r>
      <w:r w:rsidR="00A03978">
        <w:rPr>
          <w:b/>
          <w:bCs/>
        </w:rPr>
        <w:t>and</w:t>
      </w:r>
      <w:r w:rsidRPr="009E32D2">
        <w:rPr>
          <w:b/>
          <w:bCs/>
        </w:rPr>
        <w:t xml:space="preserve"> Objectives</w:t>
      </w:r>
    </w:p>
    <w:p w14:paraId="7CB1E8EB" w14:textId="77777777" w:rsidR="005D6928" w:rsidRDefault="005D6928" w:rsidP="0026312E">
      <w:pPr>
        <w:ind w:left="284"/>
        <w:jc w:val="both"/>
      </w:pPr>
    </w:p>
    <w:p w14:paraId="49F55564" w14:textId="79A14CBB" w:rsidR="00C80380" w:rsidRPr="00C80380" w:rsidRDefault="00A466ED" w:rsidP="0026312E">
      <w:pPr>
        <w:ind w:left="284"/>
        <w:jc w:val="both"/>
      </w:pPr>
      <w:r>
        <w:t xml:space="preserve">The CHESS-hub’s mission </w:t>
      </w:r>
      <w:r w:rsidR="00A03978">
        <w:t>is to</w:t>
      </w:r>
      <w:r w:rsidR="00C80380">
        <w:t xml:space="preserve"> advance the field of chemical structural elucidation for metabolite identification and biomarker discovery through collaboration, knowledge exchange, and training in spectroscopic </w:t>
      </w:r>
      <w:r w:rsidR="00A03978">
        <w:t>techniques, including nuclear magnetic resonance (</w:t>
      </w:r>
      <w:r w:rsidR="00C80380">
        <w:t>NMR</w:t>
      </w:r>
      <w:r w:rsidR="00A03978">
        <w:t>)</w:t>
      </w:r>
      <w:r w:rsidR="00C80380">
        <w:t xml:space="preserve">, </w:t>
      </w:r>
      <w:r w:rsidR="00A03978">
        <w:t>mass spectrometry (</w:t>
      </w:r>
      <w:r w:rsidR="00C80380">
        <w:t>MS</w:t>
      </w:r>
      <w:r w:rsidR="00A03978">
        <w:t>)</w:t>
      </w:r>
      <w:r w:rsidR="00C80380">
        <w:t xml:space="preserve">, </w:t>
      </w:r>
      <w:r w:rsidR="00A03978">
        <w:t>i</w:t>
      </w:r>
      <w:r w:rsidR="00A03978" w:rsidRPr="00A03978">
        <w:t xml:space="preserve">nfrared </w:t>
      </w:r>
      <w:r w:rsidR="00A03978">
        <w:t>s</w:t>
      </w:r>
      <w:r w:rsidR="00A03978" w:rsidRPr="00A03978">
        <w:t>pectroscopy</w:t>
      </w:r>
      <w:r w:rsidR="00A03978">
        <w:t xml:space="preserve"> (</w:t>
      </w:r>
      <w:r w:rsidR="00C80380">
        <w:t>IR</w:t>
      </w:r>
      <w:r w:rsidR="00A03978">
        <w:t>)</w:t>
      </w:r>
      <w:r w:rsidR="00C80380">
        <w:t xml:space="preserve">, </w:t>
      </w:r>
      <w:r w:rsidR="00A03978">
        <w:t>ultraviolet-visible spectroscopy (</w:t>
      </w:r>
      <w:r w:rsidR="00C80380">
        <w:t xml:space="preserve">UV-Vis). </w:t>
      </w:r>
      <w:r w:rsidR="005D6928">
        <w:t xml:space="preserve"> </w:t>
      </w:r>
      <w:r w:rsidR="00C80380">
        <w:t xml:space="preserve">The </w:t>
      </w:r>
      <w:r w:rsidR="008B2FA7">
        <w:t>hub</w:t>
      </w:r>
      <w:r w:rsidR="00C80380">
        <w:t xml:space="preserve"> </w:t>
      </w:r>
      <w:r w:rsidR="008B2FA7">
        <w:t>aims</w:t>
      </w:r>
      <w:r w:rsidR="008B2FA7" w:rsidRPr="008B2FA7">
        <w:t xml:space="preserve"> to connect researchers across career stages worldwide, promote interdisciplinary approaches, and drive innovation in spectroscopic </w:t>
      </w:r>
      <w:r w:rsidR="008B2FA7" w:rsidRPr="00CD4668">
        <w:t>and computational methods</w:t>
      </w:r>
      <w:r w:rsidR="008B2FA7" w:rsidRPr="008B2FA7">
        <w:t xml:space="preserve"> for molecular</w:t>
      </w:r>
      <w:r>
        <w:t xml:space="preserve"> </w:t>
      </w:r>
      <w:r w:rsidR="008B2FA7" w:rsidRPr="008B2FA7">
        <w:t>identification.</w:t>
      </w:r>
      <w:r w:rsidR="008B2FA7">
        <w:t xml:space="preserve"> </w:t>
      </w:r>
    </w:p>
    <w:p w14:paraId="2FF91974" w14:textId="77777777" w:rsidR="00C80380" w:rsidRPr="009E32D2" w:rsidRDefault="00C80380" w:rsidP="0026312E">
      <w:pPr>
        <w:jc w:val="both"/>
        <w:rPr>
          <w:b/>
          <w:bCs/>
        </w:rPr>
      </w:pPr>
    </w:p>
    <w:p w14:paraId="33DF2F02" w14:textId="3C89248B" w:rsidR="009E32D2" w:rsidRDefault="009E32D2" w:rsidP="0026312E">
      <w:pPr>
        <w:jc w:val="both"/>
        <w:rPr>
          <w:b/>
          <w:bCs/>
        </w:rPr>
      </w:pPr>
      <w:r>
        <w:t xml:space="preserve">2.1 </w:t>
      </w:r>
      <w:r w:rsidRPr="009E32D2">
        <w:rPr>
          <w:b/>
          <w:bCs/>
        </w:rPr>
        <w:t>Aim</w:t>
      </w:r>
    </w:p>
    <w:p w14:paraId="04F42099" w14:textId="77777777" w:rsidR="00700C35" w:rsidRDefault="00700C35" w:rsidP="0026312E">
      <w:pPr>
        <w:jc w:val="both"/>
      </w:pPr>
    </w:p>
    <w:p w14:paraId="141B3D04" w14:textId="1EB218BC" w:rsidR="009E32D2" w:rsidRDefault="009E32D2" w:rsidP="0026312E">
      <w:pPr>
        <w:ind w:left="426"/>
        <w:jc w:val="both"/>
      </w:pPr>
      <w:r>
        <w:t xml:space="preserve">To foster international collaboration, </w:t>
      </w:r>
      <w:r w:rsidR="005D463F">
        <w:t xml:space="preserve">facilitate </w:t>
      </w:r>
      <w:r>
        <w:t>knowledge sharing,</w:t>
      </w:r>
      <w:r w:rsidR="005D463F">
        <w:t xml:space="preserve"> </w:t>
      </w:r>
      <w:r>
        <w:t>and</w:t>
      </w:r>
      <w:r w:rsidR="005D463F">
        <w:t xml:space="preserve"> drive</w:t>
      </w:r>
      <w:r>
        <w:t xml:space="preserve"> innovation in the structural elucidation of </w:t>
      </w:r>
      <w:r w:rsidR="005D463F">
        <w:t xml:space="preserve">metabolites </w:t>
      </w:r>
      <w:r>
        <w:t>using advanced spectroscopic</w:t>
      </w:r>
      <w:r w:rsidR="00FC1D9C">
        <w:t xml:space="preserve"> and </w:t>
      </w:r>
      <w:r w:rsidR="00CD4668">
        <w:t>computational</w:t>
      </w:r>
      <w:r>
        <w:t xml:space="preserve"> techniques. </w:t>
      </w:r>
    </w:p>
    <w:p w14:paraId="74007B65" w14:textId="77777777" w:rsidR="009E32D2" w:rsidRDefault="009E32D2" w:rsidP="0026312E">
      <w:pPr>
        <w:jc w:val="both"/>
      </w:pPr>
    </w:p>
    <w:p w14:paraId="55E80CD5" w14:textId="73ACF48A" w:rsidR="009E32D2" w:rsidRDefault="009E32D2" w:rsidP="0026312E">
      <w:pPr>
        <w:jc w:val="both"/>
        <w:rPr>
          <w:b/>
          <w:bCs/>
        </w:rPr>
      </w:pPr>
      <w:r>
        <w:t xml:space="preserve">2.2 </w:t>
      </w:r>
      <w:r w:rsidRPr="009E32D2">
        <w:rPr>
          <w:b/>
          <w:bCs/>
        </w:rPr>
        <w:t>Objectives</w:t>
      </w:r>
    </w:p>
    <w:p w14:paraId="4269F4A5" w14:textId="77777777" w:rsidR="00700C35" w:rsidRDefault="00700C35" w:rsidP="0026312E">
      <w:pPr>
        <w:jc w:val="both"/>
      </w:pPr>
    </w:p>
    <w:p w14:paraId="51A2E904" w14:textId="4D14B765" w:rsidR="009E32D2" w:rsidRDefault="009E32D2" w:rsidP="0026312E">
      <w:pPr>
        <w:pStyle w:val="ListParagraph"/>
        <w:numPr>
          <w:ilvl w:val="0"/>
          <w:numId w:val="2"/>
        </w:numPr>
        <w:spacing w:after="120"/>
        <w:ind w:hanging="295"/>
        <w:contextualSpacing w:val="0"/>
        <w:jc w:val="both"/>
      </w:pPr>
      <w:r>
        <w:t>Promote methodological innovation and best practices in spectroscopic-based metabolite identification</w:t>
      </w:r>
      <w:r w:rsidR="00DF33C8">
        <w:t>,</w:t>
      </w:r>
      <w:r>
        <w:t xml:space="preserve"> applicable across </w:t>
      </w:r>
      <w:r w:rsidR="00DF33C8">
        <w:t xml:space="preserve">diverse </w:t>
      </w:r>
      <w:r>
        <w:t xml:space="preserve">research fields including but not limited </w:t>
      </w:r>
      <w:proofErr w:type="gramStart"/>
      <w:r>
        <w:t>to:</w:t>
      </w:r>
      <w:proofErr w:type="gramEnd"/>
      <w:r>
        <w:t xml:space="preserve"> metabolomics, nutrition, agriculture, environmental sciences, microbiome, natural products</w:t>
      </w:r>
      <w:r w:rsidR="00A51F00">
        <w:t xml:space="preserve">, </w:t>
      </w:r>
      <w:r w:rsidR="00FC1D9C">
        <w:t xml:space="preserve">and </w:t>
      </w:r>
      <w:r>
        <w:t>biomarkers discovery.</w:t>
      </w:r>
    </w:p>
    <w:p w14:paraId="327EAB02" w14:textId="058A8F69" w:rsidR="00A51F00" w:rsidRDefault="00A51F00" w:rsidP="0026312E">
      <w:pPr>
        <w:pStyle w:val="ListParagraph"/>
        <w:numPr>
          <w:ilvl w:val="0"/>
          <w:numId w:val="2"/>
        </w:numPr>
        <w:spacing w:after="120"/>
        <w:ind w:hanging="295"/>
        <w:contextualSpacing w:val="0"/>
        <w:jc w:val="both"/>
      </w:pPr>
      <w:r>
        <w:t>Organise webinars, seminars, workshops, conferences, collaborative projects, training sessions.</w:t>
      </w:r>
    </w:p>
    <w:p w14:paraId="40732C2A" w14:textId="048A8535" w:rsidR="00A51F00" w:rsidRDefault="00A51F00" w:rsidP="0026312E">
      <w:pPr>
        <w:pStyle w:val="ListParagraph"/>
        <w:numPr>
          <w:ilvl w:val="0"/>
          <w:numId w:val="2"/>
        </w:numPr>
        <w:spacing w:after="120"/>
        <w:ind w:hanging="295"/>
        <w:contextualSpacing w:val="0"/>
        <w:jc w:val="both"/>
      </w:pPr>
      <w:r>
        <w:t>Facilitate open</w:t>
      </w:r>
      <w:r w:rsidRPr="009E32D2">
        <w:rPr>
          <w:rFonts w:ascii="Cambria Math" w:hAnsi="Cambria Math" w:cs="Cambria Math"/>
        </w:rPr>
        <w:t>‑</w:t>
      </w:r>
      <w:r>
        <w:t>access</w:t>
      </w:r>
      <w:r w:rsidR="008E2AF3">
        <w:t xml:space="preserve"> to</w:t>
      </w:r>
      <w:r>
        <w:t xml:space="preserve"> training materials, databases, and standard operating procedures</w:t>
      </w:r>
      <w:r w:rsidR="008E2AF3">
        <w:t xml:space="preserve"> (SOPs).</w:t>
      </w:r>
    </w:p>
    <w:p w14:paraId="6676284F" w14:textId="36A8AEA6" w:rsidR="009E32D2" w:rsidRDefault="009E32D2" w:rsidP="0026312E">
      <w:pPr>
        <w:pStyle w:val="ListParagraph"/>
        <w:numPr>
          <w:ilvl w:val="0"/>
          <w:numId w:val="2"/>
        </w:numPr>
        <w:spacing w:after="120"/>
        <w:ind w:hanging="295"/>
        <w:contextualSpacing w:val="0"/>
        <w:jc w:val="both"/>
      </w:pPr>
      <w:r>
        <w:t xml:space="preserve">Serve as a platform for </w:t>
      </w:r>
      <w:r w:rsidR="008E2AF3">
        <w:t xml:space="preserve">researchers, particularly those at the </w:t>
      </w:r>
      <w:r w:rsidR="0015111E">
        <w:t>e</w:t>
      </w:r>
      <w:r w:rsidR="008E2AF3">
        <w:t xml:space="preserve">arly </w:t>
      </w:r>
      <w:r w:rsidR="0015111E">
        <w:t>c</w:t>
      </w:r>
      <w:r w:rsidR="008E2AF3">
        <w:t xml:space="preserve">areer level, </w:t>
      </w:r>
      <w:r>
        <w:t>to gain visibility, mentorship, and networking</w:t>
      </w:r>
      <w:r w:rsidR="008E2AF3">
        <w:t xml:space="preserve"> o</w:t>
      </w:r>
      <w:r w:rsidR="00D541F0">
        <w:t>p</w:t>
      </w:r>
      <w:r w:rsidR="008E2AF3">
        <w:t>portunities</w:t>
      </w:r>
      <w:r>
        <w:t>.</w:t>
      </w:r>
    </w:p>
    <w:p w14:paraId="2B0604AA" w14:textId="0962A4B1" w:rsidR="009E32D2" w:rsidRDefault="009E32D2" w:rsidP="0026312E">
      <w:pPr>
        <w:pStyle w:val="ListParagraph"/>
        <w:numPr>
          <w:ilvl w:val="0"/>
          <w:numId w:val="2"/>
        </w:numPr>
        <w:spacing w:after="120"/>
        <w:ind w:hanging="295"/>
        <w:contextualSpacing w:val="0"/>
        <w:jc w:val="both"/>
      </w:pPr>
      <w:r>
        <w:t xml:space="preserve">Encourage cross-disciplinary exchange </w:t>
      </w:r>
      <w:r w:rsidR="00554EE4">
        <w:t>amongst</w:t>
      </w:r>
      <w:r>
        <w:t xml:space="preserve"> academic, clinical, industrial, and regulatory communities.</w:t>
      </w:r>
    </w:p>
    <w:p w14:paraId="7433D111" w14:textId="77777777" w:rsidR="009E32D2" w:rsidRDefault="009E32D2" w:rsidP="0026312E">
      <w:pPr>
        <w:jc w:val="both"/>
      </w:pPr>
    </w:p>
    <w:p w14:paraId="02E86BAC" w14:textId="4D3B5B4D" w:rsidR="009E32D2" w:rsidRDefault="009E32D2" w:rsidP="0026312E">
      <w:pPr>
        <w:jc w:val="both"/>
        <w:rPr>
          <w:b/>
          <w:bCs/>
        </w:rPr>
      </w:pPr>
      <w:r>
        <w:t xml:space="preserve">3. </w:t>
      </w:r>
      <w:r w:rsidRPr="009E32D2">
        <w:rPr>
          <w:b/>
          <w:bCs/>
        </w:rPr>
        <w:t>Membership</w:t>
      </w:r>
      <w:r w:rsidR="00EB57E5">
        <w:rPr>
          <w:b/>
          <w:bCs/>
        </w:rPr>
        <w:t xml:space="preserve"> and </w:t>
      </w:r>
      <w:r w:rsidR="00EB57E5" w:rsidRPr="009E32D2">
        <w:rPr>
          <w:b/>
          <w:bCs/>
        </w:rPr>
        <w:t>Members</w:t>
      </w:r>
    </w:p>
    <w:p w14:paraId="74F7F0D6" w14:textId="77777777" w:rsidR="00700C35" w:rsidRDefault="00700C35" w:rsidP="0026312E">
      <w:pPr>
        <w:jc w:val="both"/>
      </w:pPr>
    </w:p>
    <w:p w14:paraId="54E359AC" w14:textId="77777777" w:rsidR="00EB57E5" w:rsidRPr="00EB57E5" w:rsidRDefault="00EB57E5" w:rsidP="0026312E">
      <w:pPr>
        <w:jc w:val="both"/>
      </w:pPr>
      <w:r w:rsidRPr="00EB57E5">
        <w:t xml:space="preserve">3.1 </w:t>
      </w:r>
      <w:r w:rsidRPr="00EB57E5">
        <w:rPr>
          <w:b/>
          <w:bCs/>
        </w:rPr>
        <w:t>Membership</w:t>
      </w:r>
    </w:p>
    <w:p w14:paraId="15363901" w14:textId="77777777" w:rsidR="00EB57E5" w:rsidRDefault="00EB57E5" w:rsidP="0026312E">
      <w:pPr>
        <w:ind w:left="284"/>
        <w:jc w:val="both"/>
      </w:pPr>
    </w:p>
    <w:p w14:paraId="29774794" w14:textId="5943B2FB" w:rsidR="009E32D2" w:rsidRPr="00EB57E5" w:rsidRDefault="00EB57E5" w:rsidP="0026312E">
      <w:pPr>
        <w:ind w:left="284"/>
        <w:jc w:val="both"/>
        <w:rPr>
          <w:b/>
          <w:bCs/>
        </w:rPr>
      </w:pPr>
      <w:r w:rsidRPr="00EB57E5">
        <w:lastRenderedPageBreak/>
        <w:t>M</w:t>
      </w:r>
      <w:r w:rsidR="009E32D2" w:rsidRPr="00EB57E5">
        <w:t>embership</w:t>
      </w:r>
      <w:r w:rsidRPr="00EB57E5">
        <w:t xml:space="preserve"> is o</w:t>
      </w:r>
      <w:r w:rsidR="009E32D2" w:rsidRPr="00EB57E5">
        <w:t>pen</w:t>
      </w:r>
      <w:r w:rsidR="009E32D2">
        <w:t xml:space="preserve"> to researchers, practitioners, students, and industry professionals</w:t>
      </w:r>
      <w:r>
        <w:t xml:space="preserve"> worldwide</w:t>
      </w:r>
      <w:r w:rsidR="009E32D2">
        <w:t>.</w:t>
      </w:r>
    </w:p>
    <w:p w14:paraId="6001C50B" w14:textId="77777777" w:rsidR="009E32D2" w:rsidRDefault="009E32D2" w:rsidP="0026312E">
      <w:pPr>
        <w:ind w:left="284"/>
        <w:jc w:val="both"/>
      </w:pPr>
    </w:p>
    <w:p w14:paraId="40D7A01F" w14:textId="77777777" w:rsidR="00EB57E5" w:rsidRPr="00EB57E5" w:rsidRDefault="00EB57E5" w:rsidP="0026312E">
      <w:pPr>
        <w:ind w:left="284"/>
        <w:jc w:val="both"/>
        <w:rPr>
          <w:b/>
          <w:bCs/>
        </w:rPr>
      </w:pPr>
      <w:r w:rsidRPr="00EB57E5">
        <w:rPr>
          <w:b/>
          <w:bCs/>
        </w:rPr>
        <w:t>Membership c</w:t>
      </w:r>
      <w:r w:rsidR="009E32D2" w:rsidRPr="00EB57E5">
        <w:rPr>
          <w:b/>
          <w:bCs/>
        </w:rPr>
        <w:t xml:space="preserve">ategories: </w:t>
      </w:r>
    </w:p>
    <w:p w14:paraId="59753C81" w14:textId="77777777" w:rsidR="00CD3107" w:rsidRDefault="00CD3107" w:rsidP="0026312E">
      <w:pPr>
        <w:pStyle w:val="ListParagraph"/>
        <w:numPr>
          <w:ilvl w:val="0"/>
          <w:numId w:val="8"/>
        </w:numPr>
        <w:jc w:val="both"/>
      </w:pPr>
      <w:r w:rsidRPr="00C81B79">
        <w:rPr>
          <w:b/>
          <w:bCs/>
        </w:rPr>
        <w:t>Full Member:</w:t>
      </w:r>
      <w:r>
        <w:t xml:space="preserve"> Qualified professionals actively engaged in relevant fields.</w:t>
      </w:r>
    </w:p>
    <w:p w14:paraId="440DF1A9" w14:textId="71ADDA6F" w:rsidR="009E32D2" w:rsidRPr="0026312E" w:rsidRDefault="00CD3107" w:rsidP="0026312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C81B79">
        <w:rPr>
          <w:b/>
          <w:bCs/>
        </w:rPr>
        <w:t xml:space="preserve">Student Member: </w:t>
      </w:r>
      <w:r>
        <w:t>Individuals currently enrolled in undergraduate or postgraduate program</w:t>
      </w:r>
      <w:r w:rsidR="00C81B79">
        <w:t>me</w:t>
      </w:r>
      <w:r>
        <w:t>s.</w:t>
      </w:r>
    </w:p>
    <w:p w14:paraId="69AF3DA4" w14:textId="77777777" w:rsidR="0026312E" w:rsidRPr="00C81B79" w:rsidRDefault="0026312E" w:rsidP="0026312E">
      <w:pPr>
        <w:pStyle w:val="ListParagraph"/>
        <w:ind w:left="1004"/>
        <w:jc w:val="both"/>
        <w:rPr>
          <w:lang w:val="en-GB"/>
        </w:rPr>
      </w:pPr>
    </w:p>
    <w:p w14:paraId="48955DB8" w14:textId="77777777" w:rsidR="00C81B79" w:rsidRDefault="00C81B79" w:rsidP="0026312E">
      <w:pPr>
        <w:jc w:val="both"/>
        <w:rPr>
          <w:b/>
          <w:bCs/>
          <w:lang w:val="en-GB"/>
        </w:rPr>
      </w:pPr>
      <w:r>
        <w:rPr>
          <w:lang w:val="en-GB"/>
        </w:rPr>
        <w:t xml:space="preserve">3.2 </w:t>
      </w:r>
      <w:r w:rsidRPr="00C81B79">
        <w:rPr>
          <w:b/>
          <w:bCs/>
          <w:lang w:val="en-GB"/>
        </w:rPr>
        <w:t>Member Expectations</w:t>
      </w:r>
    </w:p>
    <w:p w14:paraId="1F124925" w14:textId="77777777" w:rsidR="00C81B79" w:rsidRPr="00C81B79" w:rsidRDefault="00C81B79" w:rsidP="0026312E">
      <w:pPr>
        <w:jc w:val="both"/>
        <w:rPr>
          <w:b/>
          <w:bCs/>
          <w:lang w:val="en-GB"/>
        </w:rPr>
      </w:pPr>
    </w:p>
    <w:p w14:paraId="10A66D8F" w14:textId="77777777" w:rsidR="00C81B79" w:rsidRDefault="00C81B79" w:rsidP="0026312E">
      <w:pPr>
        <w:ind w:left="284"/>
        <w:jc w:val="both"/>
      </w:pPr>
      <w:r w:rsidRPr="00C81B79">
        <w:t xml:space="preserve">Members are </w:t>
      </w:r>
      <w:r>
        <w:t>expected</w:t>
      </w:r>
      <w:r w:rsidRPr="00C81B79">
        <w:t xml:space="preserve"> to actively participate in CHESS-hub activities, contribute data and methodologies where appropriate, and adhere to the Code of Conduct and data-sharing policies. </w:t>
      </w:r>
    </w:p>
    <w:p w14:paraId="2B3984B4" w14:textId="77777777" w:rsidR="009E32D2" w:rsidRDefault="009E32D2" w:rsidP="0026312E">
      <w:pPr>
        <w:jc w:val="both"/>
      </w:pPr>
    </w:p>
    <w:p w14:paraId="58A4BAB7" w14:textId="77777777" w:rsidR="009E32D2" w:rsidRDefault="009E32D2" w:rsidP="0026312E">
      <w:pPr>
        <w:jc w:val="both"/>
        <w:rPr>
          <w:b/>
          <w:bCs/>
        </w:rPr>
      </w:pPr>
      <w:r>
        <w:t xml:space="preserve">4. </w:t>
      </w:r>
      <w:r w:rsidRPr="00C80380">
        <w:rPr>
          <w:b/>
          <w:bCs/>
        </w:rPr>
        <w:t>Governance Structure</w:t>
      </w:r>
    </w:p>
    <w:p w14:paraId="5D8F47C9" w14:textId="77777777" w:rsidR="00612747" w:rsidRDefault="00612747" w:rsidP="0026312E">
      <w:pPr>
        <w:jc w:val="both"/>
      </w:pPr>
    </w:p>
    <w:p w14:paraId="429BE9B4" w14:textId="77777777" w:rsidR="009E32D2" w:rsidRDefault="009E32D2" w:rsidP="0026312E">
      <w:pPr>
        <w:jc w:val="both"/>
      </w:pPr>
      <w:r>
        <w:t xml:space="preserve">4.1 </w:t>
      </w:r>
      <w:r w:rsidRPr="00C80380">
        <w:rPr>
          <w:b/>
          <w:bCs/>
        </w:rPr>
        <w:t>Board of Directors</w:t>
      </w:r>
    </w:p>
    <w:p w14:paraId="60C6EB82" w14:textId="77777777" w:rsidR="00F5279F" w:rsidRDefault="00F5279F" w:rsidP="0026312E">
      <w:pPr>
        <w:jc w:val="both"/>
      </w:pPr>
    </w:p>
    <w:p w14:paraId="72617574" w14:textId="5CCF6CD5" w:rsidR="009E32D2" w:rsidRDefault="0015111E" w:rsidP="0026312E">
      <w:pPr>
        <w:ind w:left="284"/>
        <w:jc w:val="both"/>
      </w:pPr>
      <w:r>
        <w:t xml:space="preserve">The board of directors </w:t>
      </w:r>
      <w:r w:rsidR="001915F1">
        <w:t xml:space="preserve">is a </w:t>
      </w:r>
      <w:r w:rsidR="004356F9" w:rsidRPr="00E74410">
        <w:rPr>
          <w:color w:val="000000" w:themeColor="text1"/>
        </w:rPr>
        <w:t>sixteen-</w:t>
      </w:r>
      <w:r w:rsidR="001915F1" w:rsidRPr="00E74410">
        <w:rPr>
          <w:color w:val="000000" w:themeColor="text1"/>
        </w:rPr>
        <w:t xml:space="preserve">member panel elected for a two-year staggered term and can be renewed once. </w:t>
      </w:r>
      <w:r w:rsidR="006655A3" w:rsidRPr="00E74410">
        <w:rPr>
          <w:color w:val="000000" w:themeColor="text1"/>
        </w:rPr>
        <w:t>The exception applies to the founding directors</w:t>
      </w:r>
      <w:r w:rsidR="00997D87" w:rsidRPr="00E74410">
        <w:rPr>
          <w:color w:val="000000" w:themeColor="text1"/>
        </w:rPr>
        <w:t xml:space="preserve">, including Dr Jia Li, Dr Samuele Sala, </w:t>
      </w:r>
      <w:r w:rsidR="00E74410">
        <w:rPr>
          <w:color w:val="000000" w:themeColor="text1"/>
        </w:rPr>
        <w:t xml:space="preserve">Prof. </w:t>
      </w:r>
      <w:r w:rsidR="00997D87" w:rsidRPr="00E74410">
        <w:rPr>
          <w:color w:val="000000" w:themeColor="text1"/>
        </w:rPr>
        <w:t xml:space="preserve">Joanna </w:t>
      </w:r>
      <w:proofErr w:type="spellStart"/>
      <w:r w:rsidR="00997D87" w:rsidRPr="00E74410">
        <w:rPr>
          <w:color w:val="000000" w:themeColor="text1"/>
        </w:rPr>
        <w:t>Godzień</w:t>
      </w:r>
      <w:proofErr w:type="spellEnd"/>
      <w:r w:rsidR="00997D87" w:rsidRPr="00E74410">
        <w:rPr>
          <w:color w:val="000000" w:themeColor="text1"/>
        </w:rPr>
        <w:t>)</w:t>
      </w:r>
      <w:r w:rsidR="006655A3" w:rsidRPr="00E74410">
        <w:rPr>
          <w:color w:val="000000" w:themeColor="text1"/>
        </w:rPr>
        <w:t xml:space="preserve"> </w:t>
      </w:r>
      <w:r w:rsidR="00997D87" w:rsidRPr="00E74410">
        <w:rPr>
          <w:color w:val="000000" w:themeColor="text1"/>
        </w:rPr>
        <w:t>in their first term</w:t>
      </w:r>
      <w:r w:rsidR="006655A3" w:rsidRPr="00E74410">
        <w:rPr>
          <w:color w:val="000000" w:themeColor="text1"/>
        </w:rPr>
        <w:t xml:space="preserve">. </w:t>
      </w:r>
      <w:r w:rsidR="001915F1" w:rsidRPr="00E74410">
        <w:rPr>
          <w:color w:val="000000" w:themeColor="text1"/>
        </w:rPr>
        <w:t>The board c</w:t>
      </w:r>
      <w:r w:rsidR="009E32D2" w:rsidRPr="00E74410">
        <w:rPr>
          <w:color w:val="000000" w:themeColor="text1"/>
        </w:rPr>
        <w:t>omprise</w:t>
      </w:r>
      <w:r w:rsidRPr="00E74410">
        <w:rPr>
          <w:color w:val="000000" w:themeColor="text1"/>
        </w:rPr>
        <w:t>s</w:t>
      </w:r>
      <w:r w:rsidR="009E32D2" w:rsidRPr="00E74410">
        <w:rPr>
          <w:color w:val="000000" w:themeColor="text1"/>
        </w:rPr>
        <w:t xml:space="preserve"> </w:t>
      </w:r>
      <w:r w:rsidR="00F5279F" w:rsidRPr="00E74410">
        <w:rPr>
          <w:color w:val="000000" w:themeColor="text1"/>
        </w:rPr>
        <w:t>at least 50% of</w:t>
      </w:r>
      <w:r w:rsidR="009E32D2" w:rsidRPr="00E74410">
        <w:rPr>
          <w:color w:val="000000" w:themeColor="text1"/>
        </w:rPr>
        <w:t xml:space="preserve"> </w:t>
      </w:r>
      <w:r w:rsidRPr="00E74410">
        <w:rPr>
          <w:color w:val="000000" w:themeColor="text1"/>
        </w:rPr>
        <w:t>early career researchers (ECR</w:t>
      </w:r>
      <w:r>
        <w:t xml:space="preserve">, </w:t>
      </w:r>
      <w:r w:rsidR="009E32D2">
        <w:t xml:space="preserve">within 8 years </w:t>
      </w:r>
      <w:r>
        <w:t xml:space="preserve">of </w:t>
      </w:r>
      <w:r w:rsidR="009E32D2">
        <w:t>PhD</w:t>
      </w:r>
      <w:r>
        <w:t xml:space="preserve"> completion excluding career breaks</w:t>
      </w:r>
      <w:r w:rsidR="009E32D2">
        <w:t>).</w:t>
      </w:r>
      <w:r w:rsidR="002B14AE">
        <w:t xml:space="preserve"> </w:t>
      </w:r>
    </w:p>
    <w:p w14:paraId="1FE3E5E5" w14:textId="77777777" w:rsidR="009E32D2" w:rsidRDefault="009E32D2" w:rsidP="0026312E">
      <w:pPr>
        <w:ind w:left="284"/>
        <w:jc w:val="both"/>
      </w:pPr>
    </w:p>
    <w:p w14:paraId="1A9EF520" w14:textId="52ACCD0C" w:rsidR="009E32D2" w:rsidRDefault="009E32D2" w:rsidP="0026312E">
      <w:pPr>
        <w:ind w:left="284"/>
        <w:jc w:val="both"/>
        <w:rPr>
          <w:b/>
          <w:bCs/>
        </w:rPr>
      </w:pPr>
      <w:r w:rsidRPr="00612747">
        <w:rPr>
          <w:b/>
          <w:bCs/>
        </w:rPr>
        <w:t>Roles</w:t>
      </w:r>
      <w:r w:rsidR="00A526BB">
        <w:rPr>
          <w:b/>
          <w:bCs/>
        </w:rPr>
        <w:t>:</w:t>
      </w:r>
    </w:p>
    <w:p w14:paraId="5C4F541E" w14:textId="77777777" w:rsidR="00E74410" w:rsidRPr="00010D98" w:rsidRDefault="00E74410" w:rsidP="0026312E">
      <w:pPr>
        <w:ind w:left="284"/>
        <w:jc w:val="both"/>
        <w:rPr>
          <w:b/>
          <w:bCs/>
        </w:rPr>
      </w:pPr>
    </w:p>
    <w:p w14:paraId="4C977FF8" w14:textId="0D31567D" w:rsidR="00612747" w:rsidRDefault="009E32D2" w:rsidP="0026312E">
      <w:pPr>
        <w:pStyle w:val="ListParagraph"/>
        <w:numPr>
          <w:ilvl w:val="0"/>
          <w:numId w:val="3"/>
        </w:numPr>
        <w:jc w:val="both"/>
      </w:pPr>
      <w:r>
        <w:t>Chair</w:t>
      </w:r>
      <w:r w:rsidR="00F76FCD">
        <w:t xml:space="preserve"> </w:t>
      </w:r>
    </w:p>
    <w:p w14:paraId="17195B0E" w14:textId="76A403C3" w:rsidR="00C80380" w:rsidRPr="00010D98" w:rsidRDefault="00612747" w:rsidP="0026312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010D98">
        <w:rPr>
          <w:color w:val="000000" w:themeColor="text1"/>
        </w:rPr>
        <w:t>Deputy</w:t>
      </w:r>
      <w:r w:rsidRPr="00010D98">
        <w:rPr>
          <w:rFonts w:ascii="Cambria Math" w:hAnsi="Cambria Math" w:cs="Cambria Math"/>
          <w:color w:val="000000" w:themeColor="text1"/>
        </w:rPr>
        <w:t xml:space="preserve"> </w:t>
      </w:r>
      <w:r w:rsidR="009E32D2" w:rsidRPr="00010D98">
        <w:rPr>
          <w:color w:val="000000" w:themeColor="text1"/>
        </w:rPr>
        <w:t xml:space="preserve">Chair </w:t>
      </w:r>
    </w:p>
    <w:p w14:paraId="02DEC3DE" w14:textId="174FB34E" w:rsidR="00C80380" w:rsidRPr="00010D98" w:rsidRDefault="009E32D2" w:rsidP="0026312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010D98">
        <w:rPr>
          <w:color w:val="000000" w:themeColor="text1"/>
        </w:rPr>
        <w:t>Secretary</w:t>
      </w:r>
    </w:p>
    <w:p w14:paraId="7A72CFFE" w14:textId="1A6C86AE" w:rsidR="00C80380" w:rsidRPr="00010D98" w:rsidRDefault="009E32D2" w:rsidP="0026312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010D98">
        <w:rPr>
          <w:color w:val="000000" w:themeColor="text1"/>
        </w:rPr>
        <w:t xml:space="preserve">Communications </w:t>
      </w:r>
      <w:r w:rsidR="00052678">
        <w:rPr>
          <w:color w:val="000000" w:themeColor="text1"/>
        </w:rPr>
        <w:t>and Organisation Director</w:t>
      </w:r>
      <w:r w:rsidRPr="00010D98">
        <w:rPr>
          <w:color w:val="000000" w:themeColor="text1"/>
        </w:rPr>
        <w:t xml:space="preserve"> </w:t>
      </w:r>
    </w:p>
    <w:p w14:paraId="49B6A49C" w14:textId="3FBCADA9" w:rsidR="009E32D2" w:rsidRPr="00010D98" w:rsidRDefault="00C80380" w:rsidP="0026312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010D98">
        <w:rPr>
          <w:color w:val="000000" w:themeColor="text1"/>
        </w:rPr>
        <w:t>Student</w:t>
      </w:r>
      <w:r w:rsidR="009E32D2" w:rsidRPr="00010D98">
        <w:rPr>
          <w:color w:val="000000" w:themeColor="text1"/>
        </w:rPr>
        <w:t xml:space="preserve"> </w:t>
      </w:r>
      <w:r w:rsidR="0015111E" w:rsidRPr="00010D98">
        <w:rPr>
          <w:color w:val="000000" w:themeColor="text1"/>
        </w:rPr>
        <w:t xml:space="preserve">Member </w:t>
      </w:r>
      <w:r w:rsidR="009E32D2" w:rsidRPr="00010D98">
        <w:rPr>
          <w:color w:val="000000" w:themeColor="text1"/>
        </w:rPr>
        <w:t xml:space="preserve">Representatives </w:t>
      </w:r>
    </w:p>
    <w:p w14:paraId="08CF6CE3" w14:textId="6F688EAF" w:rsidR="00C80380" w:rsidRDefault="00C80380" w:rsidP="0026312E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010D98">
        <w:rPr>
          <w:color w:val="000000" w:themeColor="text1"/>
        </w:rPr>
        <w:t xml:space="preserve">Industry Members </w:t>
      </w:r>
      <w:r w:rsidR="00E922C5" w:rsidRPr="00010D98">
        <w:rPr>
          <w:color w:val="000000" w:themeColor="text1"/>
        </w:rPr>
        <w:t>Representatives</w:t>
      </w:r>
    </w:p>
    <w:p w14:paraId="7ED5C79D" w14:textId="77777777" w:rsidR="009E32D2" w:rsidRDefault="009E32D2" w:rsidP="0026312E">
      <w:pPr>
        <w:jc w:val="both"/>
      </w:pPr>
    </w:p>
    <w:p w14:paraId="46995ACA" w14:textId="6780571A" w:rsidR="009E32D2" w:rsidRDefault="009E32D2" w:rsidP="00E74410">
      <w:pPr>
        <w:ind w:left="284"/>
        <w:jc w:val="both"/>
        <w:rPr>
          <w:b/>
          <w:bCs/>
        </w:rPr>
      </w:pPr>
      <w:r w:rsidRPr="00907B42">
        <w:rPr>
          <w:b/>
          <w:bCs/>
        </w:rPr>
        <w:t>Responsibilities:</w:t>
      </w:r>
    </w:p>
    <w:p w14:paraId="3CD2B950" w14:textId="77777777" w:rsidR="00E74410" w:rsidRPr="00E74410" w:rsidRDefault="00E74410" w:rsidP="00E74410">
      <w:pPr>
        <w:ind w:left="284"/>
        <w:jc w:val="both"/>
        <w:rPr>
          <w:b/>
          <w:bCs/>
        </w:rPr>
      </w:pPr>
    </w:p>
    <w:p w14:paraId="308EA977" w14:textId="77777777" w:rsidR="00C80380" w:rsidRDefault="009E32D2" w:rsidP="0026312E">
      <w:pPr>
        <w:pStyle w:val="ListParagraph"/>
        <w:numPr>
          <w:ilvl w:val="0"/>
          <w:numId w:val="4"/>
        </w:numPr>
        <w:jc w:val="both"/>
      </w:pPr>
      <w:r>
        <w:t>Define technical agenda and strategic plan</w:t>
      </w:r>
    </w:p>
    <w:p w14:paraId="1B92F51C" w14:textId="6CC0EC28" w:rsidR="00C80380" w:rsidRDefault="009E32D2" w:rsidP="0026312E">
      <w:pPr>
        <w:pStyle w:val="ListParagraph"/>
        <w:numPr>
          <w:ilvl w:val="0"/>
          <w:numId w:val="4"/>
        </w:numPr>
        <w:jc w:val="both"/>
      </w:pPr>
      <w:r>
        <w:t xml:space="preserve">Oversee </w:t>
      </w:r>
      <w:r w:rsidR="00C80380">
        <w:t>CHESS-hub</w:t>
      </w:r>
      <w:r>
        <w:t xml:space="preserve"> initiatives (webinars, workshops, training materials</w:t>
      </w:r>
      <w:r w:rsidR="00442CE2">
        <w:t>, dissemination of SOPs</w:t>
      </w:r>
      <w:r>
        <w:t>)</w:t>
      </w:r>
    </w:p>
    <w:p w14:paraId="50421CB1" w14:textId="77777777" w:rsidR="00C80380" w:rsidRDefault="009E32D2" w:rsidP="0026312E">
      <w:pPr>
        <w:pStyle w:val="ListParagraph"/>
        <w:numPr>
          <w:ilvl w:val="0"/>
          <w:numId w:val="4"/>
        </w:numPr>
        <w:jc w:val="both"/>
      </w:pPr>
      <w:r>
        <w:t>Manage member recruitment and communications</w:t>
      </w:r>
    </w:p>
    <w:p w14:paraId="0808C92F" w14:textId="5807CC28" w:rsidR="00C80380" w:rsidRDefault="00C80380" w:rsidP="0026312E">
      <w:pPr>
        <w:pStyle w:val="ListParagraph"/>
        <w:numPr>
          <w:ilvl w:val="0"/>
          <w:numId w:val="4"/>
        </w:numPr>
        <w:jc w:val="both"/>
      </w:pPr>
      <w:r>
        <w:t>Identify funding initiatives</w:t>
      </w:r>
    </w:p>
    <w:p w14:paraId="504037E0" w14:textId="474E1DD6" w:rsidR="00C80380" w:rsidRDefault="00C80380" w:rsidP="0026312E">
      <w:pPr>
        <w:pStyle w:val="ListParagraph"/>
        <w:numPr>
          <w:ilvl w:val="0"/>
          <w:numId w:val="4"/>
        </w:numPr>
        <w:jc w:val="both"/>
      </w:pPr>
      <w:r>
        <w:t>Build industry connections</w:t>
      </w:r>
    </w:p>
    <w:p w14:paraId="190576FB" w14:textId="1549D9C6" w:rsidR="009E32D2" w:rsidRDefault="009E32D2" w:rsidP="0026312E">
      <w:pPr>
        <w:pStyle w:val="ListParagraph"/>
        <w:numPr>
          <w:ilvl w:val="0"/>
          <w:numId w:val="4"/>
        </w:numPr>
        <w:jc w:val="both"/>
      </w:pPr>
      <w:r>
        <w:t xml:space="preserve">Coordinate with the </w:t>
      </w:r>
      <w:r w:rsidR="00442CE2">
        <w:t xml:space="preserve">Senior </w:t>
      </w:r>
      <w:r>
        <w:t>Advisory Group</w:t>
      </w:r>
    </w:p>
    <w:p w14:paraId="61E57A6B" w14:textId="117A88BD" w:rsidR="00152CEF" w:rsidRDefault="00152CEF" w:rsidP="0026312E">
      <w:pPr>
        <w:pStyle w:val="ListParagraph"/>
        <w:numPr>
          <w:ilvl w:val="0"/>
          <w:numId w:val="4"/>
        </w:numPr>
        <w:jc w:val="both"/>
      </w:pPr>
      <w:r>
        <w:lastRenderedPageBreak/>
        <w:t>Liaise with professional societies (e.g., SMR, Metabolomics Society, IUPAC) and journals.</w:t>
      </w:r>
    </w:p>
    <w:p w14:paraId="4E7281E4" w14:textId="6952D82B" w:rsidR="00152CEF" w:rsidRDefault="00152CEF" w:rsidP="0026312E">
      <w:pPr>
        <w:pStyle w:val="ListParagraph"/>
        <w:numPr>
          <w:ilvl w:val="0"/>
          <w:numId w:val="4"/>
        </w:numPr>
        <w:jc w:val="both"/>
      </w:pPr>
      <w:r>
        <w:t>Establish working groups on technical or methodological challenges.</w:t>
      </w:r>
    </w:p>
    <w:p w14:paraId="01B23AF4" w14:textId="77777777" w:rsidR="009E32D2" w:rsidRDefault="009E32D2" w:rsidP="0026312E">
      <w:pPr>
        <w:jc w:val="both"/>
      </w:pPr>
    </w:p>
    <w:p w14:paraId="2D8C45DC" w14:textId="7626B53A" w:rsidR="009E32D2" w:rsidRDefault="009E32D2" w:rsidP="0026312E">
      <w:pPr>
        <w:jc w:val="both"/>
        <w:rPr>
          <w:b/>
          <w:bCs/>
        </w:rPr>
      </w:pPr>
      <w:r>
        <w:t xml:space="preserve">4.2 </w:t>
      </w:r>
      <w:r w:rsidR="00091BE5" w:rsidRPr="00091BE5">
        <w:rPr>
          <w:b/>
          <w:bCs/>
        </w:rPr>
        <w:t xml:space="preserve">Senior </w:t>
      </w:r>
      <w:r w:rsidRPr="00091BE5">
        <w:rPr>
          <w:b/>
          <w:bCs/>
        </w:rPr>
        <w:t>A</w:t>
      </w:r>
      <w:r w:rsidRPr="00C80380">
        <w:rPr>
          <w:b/>
          <w:bCs/>
        </w:rPr>
        <w:t>dvisory Group</w:t>
      </w:r>
      <w:r w:rsidR="005B67CE">
        <w:rPr>
          <w:b/>
          <w:bCs/>
        </w:rPr>
        <w:t xml:space="preserve"> </w:t>
      </w:r>
    </w:p>
    <w:p w14:paraId="5D053373" w14:textId="77777777" w:rsidR="00091BE5" w:rsidRDefault="00091BE5" w:rsidP="0026312E">
      <w:pPr>
        <w:jc w:val="both"/>
      </w:pPr>
    </w:p>
    <w:p w14:paraId="724C1BC1" w14:textId="3A6B5E27" w:rsidR="0015111E" w:rsidRPr="00F5279F" w:rsidRDefault="00091BE5" w:rsidP="0026312E">
      <w:pPr>
        <w:ind w:left="426"/>
        <w:jc w:val="both"/>
      </w:pPr>
      <w:r w:rsidRPr="00091BE5">
        <w:rPr>
          <w:b/>
          <w:bCs/>
        </w:rPr>
        <w:t>Senior A</w:t>
      </w:r>
      <w:r w:rsidRPr="00C80380">
        <w:rPr>
          <w:b/>
          <w:bCs/>
        </w:rPr>
        <w:t>dvisory Group</w:t>
      </w:r>
      <w:r>
        <w:t xml:space="preserve"> </w:t>
      </w:r>
      <w:r w:rsidR="005B67CE">
        <w:t xml:space="preserve">(SAG) </w:t>
      </w:r>
      <w:r>
        <w:t>c</w:t>
      </w:r>
      <w:r w:rsidR="009E32D2">
        <w:t>omprise</w:t>
      </w:r>
      <w:r>
        <w:t>s</w:t>
      </w:r>
      <w:r w:rsidR="009E32D2">
        <w:t xml:space="preserve"> of </w:t>
      </w:r>
      <w:r w:rsidR="00C80380">
        <w:t xml:space="preserve">up to </w:t>
      </w:r>
      <w:r w:rsidR="00152CEF">
        <w:t>8</w:t>
      </w:r>
      <w:r w:rsidR="00C80380">
        <w:t xml:space="preserve"> </w:t>
      </w:r>
      <w:r w:rsidR="009E32D2">
        <w:t>senior and highly experienced scientists, globally recogni</w:t>
      </w:r>
      <w:r>
        <w:t>s</w:t>
      </w:r>
      <w:r w:rsidR="009E32D2">
        <w:t>ed experts in spectroscopic methods and structural elucidation</w:t>
      </w:r>
      <w:r w:rsidR="005B67CE">
        <w:t>. The SAG is a</w:t>
      </w:r>
      <w:r w:rsidR="00E632F7">
        <w:t>n</w:t>
      </w:r>
      <w:r w:rsidR="005B67CE">
        <w:t xml:space="preserve"> eight-member panel </w:t>
      </w:r>
      <w:r w:rsidR="00834564">
        <w:t>s</w:t>
      </w:r>
      <w:r w:rsidR="005B67CE">
        <w:t xml:space="preserve">elected </w:t>
      </w:r>
      <w:r w:rsidR="00834564" w:rsidRPr="00834564">
        <w:t xml:space="preserve">by </w:t>
      </w:r>
      <w:r w:rsidR="00834564">
        <w:t xml:space="preserve">the </w:t>
      </w:r>
      <w:r w:rsidR="00834564" w:rsidRPr="00834564">
        <w:t xml:space="preserve">Board of Directors based on reputation, leadership, and diversity of expertise. </w:t>
      </w:r>
      <w:r w:rsidR="00834564">
        <w:t>SAG members serve a three-year term and can be renewed once.</w:t>
      </w:r>
    </w:p>
    <w:p w14:paraId="49EE2590" w14:textId="77777777" w:rsidR="009E32D2" w:rsidRDefault="009E32D2" w:rsidP="0026312E">
      <w:pPr>
        <w:jc w:val="both"/>
      </w:pPr>
    </w:p>
    <w:p w14:paraId="5023DDA7" w14:textId="77777777" w:rsidR="009E32D2" w:rsidRPr="000243E1" w:rsidRDefault="009E32D2" w:rsidP="0026312E">
      <w:pPr>
        <w:ind w:left="426"/>
        <w:jc w:val="both"/>
        <w:rPr>
          <w:b/>
          <w:bCs/>
        </w:rPr>
      </w:pPr>
      <w:r w:rsidRPr="000243E1">
        <w:rPr>
          <w:b/>
          <w:bCs/>
        </w:rPr>
        <w:t>Responsibilities:</w:t>
      </w:r>
    </w:p>
    <w:p w14:paraId="0AFB2F6E" w14:textId="77777777" w:rsidR="009E32D2" w:rsidRDefault="009E32D2" w:rsidP="0026312E">
      <w:pPr>
        <w:jc w:val="both"/>
      </w:pPr>
    </w:p>
    <w:p w14:paraId="6636F59F" w14:textId="77777777" w:rsidR="00C80380" w:rsidRDefault="009E32D2" w:rsidP="0026312E">
      <w:pPr>
        <w:pStyle w:val="ListParagraph"/>
        <w:numPr>
          <w:ilvl w:val="0"/>
          <w:numId w:val="6"/>
        </w:numPr>
        <w:jc w:val="both"/>
      </w:pPr>
      <w:r>
        <w:t>Provide technical oversight and mentorship</w:t>
      </w:r>
    </w:p>
    <w:p w14:paraId="155F0353" w14:textId="7A4B5BA6" w:rsidR="006367DB" w:rsidRDefault="009E32D2" w:rsidP="0026312E">
      <w:pPr>
        <w:pStyle w:val="ListParagraph"/>
        <w:numPr>
          <w:ilvl w:val="0"/>
          <w:numId w:val="6"/>
        </w:numPr>
        <w:jc w:val="both"/>
      </w:pPr>
      <w:r>
        <w:t xml:space="preserve">Guide </w:t>
      </w:r>
      <w:r w:rsidR="006367DB">
        <w:t>strategic</w:t>
      </w:r>
      <w:r>
        <w:t xml:space="preserve"> decision</w:t>
      </w:r>
      <w:r w:rsidR="006367DB">
        <w:t>-making</w:t>
      </w:r>
      <w:r w:rsidR="006367DB" w:rsidRPr="006367DB">
        <w:t xml:space="preserve"> </w:t>
      </w:r>
      <w:r w:rsidR="006367DB">
        <w:t>and offer strategic advice</w:t>
      </w:r>
    </w:p>
    <w:p w14:paraId="16D29B4C" w14:textId="4AE0B0D6" w:rsidR="00C80380" w:rsidRDefault="006367DB" w:rsidP="0026312E">
      <w:pPr>
        <w:pStyle w:val="ListParagraph"/>
        <w:numPr>
          <w:ilvl w:val="0"/>
          <w:numId w:val="6"/>
        </w:numPr>
        <w:jc w:val="both"/>
      </w:pPr>
      <w:r>
        <w:t>E</w:t>
      </w:r>
      <w:r w:rsidR="009E32D2">
        <w:t>nsure scientific rigor</w:t>
      </w:r>
      <w:r>
        <w:t xml:space="preserve"> across initiatives</w:t>
      </w:r>
    </w:p>
    <w:p w14:paraId="624B6C08" w14:textId="2F73B7F5" w:rsidR="009E32D2" w:rsidRDefault="009E32D2" w:rsidP="0026312E">
      <w:pPr>
        <w:pStyle w:val="ListParagraph"/>
        <w:numPr>
          <w:ilvl w:val="0"/>
          <w:numId w:val="6"/>
        </w:numPr>
        <w:jc w:val="both"/>
      </w:pPr>
      <w:r>
        <w:t>Act as ambassadors</w:t>
      </w:r>
      <w:r w:rsidR="006367DB">
        <w:t xml:space="preserve">, </w:t>
      </w:r>
      <w:r w:rsidR="006367DB" w:rsidRPr="006367DB">
        <w:t>promoting the hub’s mission and visibility</w:t>
      </w:r>
    </w:p>
    <w:p w14:paraId="25019E57" w14:textId="77777777" w:rsidR="006367DB" w:rsidRDefault="006367DB" w:rsidP="0026312E">
      <w:pPr>
        <w:pStyle w:val="ListParagraph"/>
        <w:jc w:val="both"/>
      </w:pPr>
    </w:p>
    <w:p w14:paraId="027C6034" w14:textId="45254D71" w:rsidR="009E32D2" w:rsidRPr="00C80380" w:rsidRDefault="009E32D2" w:rsidP="0026312E">
      <w:pPr>
        <w:jc w:val="both"/>
        <w:rPr>
          <w:b/>
          <w:bCs/>
        </w:rPr>
      </w:pPr>
      <w:r>
        <w:t xml:space="preserve">5. </w:t>
      </w:r>
      <w:r w:rsidRPr="00C80380">
        <w:rPr>
          <w:b/>
          <w:bCs/>
        </w:rPr>
        <w:t xml:space="preserve">Activities </w:t>
      </w:r>
      <w:r w:rsidR="00F10A30">
        <w:rPr>
          <w:b/>
          <w:bCs/>
        </w:rPr>
        <w:t>and</w:t>
      </w:r>
      <w:r w:rsidRPr="00C80380">
        <w:rPr>
          <w:b/>
          <w:bCs/>
        </w:rPr>
        <w:t xml:space="preserve"> Outputs</w:t>
      </w:r>
    </w:p>
    <w:p w14:paraId="163586F0" w14:textId="77777777" w:rsidR="00C80380" w:rsidRDefault="00C80380" w:rsidP="0026312E">
      <w:pPr>
        <w:jc w:val="both"/>
      </w:pPr>
    </w:p>
    <w:p w14:paraId="41526AF8" w14:textId="0E9076A8" w:rsidR="00C80380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>Annual Meeting</w:t>
      </w:r>
      <w:r w:rsidR="00D81506" w:rsidRPr="00E61099">
        <w:rPr>
          <w:b/>
          <w:bCs/>
        </w:rPr>
        <w:t>s</w:t>
      </w:r>
      <w:r w:rsidRPr="00E61099">
        <w:rPr>
          <w:b/>
          <w:bCs/>
        </w:rPr>
        <w:t xml:space="preserve"> or Satellite Session</w:t>
      </w:r>
      <w:r w:rsidR="00D81506" w:rsidRPr="00E61099">
        <w:rPr>
          <w:b/>
          <w:bCs/>
        </w:rPr>
        <w:t>s</w:t>
      </w:r>
      <w:r w:rsidRPr="00E61099">
        <w:rPr>
          <w:b/>
          <w:bCs/>
        </w:rPr>
        <w:t>:</w:t>
      </w:r>
      <w:r>
        <w:t xml:space="preserve"> </w:t>
      </w:r>
      <w:r w:rsidR="00D81506">
        <w:t xml:space="preserve">showcase </w:t>
      </w:r>
      <w:r>
        <w:t xml:space="preserve">research, </w:t>
      </w:r>
      <w:r w:rsidR="00D81506">
        <w:t xml:space="preserve">present </w:t>
      </w:r>
      <w:r>
        <w:t xml:space="preserve">case studies, </w:t>
      </w:r>
      <w:r w:rsidR="00D81506">
        <w:t>and discuss</w:t>
      </w:r>
      <w:r>
        <w:t xml:space="preserve"> emerging techniques.</w:t>
      </w:r>
    </w:p>
    <w:p w14:paraId="0052612E" w14:textId="1E644ED4" w:rsidR="00C80380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 xml:space="preserve">Webinar </w:t>
      </w:r>
      <w:r w:rsidR="00D81506" w:rsidRPr="00E61099">
        <w:rPr>
          <w:b/>
          <w:bCs/>
        </w:rPr>
        <w:t xml:space="preserve">or Seminar </w:t>
      </w:r>
      <w:r w:rsidRPr="00E61099">
        <w:rPr>
          <w:b/>
          <w:bCs/>
        </w:rPr>
        <w:t xml:space="preserve">Series </w:t>
      </w:r>
      <w:r w:rsidR="00D81506" w:rsidRPr="00E61099">
        <w:rPr>
          <w:b/>
          <w:bCs/>
        </w:rPr>
        <w:t>and</w:t>
      </w:r>
      <w:r w:rsidRPr="00E61099">
        <w:rPr>
          <w:b/>
          <w:bCs/>
        </w:rPr>
        <w:t xml:space="preserve"> Virtual Workshops:</w:t>
      </w:r>
      <w:r>
        <w:t xml:space="preserve"> </w:t>
      </w:r>
      <w:r w:rsidR="00D81506">
        <w:t>offer t</w:t>
      </w:r>
      <w:r>
        <w:t xml:space="preserve">utorials on spectroscopy tools, software, </w:t>
      </w:r>
      <w:r w:rsidR="00D81506">
        <w:t xml:space="preserve">and </w:t>
      </w:r>
      <w:r>
        <w:t>protocols.</w:t>
      </w:r>
    </w:p>
    <w:p w14:paraId="00D914AD" w14:textId="3370E5FC" w:rsidR="00C80380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>Best</w:t>
      </w:r>
      <w:r w:rsidRPr="00E61099">
        <w:rPr>
          <w:rFonts w:ascii="Cambria Math" w:hAnsi="Cambria Math" w:cs="Cambria Math"/>
          <w:b/>
          <w:bCs/>
        </w:rPr>
        <w:t>‑</w:t>
      </w:r>
      <w:r w:rsidRPr="00E61099">
        <w:rPr>
          <w:b/>
          <w:bCs/>
        </w:rPr>
        <w:t>Practice Protocols &amp; SOPs:</w:t>
      </w:r>
      <w:r>
        <w:t xml:space="preserve"> </w:t>
      </w:r>
      <w:r w:rsidR="00D81506">
        <w:t>develop and r</w:t>
      </w:r>
      <w:r>
        <w:t>elease community</w:t>
      </w:r>
      <w:r w:rsidRPr="00C80380">
        <w:rPr>
          <w:rFonts w:ascii="Cambria Math" w:hAnsi="Cambria Math" w:cs="Cambria Math"/>
        </w:rPr>
        <w:t>‑</w:t>
      </w:r>
      <w:r>
        <w:t>driven standards.</w:t>
      </w:r>
    </w:p>
    <w:p w14:paraId="29E0505A" w14:textId="318630A5" w:rsidR="00C80380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>Collaborative Projects &amp; Challenges:</w:t>
      </w:r>
      <w:r>
        <w:t xml:space="preserve"> </w:t>
      </w:r>
      <w:r w:rsidR="00D81506">
        <w:t xml:space="preserve">host initiatives, </w:t>
      </w:r>
      <w:r>
        <w:t>e.g. inter-lab</w:t>
      </w:r>
      <w:r w:rsidR="00E61099">
        <w:t xml:space="preserve">oratory spectral interpretation </w:t>
      </w:r>
      <w:r>
        <w:t>studies</w:t>
      </w:r>
      <w:r w:rsidR="00E61099">
        <w:t xml:space="preserve">, </w:t>
      </w:r>
      <w:r w:rsidR="00653F63">
        <w:t xml:space="preserve">database </w:t>
      </w:r>
      <w:r w:rsidR="00E61099">
        <w:t xml:space="preserve">development </w:t>
      </w:r>
      <w:r w:rsidR="00653F63">
        <w:t>for unknow peaks</w:t>
      </w:r>
      <w:r w:rsidR="00E61099">
        <w:t xml:space="preserve"> etc. </w:t>
      </w:r>
    </w:p>
    <w:p w14:paraId="5516AB23" w14:textId="77777777" w:rsidR="00E61099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 xml:space="preserve">Open Resources: </w:t>
      </w:r>
      <w:r w:rsidR="00E61099" w:rsidRPr="00E61099">
        <w:t xml:space="preserve">Provide access to training datasets, annotated spectra, and reference compounds. </w:t>
      </w:r>
    </w:p>
    <w:p w14:paraId="290AEE66" w14:textId="13EBA4E5" w:rsidR="009E32D2" w:rsidRDefault="009E32D2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 xml:space="preserve">Newsletter </w:t>
      </w:r>
      <w:r w:rsidR="00E61099" w:rsidRPr="00E61099">
        <w:rPr>
          <w:b/>
          <w:bCs/>
        </w:rPr>
        <w:t>and</w:t>
      </w:r>
      <w:r w:rsidRPr="00E61099">
        <w:rPr>
          <w:b/>
          <w:bCs/>
        </w:rPr>
        <w:t xml:space="preserve"> Bulletin:</w:t>
      </w:r>
      <w:r>
        <w:t xml:space="preserve"> </w:t>
      </w:r>
      <w:r w:rsidR="00E61099">
        <w:t>share p</w:t>
      </w:r>
      <w:r>
        <w:t xml:space="preserve">eriodic updates, member highlights, </w:t>
      </w:r>
      <w:r w:rsidR="00E61099">
        <w:t xml:space="preserve">and </w:t>
      </w:r>
      <w:r>
        <w:t>developments in the field.</w:t>
      </w:r>
    </w:p>
    <w:p w14:paraId="7C4F69DA" w14:textId="433425C2" w:rsidR="00152CEF" w:rsidRDefault="00E61099" w:rsidP="0026312E">
      <w:pPr>
        <w:pStyle w:val="ListParagraph"/>
        <w:numPr>
          <w:ilvl w:val="0"/>
          <w:numId w:val="7"/>
        </w:numPr>
        <w:jc w:val="both"/>
      </w:pPr>
      <w:r w:rsidRPr="00E61099">
        <w:rPr>
          <w:b/>
          <w:bCs/>
        </w:rPr>
        <w:t xml:space="preserve">Publications: </w:t>
      </w:r>
      <w:r w:rsidR="00152CEF">
        <w:t>Publish consensus guidelines</w:t>
      </w:r>
      <w:r>
        <w:t>,</w:t>
      </w:r>
      <w:r w:rsidR="00152CEF">
        <w:t xml:space="preserve"> position papers</w:t>
      </w:r>
      <w:r>
        <w:t xml:space="preserve"> etc. </w:t>
      </w:r>
    </w:p>
    <w:p w14:paraId="23688809" w14:textId="77777777" w:rsidR="009E32D2" w:rsidRDefault="009E32D2" w:rsidP="0026312E">
      <w:pPr>
        <w:jc w:val="both"/>
      </w:pPr>
    </w:p>
    <w:p w14:paraId="7C3797F5" w14:textId="42185699" w:rsidR="009E32D2" w:rsidRDefault="009E32D2" w:rsidP="0026312E">
      <w:pPr>
        <w:jc w:val="both"/>
      </w:pPr>
      <w:r>
        <w:t xml:space="preserve">6. </w:t>
      </w:r>
      <w:r w:rsidRPr="00C80380">
        <w:rPr>
          <w:b/>
          <w:bCs/>
        </w:rPr>
        <w:t xml:space="preserve">Operations </w:t>
      </w:r>
      <w:r w:rsidR="00E718E6">
        <w:rPr>
          <w:b/>
          <w:bCs/>
        </w:rPr>
        <w:t>and</w:t>
      </w:r>
      <w:r w:rsidRPr="00C80380">
        <w:rPr>
          <w:b/>
          <w:bCs/>
        </w:rPr>
        <w:t xml:space="preserve"> Administration</w:t>
      </w:r>
    </w:p>
    <w:p w14:paraId="5666275D" w14:textId="77777777" w:rsidR="00C80380" w:rsidRDefault="00C80380" w:rsidP="0026312E">
      <w:pPr>
        <w:jc w:val="both"/>
      </w:pPr>
    </w:p>
    <w:p w14:paraId="7BCD9846" w14:textId="59EE33B5" w:rsidR="009E32D2" w:rsidRDefault="009E32D2" w:rsidP="0026312E">
      <w:pPr>
        <w:pStyle w:val="ListParagraph"/>
        <w:numPr>
          <w:ilvl w:val="0"/>
          <w:numId w:val="9"/>
        </w:numPr>
        <w:jc w:val="both"/>
      </w:pPr>
      <w:r w:rsidRPr="001A0E7A">
        <w:rPr>
          <w:b/>
          <w:bCs/>
        </w:rPr>
        <w:t>Meetings:</w:t>
      </w:r>
      <w:r>
        <w:t xml:space="preserve"> Board meets quarterly; </w:t>
      </w:r>
      <w:r w:rsidR="001A0E7A">
        <w:t>SAG meets</w:t>
      </w:r>
      <w:r>
        <w:t xml:space="preserve"> twice per year</w:t>
      </w:r>
      <w:r w:rsidR="001A0E7A">
        <w:t xml:space="preserve">, typically </w:t>
      </w:r>
      <w:r>
        <w:t>virtually.</w:t>
      </w:r>
    </w:p>
    <w:p w14:paraId="1957A274" w14:textId="77777777" w:rsidR="009E32D2" w:rsidRDefault="009E32D2" w:rsidP="0026312E">
      <w:pPr>
        <w:jc w:val="both"/>
      </w:pPr>
    </w:p>
    <w:p w14:paraId="51FFFAB4" w14:textId="50334944" w:rsidR="009E32D2" w:rsidRDefault="009E32D2" w:rsidP="0026312E">
      <w:pPr>
        <w:pStyle w:val="ListParagraph"/>
        <w:numPr>
          <w:ilvl w:val="0"/>
          <w:numId w:val="9"/>
        </w:numPr>
        <w:jc w:val="both"/>
      </w:pPr>
      <w:r w:rsidRPr="001A0E7A">
        <w:rPr>
          <w:b/>
          <w:bCs/>
        </w:rPr>
        <w:t>Decision</w:t>
      </w:r>
      <w:r w:rsidR="001A0E7A">
        <w:rPr>
          <w:b/>
          <w:bCs/>
        </w:rPr>
        <w:t>-m</w:t>
      </w:r>
      <w:r w:rsidRPr="001A0E7A">
        <w:rPr>
          <w:b/>
          <w:bCs/>
        </w:rPr>
        <w:t>aking:</w:t>
      </w:r>
      <w:r>
        <w:t xml:space="preserve"> Board decisions </w:t>
      </w:r>
      <w:r w:rsidR="001A0E7A">
        <w:t xml:space="preserve">are made </w:t>
      </w:r>
      <w:r>
        <w:t xml:space="preserve">by majority vote; </w:t>
      </w:r>
      <w:r w:rsidR="001A0E7A">
        <w:t>SAG is</w:t>
      </w:r>
      <w:r>
        <w:t xml:space="preserve"> consulted on strategic matters.</w:t>
      </w:r>
    </w:p>
    <w:p w14:paraId="6441BEEE" w14:textId="77777777" w:rsidR="009E32D2" w:rsidRDefault="009E32D2" w:rsidP="0026312E">
      <w:pPr>
        <w:jc w:val="both"/>
      </w:pPr>
    </w:p>
    <w:p w14:paraId="10F08FFD" w14:textId="40C72688" w:rsidR="009E32D2" w:rsidRDefault="009E32D2" w:rsidP="0026312E">
      <w:pPr>
        <w:pStyle w:val="ListParagraph"/>
        <w:numPr>
          <w:ilvl w:val="0"/>
          <w:numId w:val="9"/>
        </w:numPr>
        <w:jc w:val="both"/>
      </w:pPr>
      <w:r w:rsidRPr="001A0E7A">
        <w:rPr>
          <w:b/>
          <w:bCs/>
        </w:rPr>
        <w:lastRenderedPageBreak/>
        <w:t>Financial Model:</w:t>
      </w:r>
      <w:r w:rsidR="00C80380">
        <w:t xml:space="preserve"> </w:t>
      </w:r>
      <w:r w:rsidR="001A0E7A">
        <w:t>Initially, there is no membership fee. Modest dues may be introduced for Full Members in the future. Funding will be sought through event fees, sponsorships, small grants, and institutional support.</w:t>
      </w:r>
    </w:p>
    <w:p w14:paraId="0DC3C36B" w14:textId="77777777" w:rsidR="001A0E7A" w:rsidRDefault="001A0E7A" w:rsidP="0026312E">
      <w:pPr>
        <w:ind w:left="360"/>
        <w:jc w:val="both"/>
      </w:pPr>
    </w:p>
    <w:p w14:paraId="3432F92F" w14:textId="0EBF2A15" w:rsidR="00152CEF" w:rsidRDefault="009E32D2" w:rsidP="0026312E">
      <w:pPr>
        <w:pStyle w:val="ListParagraph"/>
        <w:numPr>
          <w:ilvl w:val="0"/>
          <w:numId w:val="9"/>
        </w:numPr>
        <w:jc w:val="both"/>
      </w:pPr>
      <w:r w:rsidRPr="001A0E7A">
        <w:rPr>
          <w:b/>
          <w:bCs/>
        </w:rPr>
        <w:t>Secretariat Support:</w:t>
      </w:r>
      <w:r w:rsidR="00C80380">
        <w:t xml:space="preserve"> </w:t>
      </w:r>
      <w:r w:rsidR="001A0E7A" w:rsidRPr="001A0E7A">
        <w:t>Support will be provided voluntarily in the early stages, hosted by a Board member’s institution until formal funding is secured.</w:t>
      </w:r>
    </w:p>
    <w:p w14:paraId="712A1771" w14:textId="77777777" w:rsidR="001A0E7A" w:rsidRDefault="001A0E7A" w:rsidP="0026312E">
      <w:pPr>
        <w:jc w:val="both"/>
      </w:pPr>
    </w:p>
    <w:p w14:paraId="39B605E1" w14:textId="77777777" w:rsidR="00152CEF" w:rsidRDefault="00152CEF" w:rsidP="0026312E">
      <w:pPr>
        <w:jc w:val="both"/>
        <w:rPr>
          <w:b/>
          <w:bCs/>
        </w:rPr>
      </w:pPr>
      <w:r>
        <w:t xml:space="preserve">7. </w:t>
      </w:r>
      <w:r w:rsidRPr="00152CEF">
        <w:rPr>
          <w:b/>
          <w:bCs/>
        </w:rPr>
        <w:t>Reporting and Evaluation</w:t>
      </w:r>
    </w:p>
    <w:p w14:paraId="659B2348" w14:textId="77777777" w:rsidR="001A0E7A" w:rsidRDefault="001A0E7A" w:rsidP="0026312E">
      <w:pPr>
        <w:jc w:val="both"/>
      </w:pPr>
    </w:p>
    <w:p w14:paraId="193B5225" w14:textId="438CCD31" w:rsidR="009E32D2" w:rsidRDefault="00FC5C31" w:rsidP="0026312E">
      <w:pPr>
        <w:ind w:left="284"/>
        <w:jc w:val="both"/>
      </w:pPr>
      <w:r w:rsidRPr="00FC5C31">
        <w:t xml:space="preserve">An annual activity report will be submitted by the Board to all members and the </w:t>
      </w:r>
      <w:r w:rsidR="006F057D">
        <w:t>SAG</w:t>
      </w:r>
      <w:r w:rsidRPr="00FC5C31">
        <w:t>.</w:t>
      </w:r>
    </w:p>
    <w:p w14:paraId="3CF8E0EB" w14:textId="77777777" w:rsidR="00FC5C31" w:rsidRDefault="00FC5C31" w:rsidP="0026312E">
      <w:pPr>
        <w:ind w:left="284"/>
        <w:jc w:val="both"/>
      </w:pPr>
    </w:p>
    <w:p w14:paraId="13CB19B4" w14:textId="06AE7E7E" w:rsidR="009E32D2" w:rsidRDefault="00152CEF" w:rsidP="0026312E">
      <w:pPr>
        <w:jc w:val="both"/>
        <w:rPr>
          <w:b/>
          <w:bCs/>
        </w:rPr>
      </w:pPr>
      <w:r>
        <w:t>8</w:t>
      </w:r>
      <w:r w:rsidR="009E32D2">
        <w:t xml:space="preserve">. </w:t>
      </w:r>
      <w:r w:rsidR="009E32D2" w:rsidRPr="00C80380">
        <w:rPr>
          <w:b/>
          <w:bCs/>
        </w:rPr>
        <w:t xml:space="preserve">Diversity, Equity </w:t>
      </w:r>
      <w:r w:rsidR="00145420">
        <w:rPr>
          <w:b/>
          <w:bCs/>
        </w:rPr>
        <w:t>and</w:t>
      </w:r>
      <w:r w:rsidR="009E32D2" w:rsidRPr="00C80380">
        <w:rPr>
          <w:b/>
          <w:bCs/>
        </w:rPr>
        <w:t xml:space="preserve"> Inclusion</w:t>
      </w:r>
    </w:p>
    <w:p w14:paraId="4380ADF7" w14:textId="77777777" w:rsidR="0063051C" w:rsidRDefault="0063051C" w:rsidP="0026312E">
      <w:pPr>
        <w:jc w:val="both"/>
      </w:pPr>
    </w:p>
    <w:p w14:paraId="03158E0D" w14:textId="77777777" w:rsidR="0063051C" w:rsidRDefault="0063051C" w:rsidP="0026312E">
      <w:pPr>
        <w:pStyle w:val="ListParagraph"/>
        <w:numPr>
          <w:ilvl w:val="0"/>
          <w:numId w:val="10"/>
        </w:numPr>
        <w:jc w:val="both"/>
      </w:pPr>
      <w:r w:rsidRPr="0063051C">
        <w:rPr>
          <w:b/>
          <w:bCs/>
        </w:rPr>
        <w:t>Commitment to Representation:</w:t>
      </w:r>
      <w:r>
        <w:t xml:space="preserve"> Ensure global participation with attention to geographic diversity, gender balance, and inclusion of underrepresented groups.</w:t>
      </w:r>
    </w:p>
    <w:p w14:paraId="7DAD6C9B" w14:textId="77777777" w:rsidR="00145420" w:rsidRDefault="00145420" w:rsidP="0026312E">
      <w:pPr>
        <w:pStyle w:val="ListParagraph"/>
        <w:jc w:val="both"/>
      </w:pPr>
    </w:p>
    <w:p w14:paraId="614C7614" w14:textId="6CF73C59" w:rsidR="009E32D2" w:rsidRDefault="0063051C" w:rsidP="0026312E">
      <w:pPr>
        <w:pStyle w:val="ListParagraph"/>
        <w:numPr>
          <w:ilvl w:val="0"/>
          <w:numId w:val="10"/>
        </w:numPr>
        <w:jc w:val="both"/>
      </w:pPr>
      <w:r w:rsidRPr="00145420">
        <w:rPr>
          <w:b/>
          <w:bCs/>
        </w:rPr>
        <w:t>Equitable Access:</w:t>
      </w:r>
      <w:r>
        <w:t xml:space="preserve"> Support travel grants and virtual attendance options to enable participation from resource-limited regions.</w:t>
      </w:r>
    </w:p>
    <w:p w14:paraId="714B0B63" w14:textId="77777777" w:rsidR="0063051C" w:rsidRPr="0063051C" w:rsidRDefault="0063051C" w:rsidP="0026312E">
      <w:pPr>
        <w:jc w:val="both"/>
        <w:rPr>
          <w:lang w:val="en-GB"/>
        </w:rPr>
      </w:pPr>
    </w:p>
    <w:p w14:paraId="4D5AD680" w14:textId="6128FCA5" w:rsidR="009E32D2" w:rsidRDefault="00152CEF" w:rsidP="0026312E">
      <w:pPr>
        <w:jc w:val="both"/>
        <w:rPr>
          <w:b/>
          <w:bCs/>
        </w:rPr>
      </w:pPr>
      <w:r>
        <w:t>9</w:t>
      </w:r>
      <w:r w:rsidR="009E32D2">
        <w:t xml:space="preserve">. </w:t>
      </w:r>
      <w:r w:rsidR="009E32D2" w:rsidRPr="00C80380">
        <w:rPr>
          <w:b/>
          <w:bCs/>
        </w:rPr>
        <w:t xml:space="preserve">Charter Amendments </w:t>
      </w:r>
      <w:r w:rsidR="00145420">
        <w:rPr>
          <w:b/>
          <w:bCs/>
        </w:rPr>
        <w:t>and</w:t>
      </w:r>
      <w:r w:rsidR="009E32D2" w:rsidRPr="00C80380">
        <w:rPr>
          <w:b/>
          <w:bCs/>
        </w:rPr>
        <w:t xml:space="preserve"> Review</w:t>
      </w:r>
    </w:p>
    <w:p w14:paraId="239CFC63" w14:textId="77777777" w:rsidR="00145420" w:rsidRDefault="00145420" w:rsidP="0026312E">
      <w:pPr>
        <w:jc w:val="both"/>
      </w:pPr>
    </w:p>
    <w:p w14:paraId="30E3C24B" w14:textId="36BE710E" w:rsidR="009E32D2" w:rsidRDefault="009E32D2" w:rsidP="0026312E">
      <w:pPr>
        <w:pStyle w:val="ListParagraph"/>
        <w:numPr>
          <w:ilvl w:val="0"/>
          <w:numId w:val="11"/>
        </w:numPr>
        <w:ind w:left="709"/>
        <w:jc w:val="both"/>
      </w:pPr>
      <w:r w:rsidRPr="00DB6415">
        <w:rPr>
          <w:b/>
          <w:bCs/>
        </w:rPr>
        <w:t>Charter Review:</w:t>
      </w:r>
      <w:r>
        <w:t xml:space="preserve"> Every 3 years, led by </w:t>
      </w:r>
      <w:r w:rsidR="00DB6415">
        <w:t xml:space="preserve">the </w:t>
      </w:r>
      <w:r>
        <w:t xml:space="preserve">Board with input from </w:t>
      </w:r>
      <w:r w:rsidR="00DB6415">
        <w:t>the SAG</w:t>
      </w:r>
      <w:r>
        <w:t xml:space="preserve"> and general members.</w:t>
      </w:r>
    </w:p>
    <w:p w14:paraId="2CA19043" w14:textId="77777777" w:rsidR="009E32D2" w:rsidRDefault="009E32D2" w:rsidP="0026312E">
      <w:pPr>
        <w:ind w:left="709"/>
        <w:jc w:val="both"/>
      </w:pPr>
    </w:p>
    <w:p w14:paraId="4D282C16" w14:textId="07707974" w:rsidR="009E32D2" w:rsidRDefault="009E32D2" w:rsidP="0026312E">
      <w:pPr>
        <w:pStyle w:val="ListParagraph"/>
        <w:numPr>
          <w:ilvl w:val="0"/>
          <w:numId w:val="11"/>
        </w:numPr>
        <w:ind w:left="709"/>
        <w:jc w:val="both"/>
      </w:pPr>
      <w:r w:rsidRPr="00DB6415">
        <w:rPr>
          <w:b/>
          <w:bCs/>
        </w:rPr>
        <w:t>Proposals for Change:</w:t>
      </w:r>
      <w:r>
        <w:t xml:space="preserve"> </w:t>
      </w:r>
      <w:r w:rsidR="00DB6415">
        <w:t>May</w:t>
      </w:r>
      <w:r>
        <w:t xml:space="preserve"> be submitted by any member</w:t>
      </w:r>
      <w:r w:rsidR="00DB6415">
        <w:t xml:space="preserve"> and are</w:t>
      </w:r>
      <w:r>
        <w:t xml:space="preserve"> subject to Board vote</w:t>
      </w:r>
      <w:r w:rsidR="00DB6415">
        <w:t xml:space="preserve">, with </w:t>
      </w:r>
      <w:r>
        <w:t xml:space="preserve">feedback from </w:t>
      </w:r>
      <w:r w:rsidR="00DB6415">
        <w:t>the SAG</w:t>
      </w:r>
      <w:r>
        <w:t>.</w:t>
      </w:r>
    </w:p>
    <w:p w14:paraId="1930285A" w14:textId="77777777" w:rsidR="009E32D2" w:rsidRDefault="009E32D2" w:rsidP="0026312E">
      <w:pPr>
        <w:jc w:val="both"/>
      </w:pPr>
    </w:p>
    <w:p w14:paraId="12CAC41B" w14:textId="07D209EB" w:rsidR="00DB6415" w:rsidRDefault="00152CEF" w:rsidP="0026312E">
      <w:pPr>
        <w:jc w:val="both"/>
        <w:rPr>
          <w:b/>
          <w:bCs/>
        </w:rPr>
      </w:pPr>
      <w:r>
        <w:t>10</w:t>
      </w:r>
      <w:r w:rsidR="009E32D2">
        <w:t xml:space="preserve">. </w:t>
      </w:r>
      <w:r w:rsidR="009E32D2" w:rsidRPr="00C80380">
        <w:rPr>
          <w:b/>
          <w:bCs/>
        </w:rPr>
        <w:t>Code of Conduct &amp; Ethics</w:t>
      </w:r>
    </w:p>
    <w:p w14:paraId="01D1612D" w14:textId="77777777" w:rsidR="00DB6415" w:rsidRPr="00C80380" w:rsidRDefault="00DB6415" w:rsidP="0026312E">
      <w:pPr>
        <w:jc w:val="both"/>
        <w:rPr>
          <w:b/>
          <w:bCs/>
        </w:rPr>
      </w:pPr>
    </w:p>
    <w:p w14:paraId="06725A9B" w14:textId="06E51A7D" w:rsidR="009E32D2" w:rsidRDefault="009E32D2" w:rsidP="0026312E">
      <w:pPr>
        <w:pStyle w:val="ListParagraph"/>
        <w:numPr>
          <w:ilvl w:val="0"/>
          <w:numId w:val="12"/>
        </w:numPr>
        <w:jc w:val="both"/>
      </w:pPr>
      <w:r>
        <w:t xml:space="preserve">Members must uphold professional conduct, scientific integrity, openness, and </w:t>
      </w:r>
      <w:r w:rsidR="00DB6415">
        <w:t xml:space="preserve">mutual </w:t>
      </w:r>
      <w:r>
        <w:t>respect.</w:t>
      </w:r>
    </w:p>
    <w:p w14:paraId="6C0A8E66" w14:textId="77777777" w:rsidR="009E32D2" w:rsidRDefault="009E32D2" w:rsidP="0026312E">
      <w:pPr>
        <w:jc w:val="both"/>
      </w:pPr>
    </w:p>
    <w:p w14:paraId="6C05D1B1" w14:textId="77777777" w:rsidR="009E32D2" w:rsidRDefault="009E32D2" w:rsidP="0026312E">
      <w:pPr>
        <w:pStyle w:val="ListParagraph"/>
        <w:numPr>
          <w:ilvl w:val="0"/>
          <w:numId w:val="12"/>
        </w:numPr>
        <w:jc w:val="both"/>
      </w:pPr>
      <w:r>
        <w:t>Data sharing guidelines and confidentiality expectations apply, especially in collaborative challenge settings.</w:t>
      </w:r>
    </w:p>
    <w:p w14:paraId="3B627592" w14:textId="77777777" w:rsidR="009E32D2" w:rsidRDefault="009E32D2" w:rsidP="0026312E">
      <w:pPr>
        <w:jc w:val="both"/>
      </w:pPr>
    </w:p>
    <w:p w14:paraId="04AA7E03" w14:textId="2B7A9C33" w:rsidR="00A819DF" w:rsidRPr="009E32D2" w:rsidRDefault="00A819DF" w:rsidP="0026312E">
      <w:pPr>
        <w:jc w:val="both"/>
      </w:pPr>
    </w:p>
    <w:sectPr w:rsidR="00A819DF" w:rsidRPr="009E32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27424" w14:textId="77777777" w:rsidR="00D462C8" w:rsidRDefault="00D462C8" w:rsidP="00191288">
      <w:r>
        <w:separator/>
      </w:r>
    </w:p>
  </w:endnote>
  <w:endnote w:type="continuationSeparator" w:id="0">
    <w:p w14:paraId="59B38604" w14:textId="77777777" w:rsidR="00D462C8" w:rsidRDefault="00D462C8" w:rsidP="0019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4D76F" w14:textId="77777777" w:rsidR="00D462C8" w:rsidRDefault="00D462C8" w:rsidP="00191288">
      <w:r>
        <w:separator/>
      </w:r>
    </w:p>
  </w:footnote>
  <w:footnote w:type="continuationSeparator" w:id="0">
    <w:p w14:paraId="7257FF2B" w14:textId="77777777" w:rsidR="00D462C8" w:rsidRDefault="00D462C8" w:rsidP="00191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AE462" w14:textId="5EA9F253" w:rsidR="00191288" w:rsidRDefault="00191288" w:rsidP="00191288">
    <w:pPr>
      <w:pStyle w:val="Header"/>
      <w:jc w:val="right"/>
    </w:pPr>
    <w:r w:rsidRPr="00663AC6">
      <w:rPr>
        <w:rFonts w:ascii="Poppins" w:eastAsia="Times New Roman" w:hAnsi="Poppins" w:cs="Poppins"/>
        <w:b/>
        <w:bCs/>
        <w:noProof/>
        <w:color w:val="000000"/>
        <w:kern w:val="0"/>
        <w:sz w:val="27"/>
        <w:szCs w:val="27"/>
        <w14:ligatures w14:val="none"/>
      </w:rPr>
      <w:drawing>
        <wp:inline distT="0" distB="0" distL="0" distR="0" wp14:anchorId="38C246E0" wp14:editId="3C71580B">
          <wp:extent cx="2945899" cy="1067913"/>
          <wp:effectExtent l="0" t="0" r="635" b="0"/>
          <wp:docPr id="207895310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895310" name="Picture 1" descr="A close-up of a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5364" cy="108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734"/>
    <w:multiLevelType w:val="hybridMultilevel"/>
    <w:tmpl w:val="B88C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1FD"/>
    <w:multiLevelType w:val="hybridMultilevel"/>
    <w:tmpl w:val="4E7EBB2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1F5BD3"/>
    <w:multiLevelType w:val="hybridMultilevel"/>
    <w:tmpl w:val="005AE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A675D"/>
    <w:multiLevelType w:val="hybridMultilevel"/>
    <w:tmpl w:val="BB90F28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C43344"/>
    <w:multiLevelType w:val="hybridMultilevel"/>
    <w:tmpl w:val="F4CA9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1A0F"/>
    <w:multiLevelType w:val="hybridMultilevel"/>
    <w:tmpl w:val="CEE6D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D1193"/>
    <w:multiLevelType w:val="hybridMultilevel"/>
    <w:tmpl w:val="E518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3EE"/>
    <w:multiLevelType w:val="hybridMultilevel"/>
    <w:tmpl w:val="7B6E8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F5B84"/>
    <w:multiLevelType w:val="hybridMultilevel"/>
    <w:tmpl w:val="51E4F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066AB"/>
    <w:multiLevelType w:val="hybridMultilevel"/>
    <w:tmpl w:val="016C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36055"/>
    <w:multiLevelType w:val="hybridMultilevel"/>
    <w:tmpl w:val="C4AE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246EF"/>
    <w:multiLevelType w:val="hybridMultilevel"/>
    <w:tmpl w:val="F8A6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8477">
    <w:abstractNumId w:val="0"/>
  </w:num>
  <w:num w:numId="2" w16cid:durableId="836725656">
    <w:abstractNumId w:val="10"/>
  </w:num>
  <w:num w:numId="3" w16cid:durableId="686055231">
    <w:abstractNumId w:val="7"/>
  </w:num>
  <w:num w:numId="4" w16cid:durableId="1190215109">
    <w:abstractNumId w:val="9"/>
  </w:num>
  <w:num w:numId="5" w16cid:durableId="1843428241">
    <w:abstractNumId w:val="8"/>
  </w:num>
  <w:num w:numId="6" w16cid:durableId="1246763862">
    <w:abstractNumId w:val="11"/>
  </w:num>
  <w:num w:numId="7" w16cid:durableId="471094541">
    <w:abstractNumId w:val="4"/>
  </w:num>
  <w:num w:numId="8" w16cid:durableId="1304458090">
    <w:abstractNumId w:val="1"/>
  </w:num>
  <w:num w:numId="9" w16cid:durableId="1734430986">
    <w:abstractNumId w:val="6"/>
  </w:num>
  <w:num w:numId="10" w16cid:durableId="113985810">
    <w:abstractNumId w:val="2"/>
  </w:num>
  <w:num w:numId="11" w16cid:durableId="645815228">
    <w:abstractNumId w:val="3"/>
  </w:num>
  <w:num w:numId="12" w16cid:durableId="569462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91"/>
    <w:rsid w:val="00010D98"/>
    <w:rsid w:val="000243E1"/>
    <w:rsid w:val="00052678"/>
    <w:rsid w:val="00086536"/>
    <w:rsid w:val="00091BE5"/>
    <w:rsid w:val="000D367B"/>
    <w:rsid w:val="000E0E3A"/>
    <w:rsid w:val="00145420"/>
    <w:rsid w:val="0015111E"/>
    <w:rsid w:val="00152CEF"/>
    <w:rsid w:val="001532EA"/>
    <w:rsid w:val="00191288"/>
    <w:rsid w:val="001915F1"/>
    <w:rsid w:val="001A0E7A"/>
    <w:rsid w:val="001F00C0"/>
    <w:rsid w:val="002137A8"/>
    <w:rsid w:val="0026312E"/>
    <w:rsid w:val="00277A59"/>
    <w:rsid w:val="00296B0E"/>
    <w:rsid w:val="002B14AE"/>
    <w:rsid w:val="003223E7"/>
    <w:rsid w:val="0033107E"/>
    <w:rsid w:val="003D03C0"/>
    <w:rsid w:val="004356F9"/>
    <w:rsid w:val="00442CE2"/>
    <w:rsid w:val="004E1D5D"/>
    <w:rsid w:val="00502B89"/>
    <w:rsid w:val="00554EE4"/>
    <w:rsid w:val="0056300C"/>
    <w:rsid w:val="005B67CE"/>
    <w:rsid w:val="005B713B"/>
    <w:rsid w:val="005D463F"/>
    <w:rsid w:val="005D6928"/>
    <w:rsid w:val="00612747"/>
    <w:rsid w:val="0063051C"/>
    <w:rsid w:val="006367DB"/>
    <w:rsid w:val="00653F63"/>
    <w:rsid w:val="006655A3"/>
    <w:rsid w:val="00674836"/>
    <w:rsid w:val="006F057D"/>
    <w:rsid w:val="00700C35"/>
    <w:rsid w:val="00756BC3"/>
    <w:rsid w:val="00787AE8"/>
    <w:rsid w:val="00834564"/>
    <w:rsid w:val="008B2FA7"/>
    <w:rsid w:val="008E2AF3"/>
    <w:rsid w:val="00907B42"/>
    <w:rsid w:val="00997D87"/>
    <w:rsid w:val="009A60BB"/>
    <w:rsid w:val="009E32D2"/>
    <w:rsid w:val="00A03978"/>
    <w:rsid w:val="00A466ED"/>
    <w:rsid w:val="00A51F00"/>
    <w:rsid w:val="00A526BB"/>
    <w:rsid w:val="00A7295C"/>
    <w:rsid w:val="00A819DF"/>
    <w:rsid w:val="00AC2294"/>
    <w:rsid w:val="00B9227A"/>
    <w:rsid w:val="00C0165E"/>
    <w:rsid w:val="00C46182"/>
    <w:rsid w:val="00C80380"/>
    <w:rsid w:val="00C81B79"/>
    <w:rsid w:val="00CA4A91"/>
    <w:rsid w:val="00CD3107"/>
    <w:rsid w:val="00CD4668"/>
    <w:rsid w:val="00D30709"/>
    <w:rsid w:val="00D462C8"/>
    <w:rsid w:val="00D541F0"/>
    <w:rsid w:val="00D81506"/>
    <w:rsid w:val="00DA4509"/>
    <w:rsid w:val="00DB5DF5"/>
    <w:rsid w:val="00DB6415"/>
    <w:rsid w:val="00DF33C8"/>
    <w:rsid w:val="00E1587A"/>
    <w:rsid w:val="00E61099"/>
    <w:rsid w:val="00E632F7"/>
    <w:rsid w:val="00E718E6"/>
    <w:rsid w:val="00E74410"/>
    <w:rsid w:val="00E922C5"/>
    <w:rsid w:val="00EB57E5"/>
    <w:rsid w:val="00ED2CA8"/>
    <w:rsid w:val="00EE5A8B"/>
    <w:rsid w:val="00F10A30"/>
    <w:rsid w:val="00F15941"/>
    <w:rsid w:val="00F4482E"/>
    <w:rsid w:val="00F5279F"/>
    <w:rsid w:val="00F60E04"/>
    <w:rsid w:val="00F76FCD"/>
    <w:rsid w:val="00FC088B"/>
    <w:rsid w:val="00FC1D9C"/>
    <w:rsid w:val="00FC5C31"/>
    <w:rsid w:val="00FD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E8AEE"/>
  <w15:chartTrackingRefBased/>
  <w15:docId w15:val="{5B21A921-6978-B24C-80FF-8F4B7F5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9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137A8"/>
  </w:style>
  <w:style w:type="character" w:styleId="CommentReference">
    <w:name w:val="annotation reference"/>
    <w:basedOn w:val="DefaultParagraphFont"/>
    <w:uiPriority w:val="99"/>
    <w:semiHidden/>
    <w:unhideWhenUsed/>
    <w:rsid w:val="00296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B0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288"/>
  </w:style>
  <w:style w:type="paragraph" w:styleId="Footer">
    <w:name w:val="footer"/>
    <w:basedOn w:val="Normal"/>
    <w:link w:val="FooterChar"/>
    <w:uiPriority w:val="99"/>
    <w:unhideWhenUsed/>
    <w:rsid w:val="00191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924B22-41E5-8048-93F6-1052B2DE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Elaine</dc:creator>
  <cp:keywords/>
  <dc:description/>
  <cp:lastModifiedBy>Li, Jia</cp:lastModifiedBy>
  <cp:revision>8</cp:revision>
  <dcterms:created xsi:type="dcterms:W3CDTF">2025-08-07T07:17:00Z</dcterms:created>
  <dcterms:modified xsi:type="dcterms:W3CDTF">2025-08-12T13:17:00Z</dcterms:modified>
</cp:coreProperties>
</file>