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B59" w:rsidRPr="006048E7" w:rsidRDefault="00505B59" w:rsidP="00505B5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48E7">
        <w:rPr>
          <w:rFonts w:ascii="Times New Roman" w:hAnsi="Times New Roman" w:cs="Times New Roman"/>
          <w:b/>
          <w:sz w:val="24"/>
          <w:szCs w:val="24"/>
        </w:rPr>
        <w:t>ИСПОЛЬЗУЕМЫЕ ПОНЯТИЯ И ОПРЕДЕЛЕНИЯ</w:t>
      </w:r>
    </w:p>
    <w:p w:rsidR="00A953B9" w:rsidRPr="00980DAB" w:rsidRDefault="00A953B9" w:rsidP="006048E7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80DAB">
        <w:rPr>
          <w:rFonts w:ascii="Times New Roman" w:hAnsi="Times New Roman" w:cs="Times New Roman"/>
          <w:b/>
          <w:sz w:val="26"/>
          <w:szCs w:val="26"/>
        </w:rPr>
        <w:t>Раздел 1. Основные показатели денежных доходов населения</w:t>
      </w:r>
    </w:p>
    <w:p w:rsidR="00A953B9" w:rsidRPr="006048E7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t>Таблица 1</w:t>
      </w:r>
    </w:p>
    <w:p w:rsidR="00A953B9" w:rsidRPr="006048E7" w:rsidRDefault="00A953B9" w:rsidP="00A953B9">
      <w:pPr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="001F4069" w:rsidRPr="006048E7">
        <w:rPr>
          <w:rFonts w:ascii="Times New Roman" w:hAnsi="Times New Roman" w:cs="Times New Roman"/>
          <w:sz w:val="26"/>
          <w:szCs w:val="26"/>
        </w:rPr>
        <w:t>Денежные доходы населения включают оплату труда наемных работников; доходы от предпринимательской деятельности и другой производственной деятельности; социальные выплаты (пенсии, пособия, стипендии и другие выплаты); доходы от собственности (дивиденды, проценты, начисленные по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="001F4069" w:rsidRPr="006048E7">
        <w:rPr>
          <w:rFonts w:ascii="Times New Roman" w:hAnsi="Times New Roman" w:cs="Times New Roman"/>
          <w:sz w:val="26"/>
          <w:szCs w:val="26"/>
        </w:rPr>
        <w:t>денежным средствам на банковских счетах физических лиц в кредитных организациях; выплата доходов по государственным и другим ценным бумагам; инвестиционный доход (доход от собственности держателей полисов);</w:t>
      </w:r>
      <w:proofErr w:type="gramEnd"/>
      <w:r w:rsidR="001F4069" w:rsidRPr="006048E7">
        <w:rPr>
          <w:rFonts w:ascii="Times New Roman" w:hAnsi="Times New Roman" w:cs="Times New Roman"/>
          <w:sz w:val="26"/>
          <w:szCs w:val="26"/>
        </w:rPr>
        <w:t xml:space="preserve"> прочие денежные поступления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048E7">
        <w:rPr>
          <w:rFonts w:ascii="Times New Roman" w:hAnsi="Times New Roman" w:cs="Times New Roman"/>
          <w:sz w:val="26"/>
          <w:szCs w:val="26"/>
        </w:rPr>
        <w:t>Реальные располагаемые денежные доходы - относительный показатель, характеризующий динамику располагаемых денежных доходов (денежные доходы за вычетом обязательных платежей) населения по сравнению с изменением цен на товары и услуги и исчисленный путем деления индекса номинального размера (т.е.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фактически сложившегося в отчетном периоде) располагаемых денежных доходов населения на индекс потребительских цен за соответствующий временной период.</w:t>
      </w:r>
      <w:proofErr w:type="gramEnd"/>
    </w:p>
    <w:p w:rsidR="00A953B9" w:rsidRPr="006048E7" w:rsidRDefault="001F4069" w:rsidP="001F406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t>Таблица 2</w:t>
      </w:r>
    </w:p>
    <w:p w:rsidR="002608F3" w:rsidRPr="006048E7" w:rsidRDefault="002608F3" w:rsidP="002608F3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Реальные денежные доходы - относительный показатель, характеризующий динамику денежных доходов населения по сравнению с изменением цен на товары и услуги и исчисленный путем деления индекса номинального размера денежных доходов населения (т.е. фактически сложившегося в отчетном периоде) на индекс потребительских цен за соответствующий временной период.</w:t>
      </w:r>
    </w:p>
    <w:p w:rsidR="002608F3" w:rsidRPr="006048E7" w:rsidRDefault="002608F3" w:rsidP="002608F3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Располагаемые денежные доходы – денежные доходы за вычетом обязательных платежей.</w:t>
      </w:r>
    </w:p>
    <w:p w:rsidR="002608F3" w:rsidRPr="006048E7" w:rsidRDefault="002608F3" w:rsidP="002608F3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t>Таблица 3</w:t>
      </w:r>
    </w:p>
    <w:p w:rsidR="001F4069" w:rsidRPr="006048E7" w:rsidRDefault="001F4069" w:rsidP="001F406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 xml:space="preserve">Среднедушевые денежные доходы (в месяц) исчисляются делением годового объема денежных доходов  на среднегодовую численность населения и на 12. </w:t>
      </w:r>
    </w:p>
    <w:p w:rsidR="002608F3" w:rsidRDefault="002608F3" w:rsidP="002608F3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Таблица 4</w:t>
      </w:r>
    </w:p>
    <w:p w:rsidR="001F4069" w:rsidRDefault="008A39CD" w:rsidP="008A39CD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Потребительские расходы включают расходы физических лиц на покупку товаров и оплату услуг, а также платежи за товары (работы и услуги) зарубежным поставщикам за безналичный и наличный расчет. </w:t>
      </w:r>
    </w:p>
    <w:p w:rsidR="008A39CD" w:rsidRPr="006048E7" w:rsidRDefault="008A39CD" w:rsidP="008A39CD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Потребительские расходы</w:t>
      </w:r>
      <w:r w:rsidRPr="006048E7">
        <w:rPr>
          <w:rFonts w:ascii="Times New Roman" w:hAnsi="Times New Roman" w:cs="Times New Roman"/>
          <w:sz w:val="26"/>
          <w:szCs w:val="26"/>
        </w:rPr>
        <w:t xml:space="preserve"> (в месяц) исчисляются делением годового объема </w:t>
      </w:r>
      <w:r>
        <w:rPr>
          <w:rFonts w:ascii="Times New Roman" w:hAnsi="Times New Roman" w:cs="Times New Roman"/>
          <w:sz w:val="26"/>
          <w:szCs w:val="26"/>
        </w:rPr>
        <w:t>потребительских расходов</w:t>
      </w:r>
      <w:r w:rsidRPr="006048E7">
        <w:rPr>
          <w:rFonts w:ascii="Times New Roman" w:hAnsi="Times New Roman" w:cs="Times New Roman"/>
          <w:sz w:val="26"/>
          <w:szCs w:val="26"/>
        </w:rPr>
        <w:t xml:space="preserve">  на среднегодовую численность населения и на 12. </w:t>
      </w:r>
    </w:p>
    <w:p w:rsidR="008A39CD" w:rsidRPr="008A39CD" w:rsidRDefault="008A39CD" w:rsidP="008A39CD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A953B9" w:rsidRPr="006048E7" w:rsidRDefault="00A953B9" w:rsidP="006048E7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lastRenderedPageBreak/>
        <w:t>Раздел 2. Состав денежных доходов населения по источникам формирования</w:t>
      </w:r>
    </w:p>
    <w:p w:rsidR="00A953B9" w:rsidRPr="006048E7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t xml:space="preserve">Таблица </w:t>
      </w:r>
      <w:r w:rsidR="002608F3">
        <w:rPr>
          <w:rFonts w:ascii="Times New Roman" w:hAnsi="Times New Roman" w:cs="Times New Roman"/>
          <w:b/>
          <w:sz w:val="26"/>
          <w:szCs w:val="26"/>
        </w:rPr>
        <w:t>5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Доходы от предпринимательской деятельности включают доходы по труду работающих не по найму; доходы от сдачи в аренду жилья и иного имущества; авторские вознаграждения;  вознаграждение директоров и иные аналогичные выплаты, получаемые членами органа управления организации (совета директоров или иного подобного органа).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Оплата труда наемных работников (включая выплаты социального характера) представляет собой оценку вознаграждения за труд наемных работников на всех видах работ по выпуску товаров и услуг в пределах границ производства по системе национальных счетов (СНС); денежное довольствие и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 xml:space="preserve">выплаты социального характера военнослужащим; </w:t>
      </w:r>
      <w:proofErr w:type="gramStart"/>
      <w:r w:rsidRPr="006048E7">
        <w:rPr>
          <w:rFonts w:ascii="Times New Roman" w:hAnsi="Times New Roman" w:cs="Times New Roman"/>
          <w:sz w:val="26"/>
          <w:szCs w:val="26"/>
        </w:rPr>
        <w:t>иные выплаты наемным работникам, не учитываемые в фонде оплаты труда (суточные, оплата отдельных категорий наемных работников, работающих за рубежом, выплачиваемая в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 xml:space="preserve">иностранной валюте (в пересчете на рубли). </w:t>
      </w:r>
      <w:proofErr w:type="gramEnd"/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Социальные выплаты учитывают выплаченные населению пенсии, пособия и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социальную помощь, стипендии и страховые возмещения.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Доходы от собственности определяются как поступления, связанные с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получением дохода на финансовые активы (доход от финансовых активов), а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также иные поступления, связанные с реализацией прав собственности на финансовые активы, запатентованные материалы или материалы, на которые распространяется авторское право.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048E7">
        <w:rPr>
          <w:rFonts w:ascii="Times New Roman" w:hAnsi="Times New Roman" w:cs="Times New Roman"/>
          <w:sz w:val="26"/>
          <w:szCs w:val="26"/>
        </w:rPr>
        <w:t>К прочим денежным поступлениям относятся доходы, не имеющие широкого распространения (денежные переводы, включая переводы за рубеж, компенсационные  выплаты отдельным категориям граждан по вкладам, выигрыши  по лотереям и другим операциям игорного бизнеса, доходы от сдачи вторсырья, проценты по долговым обязательствам и т.д.), а также прочие поступления, не распределенные по статьям формирования денежных доходов населения (определяются расчетным методом как разница между</w:t>
      </w:r>
      <w:proofErr w:type="gramEnd"/>
      <w:r w:rsidRPr="006048E7">
        <w:rPr>
          <w:rFonts w:ascii="Times New Roman" w:hAnsi="Times New Roman" w:cs="Times New Roman"/>
          <w:sz w:val="26"/>
          <w:szCs w:val="26"/>
        </w:rPr>
        <w:t xml:space="preserve"> объемами расходов и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сбережений и объемами денежных доходов населения, представленных в официальной отчетности).</w:t>
      </w:r>
    </w:p>
    <w:p w:rsidR="00A953B9" w:rsidRPr="006048E7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t xml:space="preserve">Таблица </w:t>
      </w:r>
      <w:r w:rsidR="008A39CD">
        <w:rPr>
          <w:rFonts w:ascii="Times New Roman" w:hAnsi="Times New Roman" w:cs="Times New Roman"/>
          <w:b/>
          <w:sz w:val="26"/>
          <w:szCs w:val="26"/>
        </w:rPr>
        <w:t>6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Социальные выплаты включают выплаты пенсий, пособий и социальной помощи, стипендий, страховых возмещений.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Пенсии включают все виды получаемых населением пенсий из средств федерального бюджета и бюджета Российской Федерации, бюджета Пенсионного фонда России, бюджетов негосударственных пенсионных фондов.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048E7">
        <w:rPr>
          <w:rFonts w:ascii="Times New Roman" w:hAnsi="Times New Roman" w:cs="Times New Roman"/>
          <w:sz w:val="26"/>
          <w:szCs w:val="26"/>
        </w:rPr>
        <w:lastRenderedPageBreak/>
        <w:t>Пособия и социальная помощь включают денежные выплаты населению, назначаемые в качестве мер социальной поддержки отдельным категориям граждан, и выплачиваемые из средств федерального бюджета и бюджетов субъектов Российской Федерации, бюджета Пенсионного фонда Российской Федерации, бюджета Фонда социального страхования, а также за счет субвенций, предоставляемых бюджетам субъектов Российской Федерации из Федерального бюджета.</w:t>
      </w:r>
      <w:proofErr w:type="gramEnd"/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Стипендии включаются все виды стипендий студентам высших учебных заведений, учащимся колледжей, курсов, училищ и других учебных заведений; по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ученическому договору на профессиональное обучение; по подготовке и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переподготовке работников в связи с производственной необходимостью; за счет грантов, предоставленных международными, иностранными некоммерческими и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благотворительными организациями.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048E7">
        <w:rPr>
          <w:rFonts w:ascii="Times New Roman" w:hAnsi="Times New Roman" w:cs="Times New Roman"/>
          <w:sz w:val="26"/>
          <w:szCs w:val="26"/>
        </w:rPr>
        <w:t>Страховые возмещения  включают выплаты, получаемые населением от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страховых организаций по договорам обязательного и добровольного страхования жизни, включая страхование пенсий; от  несчастных случаев и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болезней; имущества граждан, предпринимательских и финансовых рисков (для физических лиц – при потере работы); гражданской ответственности владельцев транспортных средств, а также единовременные и ежемесячные страховые выплаты, финансируемые Фондом социального страхования Российской Федерации.</w:t>
      </w:r>
      <w:proofErr w:type="gramEnd"/>
    </w:p>
    <w:p w:rsidR="00A953B9" w:rsidRPr="006048E7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t xml:space="preserve">Таблица </w:t>
      </w:r>
      <w:r w:rsidR="008A39CD">
        <w:rPr>
          <w:rFonts w:ascii="Times New Roman" w:hAnsi="Times New Roman" w:cs="Times New Roman"/>
          <w:b/>
          <w:sz w:val="26"/>
          <w:szCs w:val="26"/>
        </w:rPr>
        <w:t>7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048E7">
        <w:rPr>
          <w:rFonts w:ascii="Times New Roman" w:hAnsi="Times New Roman" w:cs="Times New Roman"/>
          <w:sz w:val="26"/>
          <w:szCs w:val="26"/>
        </w:rPr>
        <w:t>Пособия и социальная помощь ─ денежные выплаты населению, назначаемые в качестве мер социальной поддержки отдельным категориям граждан, и выплачиваемые из средств федерального бюджета и бюджетов субъектов Российской Федерации, бюджета Пенсионного фонда Российской Федерации, бюджета Фонда социального страхования, а также за счет субвенций, предоставляемых бюджетам субъектов Российской Федерации из Федерального бюджета.</w:t>
      </w:r>
      <w:proofErr w:type="gramEnd"/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Пособия и социальная помощь включают в себя денежные выплаты отдельным категориям граждан, материнские и детские пособия, пособия по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временной нетрудоспособности, пособия и материальную помощь по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безработице, другие виды пособий и социальной помощи.</w:t>
      </w:r>
    </w:p>
    <w:p w:rsidR="00A953B9" w:rsidRPr="006048E7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t xml:space="preserve">Таблица </w:t>
      </w:r>
      <w:r w:rsidR="008A39CD">
        <w:rPr>
          <w:rFonts w:ascii="Times New Roman" w:hAnsi="Times New Roman" w:cs="Times New Roman"/>
          <w:b/>
          <w:sz w:val="26"/>
          <w:szCs w:val="26"/>
        </w:rPr>
        <w:t>8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Содержит данные  по материнским и детским пособиям: по беременности и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 xml:space="preserve">родам, при рождении ребенка,  по уходу за ребенком до 1,5 лет, ежемесячное пособие на ребенка, по уходу за детьми – инвалидами, другие пособия, выплачиваемые </w:t>
      </w:r>
      <w:r w:rsidRPr="008F1382">
        <w:rPr>
          <w:rFonts w:ascii="Times New Roman" w:hAnsi="Times New Roman" w:cs="Times New Roman"/>
          <w:sz w:val="26"/>
          <w:szCs w:val="26"/>
        </w:rPr>
        <w:t xml:space="preserve">из </w:t>
      </w:r>
      <w:r w:rsidR="008A39CD" w:rsidRPr="008F1382">
        <w:rPr>
          <w:rFonts w:ascii="Times New Roman" w:hAnsi="Times New Roman" w:cs="Times New Roman"/>
          <w:sz w:val="26"/>
          <w:szCs w:val="26"/>
        </w:rPr>
        <w:t>Ф</w:t>
      </w:r>
      <w:r w:rsidRPr="008F1382">
        <w:rPr>
          <w:rFonts w:ascii="Times New Roman" w:hAnsi="Times New Roman" w:cs="Times New Roman"/>
          <w:sz w:val="26"/>
          <w:szCs w:val="26"/>
        </w:rPr>
        <w:t xml:space="preserve">онда </w:t>
      </w:r>
      <w:r w:rsidR="008A39CD" w:rsidRPr="008F1382">
        <w:rPr>
          <w:rFonts w:ascii="Times New Roman" w:hAnsi="Times New Roman" w:cs="Times New Roman"/>
          <w:sz w:val="26"/>
          <w:szCs w:val="26"/>
        </w:rPr>
        <w:t>с</w:t>
      </w:r>
      <w:r w:rsidRPr="008F1382">
        <w:rPr>
          <w:rFonts w:ascii="Times New Roman" w:hAnsi="Times New Roman" w:cs="Times New Roman"/>
          <w:sz w:val="26"/>
          <w:szCs w:val="26"/>
        </w:rPr>
        <w:t>оциального страхования</w:t>
      </w:r>
      <w:r w:rsidR="008A39CD" w:rsidRPr="008F1382">
        <w:rPr>
          <w:rFonts w:ascii="Times New Roman" w:hAnsi="Times New Roman" w:cs="Times New Roman"/>
          <w:sz w:val="26"/>
          <w:szCs w:val="26"/>
        </w:rPr>
        <w:t>, Пенсионного фонда России.</w:t>
      </w:r>
      <w:bookmarkStart w:id="0" w:name="_GoBack"/>
      <w:bookmarkEnd w:id="0"/>
    </w:p>
    <w:p w:rsidR="008A39CD" w:rsidRDefault="008A39CD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953B9" w:rsidRPr="006048E7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lastRenderedPageBreak/>
        <w:t xml:space="preserve">Таблица </w:t>
      </w:r>
      <w:r w:rsidR="008A39CD">
        <w:rPr>
          <w:rFonts w:ascii="Times New Roman" w:hAnsi="Times New Roman" w:cs="Times New Roman"/>
          <w:b/>
          <w:sz w:val="26"/>
          <w:szCs w:val="26"/>
        </w:rPr>
        <w:t>9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Доходы от собственности определяются как поступления, связанные с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получением дохода на финансовые активы (доход от финансовых активов), а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также иные поступления, связанные с реализацией прав собственности на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финансовые активы, запатентованные материалы или материалы, на которые распространяется авторское право.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В рамках действующих методологических положений доходы от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собственности включают следующие виды поступлений: дивиденды, проценты, начисленные по денежным средствам на банковских счетах физических лиц в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кредитных организациях; выплата доходов по государственным и другим ценным бумагам; инвестиционный доход (доход от собственности держателей полисов).</w:t>
      </w:r>
    </w:p>
    <w:p w:rsidR="00A953B9" w:rsidRPr="006048E7" w:rsidRDefault="00A953B9" w:rsidP="006048E7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t>Раздел 3. Использование денежных доходов населения</w:t>
      </w:r>
    </w:p>
    <w:p w:rsidR="00A953B9" w:rsidRPr="006048E7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t xml:space="preserve">Таблица </w:t>
      </w:r>
      <w:r w:rsidR="008A39CD">
        <w:rPr>
          <w:rFonts w:ascii="Times New Roman" w:hAnsi="Times New Roman" w:cs="Times New Roman"/>
          <w:b/>
          <w:sz w:val="26"/>
          <w:szCs w:val="26"/>
        </w:rPr>
        <w:t>10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Потребительские расходы включают расходы физических лиц на покупку товаров и оплату услуг, а также платежи за товары (работы, услуги), зарубежным поставщикам за безналичный и наличный расчет.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Обязательные платежи и разнообразные взносы включают фактически выплаченные населением налоги и сборы; платежи по страхованию; взносы в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общественные и кооперативные организации; проценты, уплаченные населением за кредиты (включая валютные).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Прочие расходы населения включают расходы на приобретение лотерейных билетов и другие расходы на  игорный бизнес, а также суммы отправленных населением денежных переводов.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048E7">
        <w:rPr>
          <w:rFonts w:ascii="Times New Roman" w:hAnsi="Times New Roman" w:cs="Times New Roman"/>
          <w:sz w:val="26"/>
          <w:szCs w:val="26"/>
        </w:rPr>
        <w:t>К сбережениям населения относятся прирост (уменьшение) сбережений во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вкладах; прирост (уменьшение) сбережений в ценных бумагах; расходы на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покупку недвижимости; прирост (уменьшение) наличных денег на руках у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населения; прирост (уменьшение) прочих сбережений.</w:t>
      </w:r>
      <w:proofErr w:type="gramEnd"/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Общий объем сбережений населения корректируется на величину финансовых обязательств (кредиты, ссуды) и на величину реализации финансовых активов (средств от продажи и погашения инвестиционных паев, от реализации долей участия в уставном капитале организаций и др.).</w:t>
      </w:r>
    </w:p>
    <w:p w:rsidR="00A953B9" w:rsidRPr="006048E7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t xml:space="preserve">Таблица </w:t>
      </w:r>
      <w:r w:rsidR="008A39CD">
        <w:rPr>
          <w:rFonts w:ascii="Times New Roman" w:hAnsi="Times New Roman" w:cs="Times New Roman"/>
          <w:b/>
          <w:sz w:val="26"/>
          <w:szCs w:val="26"/>
        </w:rPr>
        <w:t>11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Расходы на покупку товаров населением определяются в размере общего объема оборота розничной торговли и общественного питания, объемов реализации отдельных групп товаров населению вне торговой сети и через сети мелкооптовых и оптово-розничных магазинов.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048E7">
        <w:rPr>
          <w:rFonts w:ascii="Times New Roman" w:hAnsi="Times New Roman" w:cs="Times New Roman"/>
          <w:sz w:val="26"/>
          <w:szCs w:val="26"/>
        </w:rPr>
        <w:lastRenderedPageBreak/>
        <w:t>Расходы на оплату услуг включают объем платных услуг населению, который представляет собой денежный эквивалент объема услуг, оказанных резидентами российской экономики (юридическими лицами и гражданами, занимающимися предпринимательской деятельностью без образования юридического лица) гражданам Российской Федерации, а также гражданам других государств (нерезидентам), потребляющим те или иные услуги на территории Российской Федерации; оплату посреднических услуг при сделках с недвижимостью;</w:t>
      </w:r>
      <w:proofErr w:type="gramEnd"/>
      <w:r w:rsidRPr="006048E7">
        <w:rPr>
          <w:rFonts w:ascii="Times New Roman" w:hAnsi="Times New Roman" w:cs="Times New Roman"/>
          <w:sz w:val="26"/>
          <w:szCs w:val="26"/>
        </w:rPr>
        <w:t xml:space="preserve"> расходы, понесенными населением при оплате услуг «ненаблюдаемого» рынка; арендную плату за жилье, расходы на транспортные услуги, приобретенные у иностранных компаний.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Объем платежей за товары (работы, услуги) зарубежным поставщикам за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безналичный и наличный расчет определяется на основе данных Банка России как сальдо денежных средств, израсходованных резидентами в поездках за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 xml:space="preserve">пределами Российской Федерации и аналогичных средств, израсходованных нерезидентами на территории Российской Федерации. В составе статьи учитывается также сальдо трансграничной Интернет-торговли с учетом корректировки общего объема покупок через иностранные </w:t>
      </w:r>
      <w:proofErr w:type="gramStart"/>
      <w:r w:rsidRPr="006048E7">
        <w:rPr>
          <w:rFonts w:ascii="Times New Roman" w:hAnsi="Times New Roman" w:cs="Times New Roman"/>
          <w:sz w:val="26"/>
          <w:szCs w:val="26"/>
        </w:rPr>
        <w:t>Интернет-магазины</w:t>
      </w:r>
      <w:proofErr w:type="gramEnd"/>
      <w:r w:rsidRPr="006048E7">
        <w:rPr>
          <w:rFonts w:ascii="Times New Roman" w:hAnsi="Times New Roman" w:cs="Times New Roman"/>
          <w:sz w:val="26"/>
          <w:szCs w:val="26"/>
        </w:rPr>
        <w:t xml:space="preserve"> на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величину покупок товаров для последующей перепродажи на территории Российской Федерации.</w:t>
      </w:r>
    </w:p>
    <w:p w:rsidR="00A953B9" w:rsidRPr="006048E7" w:rsidRDefault="00A953B9" w:rsidP="00A953B9">
      <w:pPr>
        <w:spacing w:before="120" w:after="120" w:line="288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b/>
          <w:sz w:val="26"/>
          <w:szCs w:val="26"/>
        </w:rPr>
        <w:t xml:space="preserve">Таблица </w:t>
      </w:r>
      <w:r w:rsidR="008A39CD">
        <w:rPr>
          <w:rFonts w:ascii="Times New Roman" w:hAnsi="Times New Roman" w:cs="Times New Roman"/>
          <w:b/>
          <w:sz w:val="26"/>
          <w:szCs w:val="26"/>
        </w:rPr>
        <w:t>12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К сбережениям населения относятся прирост (уменьшение) сбережений во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вкладах, в ценных бумагах,  в наличных деньгах  на руках у населения, на счетах индивидуальных предпринимателей; расходы на покупку недвижимости (включая расходы на покупку скота и птицы); прирост (уменьшение) прочих сбережений.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Изменение средств на счетах индивидуальных предпринимателей определяется как разница между остатками средств на счетах физических лиц - индивидуальных предпринимателей на конец и начало отчетного периода. Источником информации являются данные Банка России.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Прирост (уменьшение) сбережений во вкладах включает прирост (уменьшение) средств на рублевых и валютных счетах (расчетных, текущих депозитных и иных счетах до востребования) физических лиц в кредитных организациях на территории Российской Федерации и изменение остатков собственных средств  на счетах за рубежом.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6048E7">
        <w:rPr>
          <w:rFonts w:ascii="Times New Roman" w:hAnsi="Times New Roman" w:cs="Times New Roman"/>
          <w:sz w:val="26"/>
          <w:szCs w:val="26"/>
        </w:rPr>
        <w:t>Прирост (уменьшение) сбережений в ценных бумагах (включая векселя и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 xml:space="preserve">долговые ценные бумаги, в </w:t>
      </w:r>
      <w:proofErr w:type="spellStart"/>
      <w:r w:rsidRPr="006048E7">
        <w:rPr>
          <w:rFonts w:ascii="Times New Roman" w:hAnsi="Times New Roman" w:cs="Times New Roman"/>
          <w:sz w:val="26"/>
          <w:szCs w:val="26"/>
        </w:rPr>
        <w:t>т.ч</w:t>
      </w:r>
      <w:proofErr w:type="spellEnd"/>
      <w:r w:rsidRPr="006048E7">
        <w:rPr>
          <w:rFonts w:ascii="Times New Roman" w:hAnsi="Times New Roman" w:cs="Times New Roman"/>
          <w:sz w:val="26"/>
          <w:szCs w:val="26"/>
        </w:rPr>
        <w:t>. иностранные) рассчитывается по данным Банка России и форм федерального статистического наблюдения как разность между общей суммой покупки населением ценных бумаг и ее продажи, уменьшенной на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величину выплат дохода по ним (так определяется «чистое» приобретение ценных бумаг).</w:t>
      </w:r>
      <w:proofErr w:type="gramEnd"/>
      <w:r w:rsidRPr="006048E7">
        <w:rPr>
          <w:rFonts w:ascii="Times New Roman" w:hAnsi="Times New Roman" w:cs="Times New Roman"/>
          <w:sz w:val="26"/>
          <w:szCs w:val="26"/>
        </w:rPr>
        <w:t xml:space="preserve"> В состав статьи также включается изменение остатков </w:t>
      </w:r>
      <w:r w:rsidRPr="006048E7">
        <w:rPr>
          <w:rFonts w:ascii="Times New Roman" w:hAnsi="Times New Roman" w:cs="Times New Roman"/>
          <w:sz w:val="26"/>
          <w:szCs w:val="26"/>
        </w:rPr>
        <w:lastRenderedPageBreak/>
        <w:t>по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иностранным долговым ценным бумагам, которое определяется как сальдо трансграничных операций с долговыми ценными бумагами.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Расходы населения на покупку недвижимости включают в себя покупку жилых и нежилых помещений, земельных участков, находившихся до сделки купли-продажи в собственности юридических лиц на территории Российской Федерации,  а также сальдо операций с инструментами участия в капитале и недвижимостью за рубежом. Определяются по данным форм федеральных статистических наблюдений и Банка России.</w:t>
      </w:r>
    </w:p>
    <w:p w:rsidR="00A953B9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>Прирост (уменьшение) наличных денег на руках у населения включает изменение наличных денег в рублях и в иностранной валюте в рублевом эквиваленте. Источником информации являются данные Банка России.</w:t>
      </w:r>
    </w:p>
    <w:p w:rsidR="000767EA" w:rsidRPr="006048E7" w:rsidRDefault="00A953B9" w:rsidP="00A953B9">
      <w:pPr>
        <w:spacing w:before="120" w:after="120" w:line="288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6048E7">
        <w:rPr>
          <w:rFonts w:ascii="Times New Roman" w:hAnsi="Times New Roman" w:cs="Times New Roman"/>
          <w:sz w:val="26"/>
          <w:szCs w:val="26"/>
        </w:rPr>
        <w:t xml:space="preserve">Прирост (уменьшение) задолженности по </w:t>
      </w:r>
      <w:proofErr w:type="gramStart"/>
      <w:r w:rsidRPr="006048E7">
        <w:rPr>
          <w:rFonts w:ascii="Times New Roman" w:hAnsi="Times New Roman" w:cs="Times New Roman"/>
          <w:sz w:val="26"/>
          <w:szCs w:val="26"/>
        </w:rPr>
        <w:t>кредитам</w:t>
      </w:r>
      <w:proofErr w:type="gramEnd"/>
      <w:r w:rsidRPr="006048E7">
        <w:rPr>
          <w:rFonts w:ascii="Times New Roman" w:hAnsi="Times New Roman" w:cs="Times New Roman"/>
          <w:sz w:val="26"/>
          <w:szCs w:val="26"/>
        </w:rPr>
        <w:t xml:space="preserve"> предоставленным индивидуальным предпринимателям и физическим лицам в рублях и иностранной валюте (в рублевом эквиваленте) кредитными организациями, определяется по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данным Банка России. Прирост (уменьшение) задолженности по кредитам в</w:t>
      </w:r>
      <w:r w:rsidR="001D3B40">
        <w:rPr>
          <w:rFonts w:ascii="Times New Roman" w:hAnsi="Times New Roman" w:cs="Times New Roman"/>
          <w:sz w:val="26"/>
          <w:szCs w:val="26"/>
          <w:lang w:val="en-US"/>
        </w:rPr>
        <w:t> </w:t>
      </w:r>
      <w:r w:rsidRPr="006048E7">
        <w:rPr>
          <w:rFonts w:ascii="Times New Roman" w:hAnsi="Times New Roman" w:cs="Times New Roman"/>
          <w:sz w:val="26"/>
          <w:szCs w:val="26"/>
        </w:rPr>
        <w:t>иностранной валюте в рублевом эквиваленте рассчитывается как разность между остатками задолженности на конец и начало отчетного периода, с исключением курсовой переоценки задолженности  (холдинговой прибыли, являющейся результатом повышения стоимости финансовых обязательств).</w:t>
      </w:r>
    </w:p>
    <w:sectPr w:rsidR="000767EA" w:rsidRPr="006048E7" w:rsidSect="00311BD3">
      <w:footerReference w:type="default" r:id="rId8"/>
      <w:pgSz w:w="11906" w:h="16838"/>
      <w:pgMar w:top="709" w:right="850" w:bottom="1134" w:left="1701" w:header="708" w:footer="708" w:gutter="0"/>
      <w:pgNumType w:start="1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3180" w:rsidRDefault="00F73180" w:rsidP="00A953B9">
      <w:pPr>
        <w:spacing w:after="0" w:line="240" w:lineRule="auto"/>
      </w:pPr>
      <w:r>
        <w:separator/>
      </w:r>
    </w:p>
  </w:endnote>
  <w:endnote w:type="continuationSeparator" w:id="0">
    <w:p w:rsidR="00F73180" w:rsidRDefault="00F73180" w:rsidP="00A95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388421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p w:rsidR="009317D8" w:rsidRPr="001F5218" w:rsidRDefault="009317D8">
        <w:pPr>
          <w:pStyle w:val="a5"/>
          <w:jc w:val="right"/>
          <w:rPr>
            <w:rFonts w:ascii="Times New Roman" w:hAnsi="Times New Roman" w:cs="Times New Roman"/>
            <w:sz w:val="16"/>
            <w:szCs w:val="16"/>
          </w:rPr>
        </w:pPr>
        <w:r w:rsidRPr="001F5218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Pr="001F5218">
          <w:rPr>
            <w:rFonts w:ascii="Times New Roman" w:hAnsi="Times New Roman" w:cs="Times New Roman"/>
            <w:sz w:val="16"/>
            <w:szCs w:val="16"/>
          </w:rPr>
          <w:instrText>PAGE   \* MERGEFORMAT</w:instrText>
        </w:r>
        <w:r w:rsidRPr="001F5218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8F1382">
          <w:rPr>
            <w:rFonts w:ascii="Times New Roman" w:hAnsi="Times New Roman" w:cs="Times New Roman"/>
            <w:noProof/>
            <w:sz w:val="16"/>
            <w:szCs w:val="16"/>
          </w:rPr>
          <w:t>118</w:t>
        </w:r>
        <w:r w:rsidRPr="001F5218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  <w:p w:rsidR="009317D8" w:rsidRDefault="009317D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3180" w:rsidRDefault="00F73180" w:rsidP="00A953B9">
      <w:pPr>
        <w:spacing w:after="0" w:line="240" w:lineRule="auto"/>
      </w:pPr>
      <w:r>
        <w:separator/>
      </w:r>
    </w:p>
  </w:footnote>
  <w:footnote w:type="continuationSeparator" w:id="0">
    <w:p w:rsidR="00F73180" w:rsidRDefault="00F73180" w:rsidP="00A953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3B9"/>
    <w:rsid w:val="00174A6C"/>
    <w:rsid w:val="001D3B40"/>
    <w:rsid w:val="001F4069"/>
    <w:rsid w:val="001F5218"/>
    <w:rsid w:val="002608F3"/>
    <w:rsid w:val="002832AD"/>
    <w:rsid w:val="002A267A"/>
    <w:rsid w:val="00311BD3"/>
    <w:rsid w:val="00335B3D"/>
    <w:rsid w:val="00376AE6"/>
    <w:rsid w:val="00400E28"/>
    <w:rsid w:val="004342D4"/>
    <w:rsid w:val="00505B59"/>
    <w:rsid w:val="006048E7"/>
    <w:rsid w:val="00637DC1"/>
    <w:rsid w:val="00676A49"/>
    <w:rsid w:val="006C5495"/>
    <w:rsid w:val="0089152C"/>
    <w:rsid w:val="008A0A80"/>
    <w:rsid w:val="008A39CD"/>
    <w:rsid w:val="008B7D89"/>
    <w:rsid w:val="008F1382"/>
    <w:rsid w:val="009317D8"/>
    <w:rsid w:val="0094563D"/>
    <w:rsid w:val="00980DAB"/>
    <w:rsid w:val="00A12BC8"/>
    <w:rsid w:val="00A953B9"/>
    <w:rsid w:val="00AE00F5"/>
    <w:rsid w:val="00CB367B"/>
    <w:rsid w:val="00CB52C3"/>
    <w:rsid w:val="00D25B7E"/>
    <w:rsid w:val="00D42D80"/>
    <w:rsid w:val="00E75851"/>
    <w:rsid w:val="00E83E5A"/>
    <w:rsid w:val="00F11F9A"/>
    <w:rsid w:val="00F654A7"/>
    <w:rsid w:val="00F7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7D8"/>
  </w:style>
  <w:style w:type="paragraph" w:styleId="a5">
    <w:name w:val="footer"/>
    <w:basedOn w:val="a"/>
    <w:link w:val="a6"/>
    <w:uiPriority w:val="99"/>
    <w:unhideWhenUsed/>
    <w:rsid w:val="00931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7D8"/>
  </w:style>
  <w:style w:type="paragraph" w:styleId="a7">
    <w:name w:val="Balloon Text"/>
    <w:basedOn w:val="a"/>
    <w:link w:val="a8"/>
    <w:uiPriority w:val="99"/>
    <w:semiHidden/>
    <w:unhideWhenUsed/>
    <w:rsid w:val="00931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317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7D8"/>
  </w:style>
  <w:style w:type="paragraph" w:styleId="a5">
    <w:name w:val="footer"/>
    <w:basedOn w:val="a"/>
    <w:link w:val="a6"/>
    <w:uiPriority w:val="99"/>
    <w:unhideWhenUsed/>
    <w:rsid w:val="009317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7D8"/>
  </w:style>
  <w:style w:type="paragraph" w:styleId="a7">
    <w:name w:val="Balloon Text"/>
    <w:basedOn w:val="a"/>
    <w:link w:val="a8"/>
    <w:uiPriority w:val="99"/>
    <w:semiHidden/>
    <w:unhideWhenUsed/>
    <w:rsid w:val="00931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317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BE6B14-73A8-4B96-BEF7-AE2DD5FFE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1871</Words>
  <Characters>10669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Симакова Людмила Анатольевна</dc:creator>
  <cp:lastModifiedBy>Симакова Людмила Анатольевна</cp:lastModifiedBy>
  <cp:revision>11</cp:revision>
  <dcterms:created xsi:type="dcterms:W3CDTF">2021-11-10T14:00:00Z</dcterms:created>
  <dcterms:modified xsi:type="dcterms:W3CDTF">2022-12-29T14:55:00Z</dcterms:modified>
</cp:coreProperties>
</file>