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Produktionsdatum im Fertigungsauftrag</w:t>
      </w:r>
    </w:p>
    <w:p>
      <w:r>
        <w:rPr>
          <w:i/>
        </w:rPr>
        <w:t>Feld AUFK-ZZPRDAT – Analyse und Lösung im Testsystem T76</w:t>
      </w:r>
    </w:p>
    <w:p>
      <w:r>
        <w:t>Stand: 3. September 2026, Ingo Kohler, IT Analytics</w:t>
      </w:r>
    </w:p>
    <w:p>
      <w:pPr>
        <w:pStyle w:val="Heading1"/>
      </w:pPr>
      <w:r>
        <w:rPr>
          <w:color w:val="1F3050"/>
        </w:rPr>
        <w:t>Worum es geht</w:t>
      </w:r>
    </w:p>
    <w:p>
      <w:r>
        <w:t>Seit Oktober 2025 gibt es im Fertigungsauftrag den Reiter „Trafag Daten“ mit dem Feld Produktionsdatum. Ziel ist ein einheitliches Datum je Auftrag, das nicht mehr vom Eckendtermin abhängt: Wird der Eckendtermin später verschoben, soll das ursprüngliche Produktionsdatum auf den Etiketten bestehen bleiben.</w:t>
      </w:r>
    </w:p>
    <w:p>
      <w:r>
        <w:t>Das Feld wurde jedoch nur dann gefüllt, wenn der Anwender beim Anlegen oder Ändern des Auftrags den Reiter „Trafag Daten“ tatsächlich anklickte. Bei der Sammelfreigabe über CO40 und COHV sowie bei der Umsetzung von Planaufträgen über MD04 und CO41 ist das gar nicht möglich. Marco Di Menco konnte die Etiketten deshalb nicht auf das Produktionsdatum umstellen.</w:t>
      </w:r>
    </w:p>
    <w:p>
      <w:r>
        <w:rPr>
          <w:b/>
        </w:rPr>
        <w:t xml:space="preserve">Messbarer Ausgangszustand: </w:t>
      </w:r>
      <w:r>
        <w:t>Von den 34 Aufträgen aus Marcos Liste (1214601 bis 1214634) waren 32 freigegeben – und kein einziger trug ein Produktionsdatum.</w:t>
      </w:r>
    </w:p>
    <w:p>
      <w:pPr>
        <w:pStyle w:val="Heading1"/>
      </w:pPr>
      <w:r>
        <w:rPr>
          <w:color w:val="1F3050"/>
        </w:rPr>
        <w:t>Der Lösungsweg</w:t>
      </w:r>
    </w:p>
    <w:p>
      <w:r>
        <w:t>Lucas Castro hatte den richtigen Weg bereits benannt: das Business Add-In WORKORDER_UPDATE. SAP ruft es bei jedem Speichern eines Fertigungsauftrags auf, unabhängig davon, welche Bildschirmmaske der Anwender besucht hat. Damit entfällt die Abhängigkeit vom Dynpro.</w:t>
      </w:r>
    </w:p>
    <w:p>
      <w:r>
        <w:t>Die Umsetzung erfolgte im Testsystem T76, Mandant 100, ausschliesslich als lokale Objekte im Paket $TMP. Es wurde kein Transportauftrag angelegt, und das Produktivsystem P76 wurde zu keinem Zeitpunkt berührt.</w:t>
      </w:r>
    </w:p>
    <w:p>
      <w:pPr>
        <w:pStyle w:val="Heading1"/>
      </w:pPr>
      <w:r>
        <w:rPr>
          <w:color w:val="1F3050"/>
        </w:rPr>
        <w:t>Warum es zunächst trotzdem nicht funktionierte</w:t>
      </w:r>
    </w:p>
    <w:p>
      <w:r>
        <w:t>Die Erweiterung war korrekt eingebaut und aktiv, und trotzdem blieb das Feld leer. Elf Testaufträge waren nötig, um die Ursache einzugrenzen. Es waren zwei voneinander unabhängige Ursachen, und keine davon war am Quelltext erkennbar.</w:t>
      </w:r>
    </w:p>
    <w:p>
      <w:pPr>
        <w:pStyle w:val="Heading2"/>
      </w:pPr>
      <w:r>
        <w:rPr>
          <w:color w:val="1F3050"/>
        </w:rPr>
        <w:t>Ursache 1: Der SAP-Standard überschrieb den Wert</w:t>
      </w:r>
    </w:p>
    <w:p>
      <w:r>
        <w:t>Unser Baustein war als Verbuchungsbaustein mit der Verarbeitungsart „Start sofort“ eingerichtet. Er schrieb das Produktionsdatum korrekt in die Tabelle AUFK. Unmittelbar danach schrieb die SAP-Standardverbuchung dieselbe Tabellenzeile vollständig aus ihrem eigenen Puffer, und in diesem Puffer war das Feld leer. Der Wert wurde also gesetzt und Sekundenbruchteile später wieder zugedeckt.</w:t>
      </w:r>
    </w:p>
    <w:p>
      <w:r>
        <w:rPr>
          <w:b/>
        </w:rPr>
        <w:t xml:space="preserve">Lösung: </w:t>
      </w:r>
      <w:r>
        <w:t>Die Verarbeitungsart des Bausteins wurde auf „Start verzögert“ umgestellt. Solche Bausteine laufen erst, wenn die gesamte Standardverbuchung abgeschlossen ist. Das Produktionsdatum wird damit als Letztes geschrieben und bleibt stehen.</w:t>
      </w:r>
    </w:p>
    <w:p>
      <w:pPr>
        <w:pStyle w:val="Heading2"/>
      </w:pPr>
      <w:r>
        <w:rPr>
          <w:color w:val="1F3050"/>
        </w:rPr>
        <w:t>Ursache 2: Werte dürfen nicht als Festwert übergeben werden</w:t>
      </w:r>
    </w:p>
    <w:p>
      <w:r>
        <w:t>Beim Vormerken eines Verbuchungsbausteins speichert SAP die Übergabewerte zwischen und liest sie beim späteren Ausführen wieder ein. Dabei muss der Datentyp exakt übereinstimmen. Ein als Text übergebenes Datum führte zum Abbruch der gesamten Verbuchung mit der Meldung „Verbuchung wurde abgebrochen“.</w:t>
      </w:r>
    </w:p>
    <w:p>
      <w:r>
        <w:rPr>
          <w:b/>
        </w:rPr>
        <w:t xml:space="preserve">Lösung: </w:t>
      </w:r>
      <w:r>
        <w:t>Alle Werte werden über typisierte Variablen übergeben. Dieser Punkt gehört ausdrücklich in die Dokumentation, weil der Fehler erst zur Laufzeit auftritt und die Syntaxprüfung ihn nicht findet.</w:t>
      </w:r>
    </w:p>
    <w:p>
      <w:pPr>
        <w:pStyle w:val="Heading1"/>
      </w:pPr>
      <w:r>
        <w:rPr>
          <w:color w:val="1F3050"/>
        </w:rPr>
        <w:t>Der Ablauf vorher und nachher</w:t>
      </w:r>
    </w:p>
    <w:p>
      <w:r>
        <w:drawing>
          <wp:inline xmlns:a="http://schemas.openxmlformats.org/drawingml/2006/main" xmlns:pic="http://schemas.openxmlformats.org/drawingml/2006/picture">
            <wp:extent cx="6120000" cy="3380905"/>
            <wp:docPr id="1" name="Picture 1"/>
            <wp:cNvGraphicFramePr>
              <a:graphicFrameLocks noChangeAspect="1"/>
            </wp:cNvGraphicFramePr>
            <a:graphic>
              <a:graphicData uri="http://schemas.openxmlformats.org/drawingml/2006/picture">
                <pic:pic>
                  <pic:nvPicPr>
                    <pic:cNvPr id="0" name="zzprdat_ablauf.png"/>
                    <pic:cNvPicPr/>
                  </pic:nvPicPr>
                  <pic:blipFill>
                    <a:blip r:embed="rId9"/>
                    <a:stretch>
                      <a:fillRect/>
                    </a:stretch>
                  </pic:blipFill>
                  <pic:spPr>
                    <a:xfrm>
                      <a:off x="0" y="0"/>
                      <a:ext cx="6120000" cy="3380905"/>
                    </a:xfrm>
                    <a:prstGeom prst="rect"/>
                  </pic:spPr>
                </pic:pic>
              </a:graphicData>
            </a:graphic>
          </wp:inline>
        </w:drawing>
      </w:r>
    </w:p>
    <w:p>
      <w:r>
        <w:rPr>
          <w:i/>
          <w:sz w:val="18"/>
        </w:rPr>
        <w:t>Der einzige Unterschied ist der Zeitpunkt, zu dem unser Baustein läuft.</w:t>
      </w:r>
    </w:p>
    <w:p>
      <w:pPr>
        <w:pStyle w:val="Heading1"/>
      </w:pPr>
      <w:r>
        <w:rPr>
          <w:color w:val="1F3050"/>
        </w:rPr>
        <w:t>Nachweis</w:t>
      </w:r>
    </w:p>
    <w:p>
      <w:r>
        <w:t>Auftrag 1241812 im System T76, Material 36385, Werk 1100, Auftragsart PP21. Der Reiter „Trafag Daten“ wurde zu keinem Zeitpunkt geöffnet.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Schritt</w:t>
            </w:r>
          </w:p>
        </w:tc>
        <w:tc>
          <w:tcPr>
            <w:tcW w:type="dxa" w:w="2160"/>
          </w:tcPr>
          <w:p>
            <w:r>
              <w:rPr>
                <w:b/>
              </w:rPr>
              <w:t>Eckendtermin</w:t>
            </w:r>
          </w:p>
        </w:tc>
        <w:tc>
          <w:tcPr>
            <w:tcW w:type="dxa" w:w="2160"/>
          </w:tcPr>
          <w:p>
            <w:r>
              <w:rPr>
                <w:b/>
              </w:rPr>
              <w:t>Produktionsdatum</w:t>
            </w:r>
          </w:p>
        </w:tc>
        <w:tc>
          <w:tcPr>
            <w:tcW w:type="dxa" w:w="2160"/>
          </w:tcPr>
          <w:p>
            <w:r>
              <w:rPr>
                <w:b/>
              </w:rPr>
              <w:t>Ergebnis</w:t>
            </w:r>
          </w:p>
        </w:tc>
      </w:tr>
      <w:tr>
        <w:tc>
          <w:tcPr>
            <w:tcW w:type="dxa" w:w="2160"/>
          </w:tcPr>
          <w:p>
            <w:r>
              <w:t>Auftrag angelegt, noch nicht freigegeben</w:t>
            </w:r>
          </w:p>
        </w:tc>
        <w:tc>
          <w:tcPr>
            <w:tcW w:type="dxa" w:w="2160"/>
          </w:tcPr>
          <w:p>
            <w:r>
              <w:t>20.11.2026</w:t>
            </w:r>
          </w:p>
        </w:tc>
        <w:tc>
          <w:tcPr>
            <w:tcW w:type="dxa" w:w="2160"/>
          </w:tcPr>
          <w:p>
            <w:r>
              <w:t>leer</w:t>
            </w:r>
          </w:p>
        </w:tc>
        <w:tc>
          <w:tcPr>
            <w:tcW w:type="dxa" w:w="2160"/>
          </w:tcPr>
          <w:p>
            <w:r>
              <w:t>wie erwartet</w:t>
            </w:r>
          </w:p>
        </w:tc>
      </w:tr>
      <w:tr>
        <w:tc>
          <w:tcPr>
            <w:tcW w:type="dxa" w:w="2160"/>
          </w:tcPr>
          <w:p>
            <w:r>
              <w:t>Auftrag freigegeben</w:t>
            </w:r>
          </w:p>
        </w:tc>
        <w:tc>
          <w:tcPr>
            <w:tcW w:type="dxa" w:w="2160"/>
          </w:tcPr>
          <w:p>
            <w:r>
              <w:t>20.11.2026</w:t>
            </w:r>
          </w:p>
        </w:tc>
        <w:tc>
          <w:tcPr>
            <w:tcW w:type="dxa" w:w="2160"/>
          </w:tcPr>
          <w:p>
            <w:r>
              <w:t>20.11.2026</w:t>
            </w:r>
          </w:p>
        </w:tc>
        <w:tc>
          <w:tcPr>
            <w:tcW w:type="dxa" w:w="2160"/>
          </w:tcPr>
          <w:p>
            <w:r>
              <w:t>wird gesetzt</w:t>
            </w:r>
          </w:p>
        </w:tc>
      </w:tr>
      <w:tr>
        <w:tc>
          <w:tcPr>
            <w:tcW w:type="dxa" w:w="2160"/>
          </w:tcPr>
          <w:p>
            <w:r>
              <w:t>Eckendtermin verschoben</w:t>
            </w:r>
          </w:p>
        </w:tc>
        <w:tc>
          <w:tcPr>
            <w:tcW w:type="dxa" w:w="2160"/>
          </w:tcPr>
          <w:p>
            <w:r>
              <w:t>09.12.2026</w:t>
            </w:r>
          </w:p>
        </w:tc>
        <w:tc>
          <w:tcPr>
            <w:tcW w:type="dxa" w:w="2160"/>
          </w:tcPr>
          <w:p>
            <w:r>
              <w:t>20.11.2026</w:t>
            </w:r>
          </w:p>
        </w:tc>
        <w:tc>
          <w:tcPr>
            <w:tcW w:type="dxa" w:w="2160"/>
          </w:tcPr>
          <w:p>
            <w:r>
              <w:t>bleibt stehen</w:t>
            </w:r>
          </w:p>
        </w:tc>
      </w:tr>
    </w:tbl>
    <w:p/>
    <w:p>
      <w:r>
        <w:rPr>
          <w:b/>
        </w:rPr>
        <w:t>Damit ist die fachliche Anforderung erfüllt: Das Produktionsdatum entsteht mit der Freigabe und überlebt eine spätere Terminverschiebung.</w:t>
      </w:r>
    </w:p>
    <w:p>
      <w:pPr>
        <w:pStyle w:val="Heading1"/>
      </w:pPr>
      <w:r>
        <w:rPr>
          <w:color w:val="1F3050"/>
        </w:rPr>
        <w:t>Was noch offen ist</w:t>
      </w:r>
    </w:p>
    <w:p>
      <w:r>
        <w:t>Ein Auftrag, der in einem einzigen Vorgang über CO01 angelegt und sofort freigegeben wird, bleibt bislang leer. Zum Zeitpunkt der Freigabe hat er noch keine endgültige Nummer, sondern eine vorläufige Kennung. Der Schreibvorgang findet den Auftrag deshalb nicht.</w:t>
      </w:r>
    </w:p>
    <w:p>
      <w:r>
        <w:t>Das ist kein Randfall. Laut Adil Lahrach entstehen die Aufträge im Werk CH über MD04 und in CZ teilweise über CO41, also ebenfalls durch Umsetzung von Planaufträgen. Ob dort die endgültige Nummer bereits vorliegt, ist noch nicht gemessen. Vor einer Zusage an die Disposition muss dieser Punkt geklärt sein.</w:t>
      </w:r>
    </w:p>
    <w:p>
      <w:r>
        <w:t>Ebenfalls offen und bewusst getrennt zu entscheiden: der Transport nach P76 und das nachträgliche Füllen der Altbestände. Beides erst nach fachlicher Abnahme durch Lucas Castro, Florian Wächter und Marco Di Menco.</w:t>
      </w:r>
    </w:p>
    <w:p>
      <w:pPr>
        <w:pStyle w:val="Heading1"/>
      </w:pPr>
      <w:r>
        <w:rPr>
          <w:color w:val="1F3050"/>
        </w:rPr>
        <w:t>Nächste Schritte</w:t>
      </w:r>
    </w:p>
    <w:p>
      <w:pPr>
        <w:pStyle w:val="ListNumber"/>
      </w:pPr>
      <w:r>
        <w:t>Verhalten bei der Umsetzung von Planaufträgen über MD04 und CO41 messen.</w:t>
      </w:r>
    </w:p>
    <w:p>
      <w:pPr>
        <w:pStyle w:val="ListNumber"/>
      </w:pPr>
      <w:r>
        <w:t>Sammelfreigabe über CO40 und COHV testen, mit der Disposition abgestimmt.</w:t>
      </w:r>
    </w:p>
    <w:p>
      <w:pPr>
        <w:pStyle w:val="ListNumber"/>
      </w:pPr>
      <w:r>
        <w:t>Marco prüft, ob Verpackungsetikett und Typenschild dasselbe Feld verwenden.</w:t>
      </w:r>
    </w:p>
    <w:p>
      <w:pPr>
        <w:pStyle w:val="ListNumber"/>
      </w:pPr>
      <w:r>
        <w:t>Erst danach über den Transport nach P76 entscheiden.</w:t>
      </w:r>
    </w:p>
    <w:p>
      <w:pPr>
        <w:pStyle w:val="ListNumber"/>
      </w:pPr>
      <w:r>
        <w:t>Getrennt davon: Altbestände nachfüllen, ausschliesslich für leere Felder.</w:t>
      </w:r>
    </w:p>
    <w:p>
      <w:r>
        <w:rPr>
          <w:i/>
          <w:sz w:val="17"/>
        </w:rPr>
        <w:t>Technische Einzelheiten, Messwerte und der vollständige Verlauf der Analyse: saptasks/zzprdat-kontext.md im Repository TrafagSalesExporter.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