
<file path=[Content_Types].xml><?xml version="1.0" encoding="utf-8"?>
<Types xmlns="http://schemas.openxmlformats.org/package/2006/content-types">
  <Default Extension="xml" ContentType="application/vnd.openxmlformats-officedocument.wordprocessingml.document.main+xml"/>
  <Default Extension="jpg" ContentType="image/jpe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header1.xml" ContentType="application/vnd.openxmlformats-officedocument.wordprocessingml.header+xml"/>
</Types>
</file>

<file path=_rels/.rels>&#65279;<?xml version="1.0" encoding="utf-8"?><Relationships xmlns="http://schemas.openxmlformats.org/package/2006/relationships"><Relationship Type="http://schemas.openxmlformats.org/officeDocument/2006/relationships/officeDocument" Target="/word/document.xml" Id="R1b4e66880f23407e" /></Relationships>
</file>

<file path=word/document.xml><?xml version="1.0" encoding="utf-8"?>
<w:document xmlns:w="http://schemas.openxmlformats.org/wordprocessingml/2006/main">
  <w:body>
    <w:p>
      <w:pPr>
        <w:spacing w:before="0" w:after="1600"/>
      </w:pPr>
    </w:p>
    <w:p>
      <w:r>
        <w:drawing>
          <wp:inline xmlns:wp="http://schemas.openxmlformats.org/drawingml/2006/wordprocessingDrawing" distT="0" distB="0" distL="0" distR="0">
            <wp:extent cx="1655999" cy="803159"/>
            <wp:docPr id="1" name="Trafag Logo"/>
            <a:graphic xmlns:a="http://schemas.openxmlformats.org/drawingml/2006/main">
              <a:graphicData uri="http://schemas.openxmlformats.org/drawingml/2006/picture">
                <pic:pic xmlns:pic="http://schemas.openxmlformats.org/drawingml/2006/picture">
                  <pic:nvPicPr>
                    <pic:cNvPr id="1" name="Trafag Logo"/>
                    <pic:cNvPicPr/>
                  </pic:nvPicPr>
                  <pic:blipFill>
                    <a:blip xmlns:r="http://schemas.openxmlformats.org/officeDocument/2006/relationships" r:embed="Rbc86227cb49a4c85"/>
                    <a:stretch>
                      <a:fillRect/>
                    </a:stretch>
                  </pic:blipFill>
                  <pic:spPr>
                    <a:xfrm>
                      <a:off x="0" y="0"/>
                      <a:ext cx="1655999" cy="803159"/>
                    </a:xfrm>
                    <a:prstGeom prst="rect"/>
                  </pic:spPr>
                </pic:pic>
              </a:graphicData>
            </a:graphic>
          </wp:inline>
        </w:drawing>
      </w:r>
    </w:p>
    <w:p>
      <w:pPr>
        <w:spacing w:before="0" w:after="600"/>
      </w:pPr>
    </w:p>
    <w:p>
      <w:pPr>
        <w:pStyle w:val="Title"/>
      </w:pPr>
      <w:r>
        <w:t xml:space="preserve">Trafag Cockpit</w:t>
      </w:r>
    </w:p>
    <w:p>
      <w:pPr>
        <w:pStyle w:val="Subtitle"/>
      </w:pPr>
      <w:r>
        <w:t xml:space="preserve">Anwenderhandbuch aus betriebswirtschaftlicher Sicht</w:t>
      </w:r>
    </w:p>
    <w:p>
      <w:r>
        <w:t xml:space="preserve">Was jede Seite und jede Grafik zeigt, warum es sie gibt, wie die Zahlen entstehen und wo man sie in der täglichen Arbeit als Controller, Einkäufer, Verkäufer, Logistiker, HR oder Geschäftsleitung einsetzt.</w:t>
      </w:r>
    </w:p>
    <w:p>
      <w:pPr>
        <w:spacing w:before="0" w:after="1200"/>
      </w:pPr>
    </w:p>
    <w:p>
      <w:pPr>
        <w:pStyle w:val="Meta"/>
      </w:pPr>
      <w:r>
        <w:t xml:space="preserve">Stand der Software: Commit 3ad0dae vom 5. Oktober 2026 · Ausgabe 14.10.2026</w:t>
      </w:r>
    </w:p>
    <w:p>
      <w:pPr>
        <w:pStyle w:val="Meta"/>
      </w:pPr>
      <w:r>
        <w:t xml:space="preserve">Herausgeber: Ingo Kohler, SAP Specialist, Trafag AG</w:t>
      </w:r>
    </w:p>
    <w:p>
      <w:r>
        <w:br w:type="page"/>
      </w:r>
    </w:p>
    <w:p>
      <w:pPr>
        <w:pStyle w:val="TocTitle"/>
      </w:pPr>
      <w:r>
        <w:t xml:space="preserve">Inhalt</w:t>
      </w:r>
    </w:p>
    <w:p>
      <w:r>
        <w:fldChar w:fldCharType="begin"/>
      </w:r>
      <w:r>
        <w:instrText xml:space="preserve"> TOC \o "1-2" \h \z \u </w:instrText>
      </w:r>
      <w:r>
        <w:fldChar w:fldCharType="separate"/>
      </w:r>
      <w:r>
        <w:t>Das Inhaltsverzeichnis wird beim Öffnen aktualisiert (sonst Rechtsklick → Feld aktualisieren).</w:t>
      </w:r>
      <w:r>
        <w:fldChar w:fldCharType="end"/>
      </w:r>
    </w:p>
    <w:p>
      <w:r>
        <w:br w:type="page"/>
      </w:r>
    </w:p>
    <w:p>
      <w:pPr>
        <w:pStyle w:val="Heading1"/>
      </w:pPr>
      <w:r>
        <w:t xml:space="preserve">Einleitung und Wegweiser</w:t>
      </w:r>
    </w:p>
    <w:p>
      <w:r>
        <w:t xml:space="preserve">Das Trafag Cockpit führt Daten aus SAP, den Exporten der Standorte, den HR-Dateien, dem Shop-Floor-Meeting, dem Netzwerk und öffentlichen Quellen an einer Stelle zusammen. Dieses Handbuch erklärt jede Seite aus betriebswirtschaftlicher Sicht: wozu sie da ist, was die Grafik zeigt, wie die Zahl entsteht und in welcher Arbeitssituation man sie einsetzt. Technische Einzelheiten stehen in der Entwicklerdokumentation, nicht hier.</w:t>
      </w:r>
    </w:p>
    <w:p>
      <w:r>
        <w:t xml:space="preserve">Das Handbuch beschreibt den Stand der Software vom 14. Oktober 2026; die Grundfassung entstand am 5. Oktober, die Kapitel Trafag Projekte, Trafag Reddit und Operations kamen danach dazu. Es ist im Cockpit unter dem Reiter </w:t>
      </w:r>
      <w:r>
        <w:rPr>
          <w:b/>
        </w:rPr>
        <w:t xml:space="preserve">Benutzerhandbuch</w:t>
      </w:r>
      <w:r>
        <w:t xml:space="preserve"> lesbar und als Word-Datei herunterladbar.</w:t>
      </w:r>
    </w:p>
    <w:p>
      <w:pPr>
        <w:pStyle w:val="Heading2"/>
      </w:pPr>
      <w:r>
        <w:t xml:space="preserve">So ist jede Seite beschrieben</w:t>
      </w:r>
    </w:p>
    <w:p>
      <w:r>
        <w:t xml:space="preserve">Jede Seite folgt demselben Aufbau, damit man schnell findet, was man sucht.</w:t>
      </w:r>
    </w:p>
    <w:p>
      <w:pPr>
        <w:pStyle w:val="ListBullet"/>
        <w:numPr>
          <w:ilvl w:val="0"/>
          <w:numId w:val="1"/>
        </w:numPr>
      </w:pPr>
      <w:r>
        <w:rPr>
          <w:b/>
        </w:rPr>
        <w:t xml:space="preserve">Wozu:</w:t>
      </w:r>
      <w:r>
        <w:t xml:space="preserve"> die betriebswirtschaftliche Frage, die die Seite beantwortet.</w:t>
      </w:r>
    </w:p>
    <w:p>
      <w:pPr>
        <w:pStyle w:val="ListBullet"/>
        <w:numPr>
          <w:ilvl w:val="0"/>
          <w:numId w:val="1"/>
        </w:numPr>
      </w:pPr>
      <w:r>
        <w:rPr>
          <w:b/>
        </w:rPr>
        <w:t xml:space="preserve">Was man sieht:</w:t>
      </w:r>
      <w:r>
        <w:t xml:space="preserve"> Kennzahlen, Grafiken und Bedienelemente.</w:t>
      </w:r>
    </w:p>
    <w:p>
      <w:pPr>
        <w:pStyle w:val="ListBullet"/>
        <w:numPr>
          <w:ilvl w:val="0"/>
          <w:numId w:val="1"/>
        </w:numPr>
      </w:pPr>
      <w:r>
        <w:rPr>
          <w:b/>
        </w:rPr>
        <w:t xml:space="preserve">Wie gerechnet wird:</w:t>
      </w:r>
      <w:r>
        <w:t xml:space="preserve"> Datenquelle, Filter und Formel in Worten.</w:t>
      </w:r>
    </w:p>
    <w:p>
      <w:pPr>
        <w:pStyle w:val="ListBullet"/>
        <w:numPr>
          <w:ilvl w:val="0"/>
          <w:numId w:val="1"/>
        </w:numPr>
      </w:pPr>
      <w:r>
        <w:rPr>
          <w:b/>
        </w:rPr>
        <w:t xml:space="preserve">Einsatz im Arbeitsalltag:</w:t>
      </w:r>
      <w:r>
        <w:t xml:space="preserve"> typische Situationen je Rolle, mit den Fragen, die die Seite beantwortet.</w:t>
      </w:r>
    </w:p>
    <w:p>
      <w:pPr>
        <w:pStyle w:val="ListBullet"/>
        <w:numPr>
          <w:ilvl w:val="0"/>
          <w:numId w:val="1"/>
        </w:numPr>
      </w:pPr>
      <w:r>
        <w:rPr>
          <w:b/>
        </w:rPr>
        <w:t xml:space="preserve">Grenzen und Fallstricke:</w:t>
      </w:r>
      <w:r>
        <w:t xml:space="preserve"> was die Zahl nicht aussagt und wo man vorsichtig sein muss.</w:t>
      </w:r>
    </w:p>
    <w:p>
      <w:r>
        <w:t xml:space="preserve">Am Ende jedes Kapitels steht ein Kennzahlen-Glossar.</w:t>
      </w:r>
    </w:p>
    <w:p>
      <w:pPr>
        <w:pStyle w:val="Heading2"/>
      </w:pPr>
      <w:r>
        <w:t xml:space="preserve">Wegweiser nach Rolle</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Rolle</w:t>
            </w:r>
          </w:p>
        </w:tc>
        <w:tc>
          <w:tcPr>
            <w:tcW w:w="3102" w:type="dxa"/>
            <w:shd w:val="clear" w:color="auto" w:fill="F9E3D9"/>
          </w:tcPr>
          <w:p>
            <w:pPr>
              <w:pStyle w:val="TableText"/>
            </w:pPr>
            <w:r>
              <w:rPr>
                <w:b/>
              </w:rPr>
              <w:t xml:space="preserve">Wichtigste Seiten</w:t>
            </w:r>
          </w:p>
        </w:tc>
        <w:tc>
          <w:tcPr>
            <w:tcW w:w="3102" w:type="dxa"/>
            <w:shd w:val="clear" w:color="auto" w:fill="F9E3D9"/>
          </w:tcPr>
          <w:p>
            <w:pPr>
              <w:pStyle w:val="TableText"/>
            </w:pPr>
            <w:r>
              <w:rPr>
                <w:b/>
              </w:rPr>
              <w:t xml:space="preserve">Typische Anlässe</w:t>
            </w:r>
          </w:p>
        </w:tc>
      </w:tr>
      <w:tr>
        <w:tc>
          <w:tcPr>
            <w:tcW w:w="3102" w:type="dxa"/>
          </w:tcPr>
          <w:p>
            <w:pPr>
              <w:pStyle w:val="TableText"/>
            </w:pPr>
            <w:r>
              <w:rPr>
                <w:b/>
              </w:rPr>
              <w:t xml:space="preserve">Controller</w:t>
            </w:r>
          </w:p>
        </w:tc>
        <w:tc>
          <w:tcPr>
            <w:tcW w:w="3102" w:type="dxa"/>
          </w:tcPr>
          <w:p>
            <w:pPr>
              <w:pStyle w:val="TableText"/>
            </w:pPr>
            <w:r>
              <w:t xml:space="preserve">Finance Cockpit (Soll/Ist Vergleich, Controlling mit Umsatzbrücke und Hochrechnung), Management Schnellübersicht, Gruppenmarge, Datenqualität, Abweichungen</w:t>
            </w:r>
          </w:p>
        </w:tc>
        <w:tc>
          <w:tcPr>
            <w:tcW w:w="3102" w:type="dxa"/>
          </w:tcPr>
          <w:p>
            <w:pPr>
              <w:pStyle w:val="TableText"/>
            </w:pPr>
            <w:r>
              <w:t xml:space="preserve">Monatsabschluss, Hochrechnung, Abweichungsanalyse, Vorbereitung Verwaltungsrat</w:t>
            </w:r>
          </w:p>
        </w:tc>
      </w:tr>
      <w:tr>
        <w:tc>
          <w:tcPr>
            <w:tcW w:w="3102" w:type="dxa"/>
          </w:tcPr>
          <w:p>
            <w:pPr>
              <w:pStyle w:val="TableText"/>
            </w:pPr>
            <w:r>
              <w:rPr>
                <w:b/>
              </w:rPr>
              <w:t xml:space="preserve">Geschäftsleitung</w:t>
            </w:r>
          </w:p>
        </w:tc>
        <w:tc>
          <w:tcPr>
            <w:tcW w:w="3102" w:type="dxa"/>
          </w:tcPr>
          <w:p>
            <w:pPr>
              <w:pStyle w:val="TableText"/>
            </w:pPr>
            <w:r>
              <w:t xml:space="preserve">Management Schnellübersicht und Entscheidungen, Controlling, Weltlage Radar, Verkauf Konzentration und Prognose</w:t>
            </w:r>
          </w:p>
        </w:tc>
        <w:tc>
          <w:tcPr>
            <w:tcW w:w="3102" w:type="dxa"/>
          </w:tcPr>
          <w:p>
            <w:pPr>
              <w:pStyle w:val="TableText"/>
            </w:pPr>
            <w:r>
              <w:t xml:space="preserve">Monatsgespräch, Strategie, Risikobeurteilung</w:t>
            </w:r>
          </w:p>
        </w:tc>
      </w:tr>
      <w:tr>
        <w:tc>
          <w:tcPr>
            <w:tcW w:w="3102" w:type="dxa"/>
          </w:tcPr>
          <w:p>
            <w:pPr>
              <w:pStyle w:val="TableText"/>
            </w:pPr>
            <w:r>
              <w:rPr>
                <w:b/>
              </w:rPr>
              <w:t xml:space="preserve">Einkäufer</w:t>
            </w:r>
          </w:p>
        </w:tc>
        <w:tc>
          <w:tcPr>
            <w:tcW w:w="3102" w:type="dxa"/>
          </w:tcPr>
          <w:p>
            <w:pPr>
              <w:pStyle w:val="TableText"/>
            </w:pPr>
            <w:r>
              <w:t xml:space="preserve">Einkauf Dashboard, Spend, Offene Bestellungen, Kontrakte, Lieferanten, Lieferperformance, Preisentwicklung, Einkauf Interaktiv</w:t>
            </w:r>
          </w:p>
        </w:tc>
        <w:tc>
          <w:tcPr>
            <w:tcW w:w="3102" w:type="dxa"/>
          </w:tcPr>
          <w:p>
            <w:pPr>
              <w:pStyle w:val="TableText"/>
            </w:pPr>
            <w:r>
              <w:t xml:space="preserve">Lieferantenverhandlung, Jahresgespräch, Terminverfolgung, Bündelung</w:t>
            </w:r>
          </w:p>
        </w:tc>
      </w:tr>
      <w:tr>
        <w:tc>
          <w:tcPr>
            <w:tcW w:w="3102" w:type="dxa"/>
          </w:tcPr>
          <w:p>
            <w:pPr>
              <w:pStyle w:val="TableText"/>
            </w:pPr>
            <w:r>
              <w:rPr>
                <w:b/>
              </w:rPr>
              <w:t xml:space="preserve">Disponent</w:t>
            </w:r>
          </w:p>
        </w:tc>
        <w:tc>
          <w:tcPr>
            <w:tcW w:w="3102" w:type="dxa"/>
          </w:tcPr>
          <w:p>
            <w:pPr>
              <w:pStyle w:val="TableText"/>
            </w:pPr>
            <w:r>
              <w:t xml:space="preserve">Bestellbedarf und Deckung, Materialabhängigkeit, Materialdisposition und Fehlteile, Dispositionsprüfung, Verwendung und Risiko</w:t>
            </w:r>
          </w:p>
        </w:tc>
        <w:tc>
          <w:tcPr>
            <w:tcW w:w="3102" w:type="dxa"/>
          </w:tcPr>
          <w:p>
            <w:pPr>
              <w:pStyle w:val="TableText"/>
            </w:pPr>
            <w:r>
              <w:t xml:space="preserve">Fehlteile klären, Abkündigungen, Bestellvorschläge prüfen</w:t>
            </w:r>
          </w:p>
        </w:tc>
      </w:tr>
      <w:tr>
        <w:tc>
          <w:tcPr>
            <w:tcW w:w="3102" w:type="dxa"/>
          </w:tcPr>
          <w:p>
            <w:pPr>
              <w:pStyle w:val="TableText"/>
            </w:pPr>
            <w:r>
              <w:rPr>
                <w:b/>
              </w:rPr>
              <w:t xml:space="preserve">Verkauf und Vertriebsleitung</w:t>
            </w:r>
          </w:p>
        </w:tc>
        <w:tc>
          <w:tcPr>
            <w:tcW w:w="3102" w:type="dxa"/>
          </w:tcPr>
          <w:p>
            <w:pPr>
              <w:pStyle w:val="TableText"/>
            </w:pPr>
            <w:r>
              <w:t xml:space="preserve">Verkauf Kunden, Rückgang, Neue und verlorene Kunden, Cross-Selling, Preisstreuung, Weltkarte, Verkauf Interaktiv</w:t>
            </w:r>
          </w:p>
        </w:tc>
        <w:tc>
          <w:tcPr>
            <w:tcW w:w="3102" w:type="dxa"/>
          </w:tcPr>
          <w:p>
            <w:pPr>
              <w:pStyle w:val="TableText"/>
            </w:pPr>
            <w:r>
              <w:t xml:space="preserve">Kundenbesuch, Account-Planung, Preisgespräch, Budget</w:t>
            </w:r>
          </w:p>
        </w:tc>
      </w:tr>
      <w:tr>
        <w:tc>
          <w:tcPr>
            <w:tcW w:w="3102" w:type="dxa"/>
          </w:tcPr>
          <w:p>
            <w:pPr>
              <w:pStyle w:val="TableText"/>
            </w:pPr>
            <w:r>
              <w:rPr>
                <w:b/>
              </w:rPr>
              <w:t xml:space="preserve">Logistik</w:t>
            </w:r>
          </w:p>
        </w:tc>
        <w:tc>
          <w:tcPr>
            <w:tcW w:w="3102" w:type="dxa"/>
          </w:tcPr>
          <w:p>
            <w:pPr>
              <w:pStyle w:val="TableText"/>
            </w:pPr>
            <w:r>
              <w:t xml:space="preserve">Logistik live (Übersicht, 3D-Lager, Produktivität, Kapazität), Stücklistenanalyse</w:t>
            </w:r>
          </w:p>
        </w:tc>
        <w:tc>
          <w:tcPr>
            <w:tcW w:w="3102" w:type="dxa"/>
          </w:tcPr>
          <w:p>
            <w:pPr>
              <w:pStyle w:val="TableText"/>
            </w:pPr>
            <w:r>
              <w:t xml:space="preserve">Tagessteuerung, Schichtplanung, Kapazitätsabgleich mit der Produktion</w:t>
            </w:r>
          </w:p>
        </w:tc>
      </w:tr>
      <w:tr>
        <w:tc>
          <w:tcPr>
            <w:tcW w:w="3102" w:type="dxa"/>
          </w:tcPr>
          <w:p>
            <w:pPr>
              <w:pStyle w:val="TableText"/>
            </w:pPr>
            <w:r>
              <w:rPr>
                <w:b/>
              </w:rPr>
              <w:t xml:space="preserve">HR</w:t>
            </w:r>
          </w:p>
        </w:tc>
        <w:tc>
          <w:tcPr>
            <w:tcW w:w="3102" w:type="dxa"/>
          </w:tcPr>
          <w:p>
            <w:pPr>
              <w:pStyle w:val="TableText"/>
            </w:pPr>
            <w:r>
              <w:t xml:space="preserve">HR Dashboard und HR KPI Schulung</w:t>
            </w:r>
          </w:p>
        </w:tc>
        <w:tc>
          <w:tcPr>
            <w:tcW w:w="3102" w:type="dxa"/>
          </w:tcPr>
          <w:p>
            <w:pPr>
              <w:pStyle w:val="TableText"/>
            </w:pPr>
            <w:r>
              <w:t xml:space="preserve">Fluktuations- und Absenzenbericht, Quartalsauswertung</w:t>
            </w:r>
          </w:p>
        </w:tc>
      </w:tr>
      <w:tr>
        <w:tc>
          <w:tcPr>
            <w:tcW w:w="3102" w:type="dxa"/>
          </w:tcPr>
          <w:p>
            <w:pPr>
              <w:pStyle w:val="TableText"/>
            </w:pPr>
            <w:r>
              <w:rPr>
                <w:b/>
              </w:rPr>
              <w:t xml:space="preserve">IT und Geschäftsleitung</w:t>
            </w:r>
          </w:p>
        </w:tc>
        <w:tc>
          <w:tcPr>
            <w:tcW w:w="3102" w:type="dxa"/>
          </w:tcPr>
          <w:p>
            <w:pPr>
              <w:pStyle w:val="TableText"/>
            </w:pPr>
            <w:r>
              <w:t xml:space="preserve">Netzwerk Übersicht, Verfügbarkeit, Migration, Bericht</w:t>
            </w:r>
          </w:p>
        </w:tc>
        <w:tc>
          <w:tcPr>
            <w:tcW w:w="3102" w:type="dxa"/>
          </w:tcPr>
          <w:p>
            <w:pPr>
              <w:pStyle w:val="TableText"/>
            </w:pPr>
            <w:r>
              <w:t xml:space="preserve">Budget für Geräteersatz, Support-Ende, Störungen einordnen</w:t>
            </w:r>
          </w:p>
        </w:tc>
      </w:tr>
      <w:tr>
        <w:tc>
          <w:tcPr>
            <w:tcW w:w="3102" w:type="dxa"/>
          </w:tcPr>
          <w:p>
            <w:pPr>
              <w:pStyle w:val="TableText"/>
            </w:pPr>
            <w:r>
              <w:rPr>
                <w:b/>
              </w:rPr>
              <w:t xml:space="preserve">Produktion, PPD und Leitung Operations</w:t>
            </w:r>
          </w:p>
        </w:tc>
        <w:tc>
          <w:tcPr>
            <w:tcW w:w="3102" w:type="dxa"/>
          </w:tcPr>
          <w:p>
            <w:pPr>
              <w:pStyle w:val="TableText"/>
            </w:pPr>
            <w:r>
              <w:t xml:space="preserve">Operations KPI (OTD, OTIF, OTP), Shopfloor mit Pendenzen, Abteilungswerten, Rückständen, Fehlteilen ZD05, Forecast und PPA-Grafik</w:t>
            </w:r>
          </w:p>
        </w:tc>
        <w:tc>
          <w:tcPr>
            <w:tcW w:w="3102" w:type="dxa"/>
          </w:tcPr>
          <w:p>
            <w:pPr>
              <w:pStyle w:val="TableText"/>
            </w:pPr>
            <w:r>
              <w:t xml:space="preserve">Tägliches Shop-Floor-Meeting, Wochenplanung, Monatsbericht Liefertreue</w:t>
            </w:r>
          </w:p>
        </w:tc>
      </w:tr>
    </w:tbl>
    <w:p>
      <w:pPr>
        <w:spacing w:before="0" w:after="80"/>
      </w:pPr>
    </w:p>
    <w:p>
      <w:pPr>
        <w:pStyle w:val="Heading2"/>
      </w:pPr>
      <w:r>
        <w:t xml:space="preserve">Die Kopfleiste</w:t>
      </w:r>
    </w:p>
    <w:p>
      <w:r>
        <w:t xml:space="preserve">Oben rechts stehen für alle Seiten dieselben Bedienelemente. Ganz links zeigt eine kleine Leuchtanzeige im Stil eines Kassettendecks die </w:t>
      </w:r>
      <w:r>
        <w:rPr>
          <w:b/>
        </w:rPr>
        <w:t xml:space="preserve">CPU-Last</w:t>
      </w:r>
      <w:r>
        <w:t xml:space="preserve">: der obere Balken </w:t>
      </w:r>
      <w:r>
        <w:rPr>
          <w:b/>
        </w:rPr>
        <w:t xml:space="preserve">S</w:t>
      </w:r>
      <w:r>
        <w:t xml:space="preserve"> die Last des ganzen Servers, der untere Balken </w:t>
      </w:r>
      <w:r>
        <w:rPr>
          <w:b/>
        </w:rPr>
        <w:t xml:space="preserve">C</w:t>
      </w:r>
      <w:r>
        <w:t xml:space="preserve"> den Anteil des Cockpits selbst, je von 0 bis 100 %; ein schwach leuchtendes Segment hält kurz die letzte Spitze fest. Sie hilft einzuordnen, ob eine langsame Seite am Server oder an der eigenen Verbindung liegt. Daneben folgen der Dimmer für die Helligkeit, die Statusampel mit den letzten Meldungen, die Umschaltung des Designs, Hell/Dunkel und die Sprache.</w:t>
      </w:r>
    </w:p>
    <w:p>
      <w:pPr>
        <w:pStyle w:val="Heading2"/>
      </w:pPr>
      <w:r>
        <w:t xml:space="preserve">Allgemeine Regeln für alle Zahlen</w:t>
      </w:r>
    </w:p>
    <w:p>
      <w:r>
        <w:t xml:space="preserve">Beträge sind in CHF, sofern nichts anderes steht. Fremdwährungen werden mit dem Kurs umgerechnet, den die jeweilige Seite nennt. Konzerninterne Umsätze und Bestellungen zwischen Trafag-Gesellschaften sind in Verkauf und Weltlage ausgeschlossen, damit die Gruppe nicht mit sich selbst rechnet.</w:t>
      </w:r>
    </w:p>
    <w:p>
      <w:r>
        <w:t xml:space="preserve">Zeiträume enden in der Regel mit dem letzten vollständigen Monat. Ein angebrochener Monat würde Vergleiche mit dem Vorjahr verzerren.</w:t>
      </w:r>
    </w:p>
    <w:p>
      <w:r>
        <w:t xml:space="preserve">Die Daten werden automatisch nachgeladen, je nach Quelle laufend, stündlich oder nachts. Jede Seite nennt den Stand ihrer Daten. Wer eine Zahl weitergibt, nennt am besten diesen Stand mit.</w:t>
      </w:r>
    </w:p>
    <w:p>
      <w:r>
        <w:t xml:space="preserve">Fällt eine Zahl auf, ist zuerst zu prüfen, ob die Daten vollständig sind (Datenstatus, Daten-Heartbeat, Datenqualität), bevor man fachliche Schlüsse zieht.</w:t>
      </w:r>
    </w:p>
    <w:p>
      <w:r>
        <w:t xml:space="preserve">Fragen und Fehlermeldungen zum Cockpit gehen an Ingo Kohler, SAP Specialist.</w:t>
      </w:r>
    </w:p>
    <w:p>
      <w:r>
        <w:br w:type="page"/>
      </w:r>
    </w:p>
    <w:p>
      <w:pPr>
        <w:pStyle w:val="Heading1"/>
      </w:pPr>
      <w:r>
        <w:t xml:space="preserve">Finance und Management</w:t>
      </w:r>
    </w:p>
    <w:p>
      <w:r>
        <w:t xml:space="preserve">Das Finance Cockpit ist der Bereich des Trafag Cockpits, in dem die Umsätze aller Gesellschaften zu einer vergleichbaren Konzernsicht zusammengeführt, gegen Sollwerte geprüft und für das Management aufbereitet werden. Hauptnutzer sind die Finance-Keyuser und Controller, die Finance-Leitung und die Geschäftsleitung. Die Administratoren pflegen im Admin-Bereich die technischen Grundlagen.</w:t>
      </w:r>
    </w:p>
    <w:p>
      <w:r>
        <w:t xml:space="preserve">Im Menü liegt alles unter dem Hauptpunkt „Finance Cockpit". Dort stehen der Export Dashboard, die Gruppe „Management Analyse" (mit Schnellübersicht, Management Entscheidungen und den Expertenseiten), der Soll/Ist Vergleich, das Controlling, die Finance Schulung, die Manuellen Importe, der Journal Import und die Marktsegmente. Der Admin-Bereich ist ein eigener Hauptpunkt ausserhalb von Finance.</w:t>
      </w:r>
    </w:p>
    <w:p>
      <w:r>
        <w:t xml:space="preserve">Die Daten stammen aus den Verkaufssystemen der Gesellschaften: SAP in der Schweiz und Österreich, SAP Business One in Frankreich, Italien, den USA und Indien, Alphaplan in Deutschland sowie Sage in Spanien und Grossbritannien. Je Standort werden sie geladen, nach festen Regeln aufbereitet (Finance-Regeln, Gutschriften mit negativem Vorzeichen, Ausschluss von Weiterberechnungen) und in der zentralen Datenbank abgelegt. Die Zahlen sind deshalb so aktuell wie der letzte Standortexport. Wie aktuell, zeigt die Seite Export Dashboard und die Seite Datenstatus.</w:t>
      </w:r>
    </w:p>
    <w:p>
      <w:r>
        <w:t xml:space="preserve">Der Zugang zu den meisten Seiten dieses Kapitels ist durch eine Finance-Freischaltung geschützt: Export Dashboard, Management Analyse, Soll/Ist Vergleich, Finance Schulung, Standorte, Transformationen, Finance Regeln, Settings und Logs verlangen eine Freischaltung, solange diese in der Anwendung aktiviert ist. Das Controlling, die Manuellen Importe, der Journal Import und die Marktsegmente verlangen gemäss Routenprüfung keine solche Freischaltung. Mit dem Menüpunkt „Finance sperren" wird die Freischaltung wieder zurückgenommen.</w:t>
      </w:r>
    </w:p>
    <w:p>
      <w:r>
        <w:t xml:space="preserve">Ein Grundprinzip gilt für das ganze Kapitel: Führend ist die Hauswährung des jeweiligen Landessystems. Umrechnungen nach CHF dienen der Anzeige und dem Konzernvergleich. Fehlende Werte, etwa ein fehlender Kurs oder eine fehlende Kostenbasis, werden sichtbar markiert und nie geschätzt.</w:t>
      </w:r>
    </w:p>
    <w:p>
      <w:pPr>
        <w:pStyle w:val="Heading2"/>
      </w:pPr>
      <w:r>
        <w:t xml:space="preserve">Export Dashboard</w:t>
      </w:r>
    </w:p>
    <w:p>
      <w:pPr>
        <w:pStyle w:val="Heading3"/>
      </w:pPr>
      <w:r>
        <w:t xml:space="preserve">Wozu</w:t>
      </w:r>
    </w:p>
    <w:p>
      <w:r>
        <w:t xml:space="preserve">Das Export Dashboard ist die Steuerzentrale der Datenversorgung. Hier wird ausgelöst, dass die Verkaufsdaten der Standorte neu aus den Quellsystemen gelesen werden, und hier ist ablesbar, wie aktuell die Daten je Land sind. Ohne diese Seite lässt sich nicht beurteilen, ob eine Auswertung im Cockpit den heutigen Stand oder den von vor drei Wochen zeigt.</w:t>
      </w:r>
    </w:p>
    <w:p>
      <w:pPr>
        <w:pStyle w:val="Heading3"/>
      </w:pPr>
      <w:r>
        <w:t xml:space="preserve">Was man sieht</w:t>
      </w:r>
    </w:p>
    <w:p>
      <w:r>
        <w:t xml:space="preserve">Oben stehen zwei Schaltflächen und eine Anzeige. „Alle Standorte laden" startet den Export für alle aktiven Standorte. „Zentrale Datei neu erzeugen" baut aus den bereits geladenen Standortdaten die zentralen Dateien neu auf, ohne die Quellsysteme erneut abzufragen. Daneben steht der nächste automatische Lauf oder der Hinweis „Timer deaktiviert". Rechts oben dreht sich ein Zeigerinstrument mit der Aufschrift „EXPORT". Es ist reine Dekoration und zeigt keine Messwerte.</w:t>
      </w:r>
    </w:p>
    <w:p>
      <w:r>
        <w:t xml:space="preserve">Darunter erscheinen bei Bedarf zwei Hinweise. Der gelbe Hinweis nennt aktive Standorte, die noch nicht vollständig bereit sind. Der blaue Hinweis sagt, dass seit der letzten zentralen Excel-Datei mindestens ein Standort neu exportiert wurde und die zentrale Datei deshalb neu erzeugt werden sollte.</w:t>
      </w:r>
    </w:p>
    <w:p>
      <w:r>
        <w:t xml:space="preserve">Die Tabelle führt je Standort Land, Basis (SAP Service, Server, Excel-Datei, CSV-Datei), Kürzel des Standorts (TSC), Schema, Server, Status des letzten Laufs, eine Fortschrittsmeldung, die Zeilenzahl, den Datenstand, die Dauer und zwei Schaltflächen. „Export" lädt nur diesen Standort, „Excel öffnen" öffnet die zugehörige Standortdatei. Beim Datenstand steht ein farbiges Kennzeichen, woher der jüngste Stand stammt: aus der Datenbank (grün), aus einer neueren Datei auf SharePoint (orange), aus einer lokalen Datei (blau) oder nur aus dem Export-Log (grau). Erscheint zusätzlich „CSV neuer als DB", liegt eine vorbereitete Datei vor, die noch nicht in der Datenbank ist. Unter der Tabelle zeigt der Block „Zentrale Datei" die erzeugte Sales-All-Datei mit Pfad und letzter Änderung.</w:t>
      </w:r>
    </w:p>
    <w:p>
      <w:pPr>
        <w:pStyle w:val="Heading3"/>
      </w:pPr>
      <w:r>
        <w:t xml:space="preserve">Wie gerechnet wird</w:t>
      </w:r>
    </w:p>
    <w:p>
      <w:r>
        <w:t xml:space="preserve">Es wird nicht gerechnet, sondern verglichen. Der Datenstand eines Standorts ist der jüngste Zeitpunkt aus Datenbank, Dateien und Export-Log. Ist eine Datei neuer als die Datenbank, wird das gekennzeichnet. Die Seite aktualisiert sich während eines laufenden Exports alle drei Sekunden selbst.</w:t>
      </w:r>
    </w:p>
    <w:p>
      <w:pPr>
        <w:pStyle w:val="Heading3"/>
      </w:pPr>
      <w:r>
        <w:t xml:space="preserve">Einsatz im Arbeitsalltag</w:t>
      </w:r>
    </w:p>
    <w:p>
      <w:r>
        <w:rPr>
          <w:b/>
        </w:rPr>
        <w:t xml:space="preserve">Finance-Keyuser:</w:t>
      </w:r>
      <w:r>
        <w:t xml:space="preserve"> Nach jeder neu bereitgestellten Datei zuerst den betroffenen Standort exportieren und erst danach die zentrale Datei neu erzeugen. Die richtige Reihenfolge lautet: Datei bereitstellen, Standort exportieren, zentrale Datei erzeugen, Summen prüfen, Soll/Ist freigeben.</w:t>
      </w:r>
    </w:p>
    <w:p>
      <w:r>
        <w:rPr>
          <w:b/>
        </w:rPr>
        <w:t xml:space="preserve">Controller:</w:t>
      </w:r>
      <w:r>
        <w:t xml:space="preserve"> Vor dem Monatsabschluss in der Spalte „Datenstand" prüfen, ob jedes Land ein aktuelles Datum und die Quelle „DB" zeigt. Steht dort „SharePoint-CSV" oder „CSV neuer als DB", ist die Datenbank hinter den bereitgestellten Dateien zurück.</w:t>
      </w:r>
    </w:p>
    <w:p>
      <w:r>
        <w:rPr>
          <w:b/>
        </w:rPr>
        <w:t xml:space="preserve">Finance-Leitung:</w:t>
      </w:r>
      <w:r>
        <w:t xml:space="preserve"> Vor der Freigabe der Konzernzahlen sicherstellen, dass kein Standort mit Fehlersymbol dasteht. Der Fehlertext erscheint beim Daraufzeigen.</w:t>
      </w:r>
    </w:p>
    <w:p>
      <w:pPr>
        <w:pStyle w:val="Heading3"/>
      </w:pPr>
      <w:r>
        <w:t xml:space="preserve">Grenzen und Fallstricke</w:t>
      </w:r>
    </w:p>
    <w:p>
      <w:r>
        <w:t xml:space="preserve">Eine Datei hochzuladen ändert die Finance-Zahlen noch nicht. Erst der Standortexport schreibt in die Datenbank, und erst die neu erzeugte zentrale Datei enthält diesen Stand. „Alle Standorte laden" ersetzt je Standort den bisherigen Bestand vollständig, bei Dateistandorten wie Deutschland und Spanien deshalb nur mit vollständigen Dateien. Der Zeitstempel in „Zentrale Datei" ist der lokale Dateizeitstempel des Servers, nicht der von SharePoint. Das Zeigerinstrument sagt nichts über den Zustand der Exporte aus.</w:t>
      </w:r>
    </w:p>
    <w:p>
      <w:pPr>
        <w:pStyle w:val="Heading2"/>
      </w:pPr>
      <w:r>
        <w:t xml:space="preserve">Schnellübersicht</w:t>
      </w:r>
    </w:p>
    <w:p>
      <w:pPr>
        <w:pStyle w:val="Heading3"/>
      </w:pPr>
      <w:r>
        <w:t xml:space="preserve">Wozu</w:t>
      </w:r>
    </w:p>
    <w:p>
      <w:r>
        <w:t xml:space="preserve">Die Schnellübersicht ist die erste Seite der Management Analyse und beantwortet auf einen Blick: Ist der Umsatz des gewählten Jahres plausibel, stimmen die Länder mit den Sollwerten überein, und wie frisch sind die Daten? Sie ist für Controller und Geschäftsleitung der Einstieg am Morgen.</w:t>
      </w:r>
    </w:p>
    <w:p>
      <w:pPr>
        <w:pStyle w:val="Heading3"/>
      </w:pPr>
      <w:r>
        <w:t xml:space="preserve">Was man sieht</w:t>
      </w:r>
    </w:p>
    <w:p>
      <w:r>
        <w:t xml:space="preserve">Über allen Reitern der Management Analyse steht ein Filterbalken mit Finance-Jahr, Land, Währung und dem Schalter „Group-Währung (CHF)". Mit „Finance Summary laden" werden die Zahlen neu geholt. Beim Öffnen wird das jüngste Jahr in den Daten vorgewählt.</w:t>
      </w:r>
    </w:p>
    <w:p>
      <w:r>
        <w:t xml:space="preserve">Die Kacheln zeigen den Net Sales Actual des gewählten Jahres, die Zahl der Länder mit Status OK („Soll/Ist ohne Abweichung"), die Zahl der Länder mit Status „Prüfen" („Abweichung oder offene Regel"), die Zahl der nicht geprüften Länder („ohne Sollwert oder ohne Daten") und die Zahl der aktiven Datenstandorte. Darunter führen vier Schaltflächen zu Management Entscheidungen, Gruppenmarge, Finance Prüfbuch und 3D Datenanalyse, dazu der Excel-Export.</w:t>
      </w:r>
    </w:p>
    <w:p>
      <w:r>
        <w:t xml:space="preserve">Es folgen drei Tabellen. „Finance-Freigabe je Land" zeigt Status, Ist, Soll, Differenz, Datenstand und einen Hinweis wie „Freigabefähig", „Kein Sollwert gepflegt" oder „Abweichung prüfen". „Letzter Datenstand je Standort" zeigt, wann welcher Standort zuletzt Daten geliefert hat und ob ein manueller Import dahintersteht. „Sparten-Abdeckung nach Land" zeigt, welcher Anteil des Umsatzes einer Produktsparte zugeordnet werden konnte.</w:t>
      </w:r>
    </w:p>
    <w:p>
      <w:pPr>
        <w:pStyle w:val="Heading3"/>
      </w:pPr>
      <w:r>
        <w:t xml:space="preserve">Wie gerechnet wird</w:t>
      </w:r>
    </w:p>
    <w:p>
      <w:r>
        <w:t xml:space="preserve">Der Net Sales Actual ist die Summe der Nettofakturawerte aller Zeilen, die nach den Finance-Regeln eingeschlossen sind, im gewählten Jahr. Das Jahr bestimmt das Buchungsdatum, ersatzweise das Rechnungsdatum, danach das Extraktionsdatum. Für Spanien gilt das Rechnungsdatum zuerst. Der Status eines Landes ist „OK", wenn Ist und Soll höchstens um eine Währungseinheit auseinanderliegen, sonst „Prüfen". Ohne Sollwert steht „Kein Sollwert", gibt es einen Sollwert, aber keine Ist-Zeile, steht „Keine Daten". Die Kachel „Nicht geprüft" zählt die beiden letzten Fälle.</w:t>
      </w:r>
    </w:p>
    <w:p>
      <w:pPr>
        <w:pStyle w:val="Heading3"/>
      </w:pPr>
      <w:r>
        <w:t xml:space="preserve">Einsatz im Arbeitsalltag</w:t>
      </w:r>
    </w:p>
    <w:p>
      <w:r>
        <w:rPr>
          <w:b/>
        </w:rPr>
        <w:t xml:space="preserve">Controller:</w:t>
      </w:r>
      <w:r>
        <w:t xml:space="preserve"> Vor dem Monatsabschluss das Jahr wählen und prüfen, ob „Zu prüfen" und „Nicht geprüft" klein sind. Eine Null bei „Länder OK" und „Zu prüfen" bedeutet nicht, dass alles sauber ist, sondern dass nichts geprüft wurde. Fehlen für das Jahr alle Sollwerte, erscheint dazu eine ausdrückliche Warnung.</w:t>
      </w:r>
    </w:p>
    <w:p>
      <w:r>
        <w:rPr>
          <w:b/>
        </w:rPr>
        <w:t xml:space="preserve">Geschäftsleitung:</w:t>
      </w:r>
      <w:r>
        <w:t xml:space="preserve"> Die Kachel Net Sales Actual und die Länderliste genügen für einen Überblick. Bei mehreren Währungen im Filter erscheint „Mixed"; dann ist die Summe keine umgerechnete Zahl, und der Schalter „Group-Währung (CHF)" oder ein Landfilter schafft Abhilfe.</w:t>
      </w:r>
    </w:p>
    <w:p>
      <w:pPr>
        <w:pStyle w:val="Heading3"/>
      </w:pPr>
      <w:r>
        <w:t xml:space="preserve">Grenzen und Fallstricke</w:t>
      </w:r>
    </w:p>
    <w:p>
      <w:r>
        <w:t xml:space="preserve">Sollwerte sind nur für einzelne Jahre und Länder gepflegt, nach dem letzten dokumentierten Stand nur für 2025, und für die Schweiz fehlt der Sollwert. Für das laufende Jahr ist der Soll/Ist-Abgleich deshalb weitgehend leer. Der Status OK sagt aus, dass das Ist zum Soll passt, nicht dass die Zahl fachlich richtig ist. Die Schnellübersicht ist eine Plausibilitätssicht; die fachlich führende Sicht ist die Finance Summary.</w:t>
      </w:r>
    </w:p>
    <w:p>
      <w:pPr>
        <w:pStyle w:val="Heading2"/>
      </w:pPr>
      <w:r>
        <w:t xml:space="preserve">Management Entscheidungen</w:t>
      </w:r>
    </w:p>
    <w:p>
      <w:pPr>
        <w:pStyle w:val="Heading3"/>
      </w:pPr>
      <w:r>
        <w:t xml:space="preserve">Wozu</w:t>
      </w:r>
    </w:p>
    <w:p>
      <w:r>
        <w:t xml:space="preserve">Diese Seite verdichtet Auffälligkeiten aus Finance, Einkauf und HR zu einer priorisierten Liste möglicher Managemententscheide. Sie soll die Frage beantworten: Wo muss jemand eine Entscheidung treffen, weil Zahlen nicht belastbar sind oder ein Risiko wächst?</w:t>
      </w:r>
    </w:p>
    <w:p>
      <w:pPr>
        <w:pStyle w:val="Heading3"/>
      </w:pPr>
      <w:r>
        <w:t xml:space="preserve">Was man sieht</w:t>
      </w:r>
    </w:p>
    <w:p>
      <w:r>
        <w:t xml:space="preserve">Vier Kacheln zeigen die Zahl der offenen Entscheidungen, wie viele davon hohe Priorität haben, wie viele Bereiche betroffen sind und den Stand der Berechnung. Der Hinweis „aggregiert, ohne HR-Personendaten" ist ernst gemeint: Aus HR erscheinen nur Ampelwerte und Datenqualitätsthemen. Der „Entscheidungsradar" ist eine Tabelle mit Priorität (Stufe und Punktzahl), Bereich, Thema mit Quelle, Kennzahl, Auswirkung, Empfehlung, der konkreten Entscheidungsfrage, dem Verantwortlichen und einer Schaltfläche „Details", die zur passenden Seite führt. Gibt es keine Signale, steht dort „Keine offenen Management-Entscheidungen".</w:t>
      </w:r>
    </w:p>
    <w:p>
      <w:pPr>
        <w:pStyle w:val="Heading3"/>
      </w:pPr>
      <w:r>
        <w:t xml:space="preserve">Wie gerechnet wird</w:t>
      </w:r>
    </w:p>
    <w:p>
      <w:r>
        <w:t xml:space="preserve">Die Liste entsteht aus festen Regeln. Aus Finance kommen die bis zu acht grössten Soll/Ist-Abweichungen (ab fünf Prozent Abweichung hohe, sonst mittlere Priorität), die offene Kostenbasis der Gruppenmarge (immer hohe Priorität), ein Hinweis zur Spartenzuordnung, wenn mindestens fünf Prozent des Umsatzes nicht sauber zugeordnet sind (ab 15 Prozent hoch), und die sechs häufigsten Datenqualitätsthemen. Aus dem Einkauf kommen der offene Bestellwert (ab einer Million CHF hoch), das Liefertermin-Risiko (ab 500'000 CHF hoch) und Datenqualitätsfehler (ab 1'000 hoch). Aus HR kommen rote und gelbe Ampeln und Datenqualitätsthemen. Die Punktzahl von 0 bis 100 setzt sich aus der Stufe, der Grösse des Befunds und dem betroffenen Volumen zusammen. Sortiert wird nach Stufe, dann nach Punktzahl.</w:t>
      </w:r>
    </w:p>
    <w:p>
      <w:pPr>
        <w:pStyle w:val="Heading3"/>
      </w:pPr>
      <w:r>
        <w:t xml:space="preserve">Einsatz im Arbeitsalltag</w:t>
      </w:r>
    </w:p>
    <w:p>
      <w:r>
        <w:rPr>
          <w:b/>
        </w:rPr>
        <w:t xml:space="preserve">Geschäftsleitung:</w:t>
      </w:r>
      <w:r>
        <w:t xml:space="preserve"> Vor der Sitzung die Zeilen mit hoher Priorität durchgehen und je Zeile klären, wer die genannte Entscheidung trifft.</w:t>
      </w:r>
    </w:p>
    <w:p>
      <w:r>
        <w:rPr>
          <w:b/>
        </w:rPr>
        <w:t xml:space="preserve">Controller:</w:t>
      </w:r>
      <w:r>
        <w:t xml:space="preserve"> Als Arbeitsliste für die Nacharbeit nutzen: Über „Details" gelangt man direkt in die zuständige Expertenseite, zum Beispiel Abweichungen oder Gruppenmarge.</w:t>
      </w:r>
    </w:p>
    <w:p>
      <w:r>
        <w:rPr>
          <w:b/>
        </w:rPr>
        <w:t xml:space="preserve">Einkäufer:</w:t>
      </w:r>
      <w:r>
        <w:t xml:space="preserve"> Die Zeilen mit Bereich „Einkauf" zeigen, welche Einkaufsthemen das Management sieht.</w:t>
      </w:r>
    </w:p>
    <w:p>
      <w:pPr>
        <w:pStyle w:val="Heading3"/>
      </w:pPr>
      <w:r>
        <w:t xml:space="preserve">Grenzen und Fallstricke</w:t>
      </w:r>
    </w:p>
    <w:p>
      <w:r>
        <w:t xml:space="preserve">Die Seite erzeugt Hinweise, keine Beschlüsse. Fehlen Einkaufs- oder HR-Daten, erscheint stattdessen eine Info-Zeile mit der Fehlermeldung. Die Schwellen sind fest eingebaut und nicht einstellbar. Die Liste hängt vom oben gewählten Finance-Jahr ab.</w:t>
      </w:r>
    </w:p>
    <w:p>
      <w:pPr>
        <w:pStyle w:val="Heading2"/>
      </w:pPr>
      <w:r>
        <w:t xml:space="preserve">Finance Summary (Experten)</w:t>
      </w:r>
    </w:p>
    <w:p>
      <w:pPr>
        <w:pStyle w:val="Heading3"/>
      </w:pPr>
      <w:r>
        <w:t xml:space="preserve">Wozu</w:t>
      </w:r>
    </w:p>
    <w:p>
      <w:r>
        <w:t xml:space="preserve">Die Finance Summary ist die fachlich führende Sicht auf den Net Sales Actual. Sie entspricht dem Excel-Blatt „Finance Summary" der zentralen Datei und dient dazu, Cockpit und Excel gegeneinander abzustimmen.</w:t>
      </w:r>
    </w:p>
    <w:p>
      <w:pPr>
        <w:pStyle w:val="Heading3"/>
      </w:pPr>
      <w:r>
        <w:t xml:space="preserve">Was man sieht</w:t>
      </w:r>
    </w:p>
    <w:p>
      <w:r>
        <w:t xml:space="preserve">Vier Kacheln: Net Sales Actual, enthaltene Zeilen (Finance Include = TRUE), ausgeschlossene Zeilen und die Zahl der Länder und Währungen. Links steht die Tabelle „Summen wie im Excel-Blatt Finance Summary" mit Jahr, Land, Währung, Net Sales Actual und den Zeilenzahlen. Rechts erscheinen die Hinweise zu den angewandten Regeln. Darunter vergleicht die Tabelle „Jahresvergleich mit aktuellem Filter" die Jahre. Der Excel-Export liegt oben.</w:t>
      </w:r>
    </w:p>
    <w:p>
      <w:pPr>
        <w:pStyle w:val="Heading3"/>
      </w:pPr>
      <w:r>
        <w:t xml:space="preserve">Wie gerechnet wird</w:t>
      </w:r>
    </w:p>
    <w:p>
      <w:r>
        <w:t xml:space="preserve">Je Zeile gilt der Nettofakturawert der Position in der Hauswährung des Landes. Gutschriften und Stornos sind negative Zeilen. Eine Zeile ist ausgeschlossen, wenn eine Finance-Regel sie aussondert (etwa Weiterberechnungen oder interne Kunden) oder wenn ihr Wert null ist. Die Summe je Land und Währung ist die Summe der eingeschlossenen Zeilen.</w:t>
      </w:r>
    </w:p>
    <w:p>
      <w:pPr>
        <w:pStyle w:val="Heading3"/>
      </w:pPr>
      <w:r>
        <w:t xml:space="preserve">Einsatz im Arbeitsalltag</w:t>
      </w:r>
    </w:p>
    <w:p>
      <w:r>
        <w:rPr>
          <w:b/>
        </w:rPr>
        <w:t xml:space="preserve">Controller:</w:t>
      </w:r>
      <w:r>
        <w:t xml:space="preserve"> Die Zeilenzahlen und Summen mit dem Excel-Blatt der zentralen Datei vergleichen. Stimmen sie nicht, ist meist die zentrale Datei veraltet.</w:t>
      </w:r>
    </w:p>
    <w:p>
      <w:r>
        <w:rPr>
          <w:b/>
        </w:rPr>
        <w:t xml:space="preserve">Revisor:</w:t>
      </w:r>
      <w:r>
        <w:t xml:space="preserve"> Die Tabelle zusammen mit den Hinweisen als Nachweis der angewandten Abgrenzung verwenden.</w:t>
      </w:r>
    </w:p>
    <w:p>
      <w:pPr>
        <w:pStyle w:val="Heading3"/>
      </w:pPr>
      <w:r>
        <w:t xml:space="preserve">Grenzen und Fallstricke</w:t>
      </w:r>
    </w:p>
    <w:p>
      <w:r>
        <w:t xml:space="preserve">Werden mehrere Währungen gleichzeitig angezeigt, steht „Mixed", und die Gesamtsumme addiert lokale Beträge ohne Umrechnung. Die Spalte „Ausgeschlossen" enthält auch Zeilen mit Wert null, die keine Regel ausgeschlossen hat. Die Trennung zeigt die Seite Datenqualität.</w:t>
      </w:r>
    </w:p>
    <w:p>
      <w:pPr>
        <w:pStyle w:val="Heading2"/>
      </w:pPr>
      <w:r>
        <w:t xml:space="preserve">Länder Diagnose (Experten)</w:t>
      </w:r>
    </w:p>
    <w:p>
      <w:pPr>
        <w:pStyle w:val="Heading3"/>
      </w:pPr>
      <w:r>
        <w:t xml:space="preserve">Wozu</w:t>
      </w:r>
    </w:p>
    <w:p>
      <w:r>
        <w:t xml:space="preserve">Die Länder Diagnose zeigt je Land, ob das Ist zum Soll passt, und trennt dabei konzerninterne Umsätze ab. Sie beantwortet: Wie viel vom Umsatz eines Landes geht an Konzerngesellschaften oder nahestehende Firmen, und stimmt der Rest mit dem Soll überein?</w:t>
      </w:r>
    </w:p>
    <w:p>
      <w:pPr>
        <w:pStyle w:val="Heading3"/>
      </w:pPr>
      <w:r>
        <w:t xml:space="preserve">Was man sieht</w:t>
      </w:r>
    </w:p>
    <w:p>
      <w:r>
        <w:t xml:space="preserve">Eine Tabelle mit Status, Land, TSC, Quelle, Währung, Ist, IC/2nd-party, Ist ohne IC, Soll, Differenz sowie den Zeilenzahlen (eingeschlossen / ausgeschlossen).</w:t>
      </w:r>
    </w:p>
    <w:p>
      <w:pPr>
        <w:pStyle w:val="Heading3"/>
      </w:pPr>
      <w:r>
        <w:t xml:space="preserve">Wie gerechnet wird</w:t>
      </w:r>
    </w:p>
    <w:p>
      <w:r>
        <w:t xml:space="preserve">IC/2nd-party ist der Umsatz mit Kunden, die einer gepflegten Liste konzerninterner und nahestehender Firmen entsprechen. Die Erkennung läuft über Namensbestandteile, zum Beispiel Trafag, Magnetic Sense oder die Gesellschaft für Sensorik, sowie über einzelne Kundennummern. „Ist ohne IC" ist Ist minus IC. Der Status entsteht wie in der Schnellübersicht aus dem Vergleich von Ist und Soll.</w:t>
      </w:r>
    </w:p>
    <w:p>
      <w:pPr>
        <w:pStyle w:val="Heading3"/>
      </w:pPr>
      <w:r>
        <w:t xml:space="preserve">Einsatz im Arbeitsalltag</w:t>
      </w:r>
    </w:p>
    <w:p>
      <w:r>
        <w:rPr>
          <w:b/>
        </w:rPr>
        <w:t xml:space="preserve">Controller:</w:t>
      </w:r>
      <w:r>
        <w:t xml:space="preserve"> Bei einer Abweichung prüfen, ob die Differenz verschwindet, wenn man den IC-Anteil abzieht. Dann ist die Ursache die Abgrenzung und nicht ein Datenfehler.</w:t>
      </w:r>
    </w:p>
    <w:p>
      <w:r>
        <w:rPr>
          <w:b/>
        </w:rPr>
        <w:t xml:space="preserve">Finance-Leitung:</w:t>
      </w:r>
      <w:r>
        <w:t xml:space="preserve"> Den IC-Anteil je Land als Grundlage für Konsolidierungsfragen heranziehen.</w:t>
      </w:r>
    </w:p>
    <w:p>
      <w:pPr>
        <w:pStyle w:val="Heading3"/>
      </w:pPr>
      <w:r>
        <w:t xml:space="preserve">Grenzen und Fallstricke</w:t>
      </w:r>
    </w:p>
    <w:p>
      <w:r>
        <w:t xml:space="preserve">Der Abzug dient der Diagnose und ändert die Daten nicht. Die Namenserkennung ist einfach; ein ähnlich lautender Fremdkunde kann fälschlich erfasst werden. Die Liste wird im Admin-Bereich gepflegt.</w:t>
      </w:r>
    </w:p>
    <w:p>
      <w:pPr>
        <w:pStyle w:val="Heading2"/>
      </w:pPr>
      <w:r>
        <w:t xml:space="preserve">Datenstatus (Experten)</w:t>
      </w:r>
    </w:p>
    <w:p>
      <w:pPr>
        <w:pStyle w:val="Heading3"/>
      </w:pPr>
      <w:r>
        <w:t xml:space="preserve">Wozu</w:t>
      </w:r>
    </w:p>
    <w:p>
      <w:r>
        <w:t xml:space="preserve">Der Datenstatus listet je Standort, welche Datenmenge liegt und wann sie zuletzt geliefert wurde. Er beantwortet die Frage, ob ein auffälliger Umsatz an den Daten oder am Land liegt.</w:t>
      </w:r>
    </w:p>
    <w:p>
      <w:pPr>
        <w:pStyle w:val="Heading3"/>
      </w:pPr>
      <w:r>
        <w:t xml:space="preserve">Was man sieht</w:t>
      </w:r>
    </w:p>
    <w:p>
      <w:r>
        <w:t xml:space="preserve">Je Standort: aktiv oder nicht, Land, TSC, Quelle, zentrale Zeilen, letzter Export, Exportstatus, letzte Speicherung in der Datenbank und bei Standorten mit manueller Datei der Dateiname mit Zeitpunkt des Uploads.</w:t>
      </w:r>
    </w:p>
    <w:p>
      <w:pPr>
        <w:pStyle w:val="Heading3"/>
      </w:pPr>
      <w:r>
        <w:t xml:space="preserve">Wie gerechnet wird</w:t>
      </w:r>
    </w:p>
    <w:p>
      <w:r>
        <w:t xml:space="preserve">Es werden Zählungen und Zeitpunkte aus der zentralen Datenbank, dem Export-Log und den Importdateien gezeigt. Die Schnellübersicht verwendet für ihren Datenstand dieselbe Logik wie das Export Dashboard.</w:t>
      </w:r>
    </w:p>
    <w:p>
      <w:pPr>
        <w:pStyle w:val="Heading3"/>
      </w:pPr>
      <w:r>
        <w:t xml:space="preserve">Einsatz im Arbeitsalltag</w:t>
      </w:r>
    </w:p>
    <w:p>
      <w:r>
        <w:rPr>
          <w:b/>
        </w:rPr>
        <w:t xml:space="preserve">Finance-Keyuser:</w:t>
      </w:r>
      <w:r>
        <w:t xml:space="preserve"> Bei manuellen Ländern prüfen, ob die aktuelle Datei wirklich hochgeladen wurde.</w:t>
      </w:r>
    </w:p>
    <w:p>
      <w:r>
        <w:rPr>
          <w:b/>
        </w:rPr>
        <w:t xml:space="preserve">Controller:</w:t>
      </w:r>
      <w:r>
        <w:t xml:space="preserve"> Bei fehlenden Umsätzen eines Landes zuerst hier den letzten Export ansehen.</w:t>
      </w:r>
    </w:p>
    <w:p>
      <w:pPr>
        <w:pStyle w:val="Heading3"/>
      </w:pPr>
      <w:r>
        <w:t xml:space="preserve">Grenzen und Fallstricke</w:t>
      </w:r>
    </w:p>
    <w:p>
      <w:r>
        <w:t xml:space="preserve">Ein erfolgreicher Export bedeutet nicht, dass die Quelle neue Daten geliefert hat. Das zeigt erst der Daten-Heartbeat.</w:t>
      </w:r>
    </w:p>
    <w:p>
      <w:pPr>
        <w:pStyle w:val="Heading2"/>
      </w:pPr>
      <w:r>
        <w:t xml:space="preserve">Abweichungen (Experten)</w:t>
      </w:r>
    </w:p>
    <w:p>
      <w:pPr>
        <w:pStyle w:val="Heading3"/>
      </w:pPr>
      <w:r>
        <w:t xml:space="preserve">Wozu</w:t>
      </w:r>
    </w:p>
    <w:p>
      <w:r>
        <w:t xml:space="preserve">Die Seite listet alle Länder, bei denen Ist und Soll auseinanderliegen. Sie ist die Arbeitsliste für die Abstimmung vor der Freigabe.</w:t>
      </w:r>
    </w:p>
    <w:p>
      <w:pPr>
        <w:pStyle w:val="Heading3"/>
      </w:pPr>
      <w:r>
        <w:t xml:space="preserve">Was man sieht</w:t>
      </w:r>
    </w:p>
    <w:p>
      <w:r>
        <w:t xml:space="preserve">Status, Land, Währung, Ist, Soll, Differenz und Differenz in Prozent. Ohne Sollwerte oder ohne Abweichung erscheint der Hinweis „Keine Sollwerte oder keine Abweichungen für diese Filter".</w:t>
      </w:r>
    </w:p>
    <w:p>
      <w:pPr>
        <w:pStyle w:val="Heading3"/>
      </w:pPr>
      <w:r>
        <w:t xml:space="preserve">Wie gerechnet wird</w:t>
      </w:r>
    </w:p>
    <w:p>
      <w:r>
        <w:t xml:space="preserve">Differenz ist Ist minus Soll. Als Abweichung gilt, was eine Währungseinheit übersteigt. Das Prozentmass setzt die Differenz ins Verhältnis zum Soll.</w:t>
      </w:r>
    </w:p>
    <w:p>
      <w:pPr>
        <w:pStyle w:val="Heading3"/>
      </w:pPr>
      <w:r>
        <w:t xml:space="preserve">Einsatz im Arbeitsalltag</w:t>
      </w:r>
    </w:p>
    <w:p>
      <w:r>
        <w:rPr>
          <w:b/>
        </w:rPr>
        <w:t xml:space="preserve">Controller:</w:t>
      </w:r>
      <w:r>
        <w:t xml:space="preserve"> Jede Zeile fachlich klären: Ist der Sollwert veraltet, fehlt Importumfang, oder muss eine Finance-Regel angepasst werden? Die Management Entscheidungen übernehmen die grössten Zeilen dieser Liste.</w:t>
      </w:r>
    </w:p>
    <w:p>
      <w:pPr>
        <w:pStyle w:val="Heading3"/>
      </w:pPr>
      <w:r>
        <w:t xml:space="preserve">Grenzen und Fallstricke</w:t>
      </w:r>
    </w:p>
    <w:p>
      <w:r>
        <w:t xml:space="preserve">Die Toleranz von einer Währungseinheit gilt für alle Währungen gleich, obwohl eine Einheit bei Indischer Rupie etwas völlig anderes bedeutet als bei Schweizer Franken. Die Seite ist leer, wenn für das Jahr keine Sollwerte gepflegt sind.</w:t>
      </w:r>
    </w:p>
    <w:p>
      <w:pPr>
        <w:pStyle w:val="Heading2"/>
      </w:pPr>
      <w:r>
        <w:t xml:space="preserve">Gutschriften (Experten)</w:t>
      </w:r>
    </w:p>
    <w:p>
      <w:pPr>
        <w:pStyle w:val="Heading3"/>
      </w:pPr>
      <w:r>
        <w:t xml:space="preserve">Wozu</w:t>
      </w:r>
    </w:p>
    <w:p>
      <w:r>
        <w:t xml:space="preserve">Die Seite zeigt Rechnungen, die wie Gutschriften aussehen. Sie hilft zu prüfen, ob Rückerstattungen richtig negativ geführt werden und welche Belege ungewöhnlich sind.</w:t>
      </w:r>
    </w:p>
    <w:p>
      <w:pPr>
        <w:pStyle w:val="Heading3"/>
      </w:pPr>
      <w:r>
        <w:t xml:space="preserve">Was man sieht</w:t>
      </w:r>
    </w:p>
    <w:p>
      <w:r>
        <w:t xml:space="preserve">Land, TSC, Rechnungsnummer, Belegtyp, Wert, Menge und der Grund, warum die Zeile als Kandidat gilt.</w:t>
      </w:r>
    </w:p>
    <w:p>
      <w:pPr>
        <w:pStyle w:val="Heading3"/>
      </w:pPr>
      <w:r>
        <w:t xml:space="preserve">Wie gerechnet wird</w:t>
      </w:r>
    </w:p>
    <w:p>
      <w:r>
        <w:t xml:space="preserve">Kandidat ist eine Zeile mit negativem Wert, negativem Rohwert oder einem Belegtyp beziehungsweise einer Belegnummer, die nach Gutschrift aussieht. Die Zeilen werden je Rechnung zusammengefasst.</w:t>
      </w:r>
    </w:p>
    <w:p>
      <w:pPr>
        <w:pStyle w:val="Heading3"/>
      </w:pPr>
      <w:r>
        <w:t xml:space="preserve">Einsatz im Arbeitsalltag</w:t>
      </w:r>
    </w:p>
    <w:p>
      <w:r>
        <w:rPr>
          <w:b/>
        </w:rPr>
        <w:t xml:space="preserve">Controller:</w:t>
      </w:r>
      <w:r>
        <w:t xml:space="preserve"> Vor dem Abschluss die grössten Gutschriften prüfen und mit Debitorenbuchhaltung oder Verkauf abgleichen.</w:t>
      </w:r>
    </w:p>
    <w:p>
      <w:pPr>
        <w:pStyle w:val="Heading3"/>
      </w:pPr>
      <w:r>
        <w:t xml:space="preserve">Grenzen und Fallstricke</w:t>
      </w:r>
    </w:p>
    <w:p>
      <w:r>
        <w:t xml:space="preserve">Die Seite zeigt ausdrücklich technische Kandidaten und ersetzt keine landesspezifische fachliche Freigabe. Gutschriften mit Menge null sind ein bekannter offener Punkt der Fachabstimmung und verfälschen unter Umständen Mengen- und Preisanalysen.</w:t>
      </w:r>
    </w:p>
    <w:p>
      <w:pPr>
        <w:pStyle w:val="Heading2"/>
      </w:pPr>
      <w:r>
        <w:t xml:space="preserve">Datenqualität (Experten)</w:t>
      </w:r>
    </w:p>
    <w:p>
      <w:pPr>
        <w:pStyle w:val="Heading3"/>
      </w:pPr>
      <w:r>
        <w:t xml:space="preserve">Wozu</w:t>
      </w:r>
    </w:p>
    <w:p>
      <w:r>
        <w:t xml:space="preserve">Die Seite zählt, wie viele Zeilen wichtige Angaben vermissen. Sie zeigt, wo die Quelle nachgebessert werden muss, bevor eine Auswertung belastbar ist.</w:t>
      </w:r>
    </w:p>
    <w:p>
      <w:pPr>
        <w:pStyle w:val="Heading3"/>
      </w:pPr>
      <w:r>
        <w:t xml:space="preserve">Was man sieht</w:t>
      </w:r>
    </w:p>
    <w:p>
      <w:r>
        <w:t xml:space="preserve">Eine Tabelle mit Schweregrad, Prüfpunkt und Anzahl. Mögliche Prüfpunkte sind fehlende Materialnummer, fehlende Produktgruppe, fehlende Währung, fehlender Kunde, fehlendes Rechnungsdatum, fehlendes Buchungsdatum, Nullwerte im Finance-Wert und ausgeschlossene Zeilen. Es erscheinen nur Punkte mit mindestens einem Treffer.</w:t>
      </w:r>
    </w:p>
    <w:p>
      <w:pPr>
        <w:pStyle w:val="Heading3"/>
      </w:pPr>
      <w:r>
        <w:t xml:space="preserve">Wie gerechnet wird</w:t>
      </w:r>
    </w:p>
    <w:p>
      <w:r>
        <w:t xml:space="preserve">Jeder Prüfpunkt ist eine einfache Zählung über die Zeilen des Filters. „Nullwerte" und „Ausgeschlossene Zeilen" schliessen sich aus: Eine Zeile, die eine Regel ausgeschlossen hat, zählt nur bei den ausgeschlossenen. Sortiert wird nach Anzahl.</w:t>
      </w:r>
    </w:p>
    <w:p>
      <w:pPr>
        <w:pStyle w:val="Heading3"/>
      </w:pPr>
      <w:r>
        <w:t xml:space="preserve">Einsatz im Arbeitsalltag</w:t>
      </w:r>
    </w:p>
    <w:p>
      <w:r>
        <w:rPr>
          <w:b/>
        </w:rPr>
        <w:t xml:space="preserve">Datenverantwortliche und Keyuser:</w:t>
      </w:r>
      <w:r>
        <w:t xml:space="preserve"> Die Liste als Auftrag an die Standorte verwenden. Die sechs häufigsten Punkte erscheinen zusätzlich im Entscheidungsradar.</w:t>
      </w:r>
    </w:p>
    <w:p>
      <w:pPr>
        <w:pStyle w:val="Heading3"/>
      </w:pPr>
      <w:r>
        <w:t xml:space="preserve">Grenzen und Fallstricke</w:t>
      </w:r>
    </w:p>
    <w:p>
      <w:r>
        <w:t xml:space="preserve">Ein fehlendes Buchungsdatum ist in einzelnen Ländern normal, zum Beispiel in Spanien, wo das Rechnungsdatum führend ist. Die Anzahl allein sagt nichts über den betroffenen Umsatz.</w:t>
      </w:r>
    </w:p>
    <w:p>
      <w:pPr>
        <w:pStyle w:val="Heading2"/>
      </w:pPr>
      <w:r>
        <w:t xml:space="preserve">Finance Pivot (Experten)</w:t>
      </w:r>
    </w:p>
    <w:p>
      <w:pPr>
        <w:pStyle w:val="Heading3"/>
      </w:pPr>
      <w:r>
        <w:t xml:space="preserve">Wozu</w:t>
      </w:r>
    </w:p>
    <w:p>
      <w:r>
        <w:t xml:space="preserve">Der Finance Pivot bildet das Excel-Blatt „piv" von Andreas nach. Er zeigt den Umsatz in CHF nach Jahr, Monat und Standort und vergleicht einen gewählten Monat Tag für Tag über die Jahre. So lässt sich erkennen, ob ein Monat im Verlauf und im Vergleich zum Vorjahr normal aussieht.</w:t>
      </w:r>
    </w:p>
    <w:p>
      <w:pPr>
        <w:pStyle w:val="Heading3"/>
      </w:pPr>
      <w:r>
        <w:t xml:space="preserve">Was man sieht</w:t>
      </w:r>
    </w:p>
    <w:p>
      <w:r>
        <w:t xml:space="preserve">Filter für Jahr, MTD-Monat und TSC. Vier Kacheln: Jahresumsatz des gewählten Jahres, Monatsumsatz des gewählten Monats, Zahl der TSC-Spalten und die Zeilenbasis. Die Tabelle „Monate nach TSC" hat je Jahr und Monat eine Spalte pro Standort mit Gesamtergebnis. Die Tabelle „Tage im gewählten Monat" zeigt den Tagesumsatz je Jahr nebeneinander.</w:t>
      </w:r>
    </w:p>
    <w:p>
      <w:pPr>
        <w:pStyle w:val="Heading3"/>
      </w:pPr>
      <w:r>
        <w:t xml:space="preserve">Wie gerechnet wird</w:t>
      </w:r>
    </w:p>
    <w:p>
      <w:r>
        <w:t xml:space="preserve">Alle Beträge sind in CHF. Umgerechnet wird mit dem Budgetkurs des Finance-Jahres (Standard seit 7. Oktober 2026, Kursprofil in den Settings); 2025 also mit Budget 2025, 2026 mit Budget 2026. „Jahresumsatz" summiert alle Monate des Jahres, bei einem abgeschlossenen Jahr ist das der Jahreswert.</w:t>
      </w:r>
    </w:p>
    <w:p>
      <w:pPr>
        <w:pStyle w:val="Heading3"/>
      </w:pPr>
      <w:r>
        <w:t xml:space="preserve">Einsatz im Arbeitsalltag</w:t>
      </w:r>
    </w:p>
    <w:p>
      <w:r>
        <w:rPr>
          <w:b/>
        </w:rPr>
        <w:t xml:space="preserve">Controller:</w:t>
      </w:r>
      <w:r>
        <w:t xml:space="preserve"> Den Monatsabschluss gegen den gleichen Monat des Vorjahres und die Tage darin vergleichen. Lücken in einzelnen Tagen deuten auf Ladeprobleme hin.</w:t>
      </w:r>
    </w:p>
    <w:p>
      <w:r>
        <w:rPr>
          <w:b/>
        </w:rPr>
        <w:t xml:space="preserve">Geschäftsleitung:</w:t>
      </w:r>
      <w:r>
        <w:t xml:space="preserve"> Die Spalte je Standort zeigt, welche Gesellschaft den Monat trägt.</w:t>
      </w:r>
    </w:p>
    <w:p>
      <w:pPr>
        <w:pStyle w:val="Heading3"/>
      </w:pPr>
      <w:r>
        <w:t xml:space="preserve">Grenzen und Fallstricke</w:t>
      </w:r>
    </w:p>
    <w:p>
      <w:r>
        <w:t xml:space="preserve">Zeilen ohne CHF-Kurs für Jahr und Währung oder ohne TSC fehlen im Pivot. Eine Warnung nennt deren Anzahl, und die Zeilenbasis ist deshalb kleiner als die enthaltenen Zeilen der Finance Summary.</w:t>
      </w:r>
    </w:p>
    <w:p>
      <w:pPr>
        <w:pStyle w:val="Heading2"/>
      </w:pPr>
      <w:r>
        <w:t xml:space="preserve">Sparten-Finanzanalyse (Experten)</w:t>
      </w:r>
    </w:p>
    <w:p>
      <w:pPr>
        <w:pStyle w:val="Heading3"/>
      </w:pPr>
      <w:r>
        <w:t xml:space="preserve">Wozu</w:t>
      </w:r>
    </w:p>
    <w:p>
      <w:r>
        <w:t xml:space="preserve">Die Sparten-Finanzanalyse zeigt den Umsatz nach Produktsparte und beantwortet, welcher Anteil des Umsatzes einer Sparte zugeordnet werden kann. Sie ist die Grundlage für jede Aussage wie „Sparte X macht 20 Prozent des Umsatzes".</w:t>
      </w:r>
    </w:p>
    <w:p>
      <w:pPr>
        <w:pStyle w:val="Heading3"/>
      </w:pPr>
      <w:r>
        <w:t xml:space="preserve">Was man sieht</w:t>
      </w:r>
    </w:p>
    <w:p>
      <w:r>
        <w:t xml:space="preserve">Kacheln für Gesamtumsatz, zugeordneten Umsatz, Übrige, nicht zugeordnet und „Nicht im Stamm", jeweils mit Prozentwert. Die Tabelle „Umsatz nach Produktsparte" lässt sich nach Sparte, Produktfamilie oder Hierarchie gruppieren und auf die zehn grössten Zeilen beschränken. „Grösste Treiber: Nicht im Stamm" nennt die Materialien mit dem grössten Umsatz ohne Stammeintrag. „Umsatzabdeckung nach Land" zeigt je Land die Anteile und die Abdeckung.</w:t>
      </w:r>
    </w:p>
    <w:p>
      <w:pPr>
        <w:pStyle w:val="Heading3"/>
      </w:pPr>
      <w:r>
        <w:t xml:space="preserve">Wie gerechnet wird</w:t>
      </w:r>
    </w:p>
    <w:p>
      <w:r>
        <w:t xml:space="preserve">Jede Verkaufszeile wird über die Materialnummer gegen die führende Referenz der Trafag AG geprüft. Die Spartenangaben der lokalen Systeme werden nicht verwendet. Daraus entstehen fünf Zustände: zugeordnet, Übrige (eine gültige Sammelsparte), nicht zugeordnet (Material bekannt, aber ohne Sparte), nicht im Stamm (Material in der Referenz unbekannt) und Material fehlt (Zeile ohne Materialnummer). Die Abdeckung ist der Anteil von „zugeordnet" plus „Übrige" am Gesamtumsatz.</w:t>
      </w:r>
    </w:p>
    <w:p>
      <w:pPr>
        <w:pStyle w:val="Heading3"/>
      </w:pPr>
      <w:r>
        <w:t xml:space="preserve">Einsatz im Arbeitsalltag</w:t>
      </w:r>
    </w:p>
    <w:p>
      <w:r>
        <w:rPr>
          <w:b/>
        </w:rPr>
        <w:t xml:space="preserve">Controller:</w:t>
      </w:r>
      <w:r>
        <w:t xml:space="preserve"> Die Abdeckung je Land prüfen, bevor Spartenzahlen weitergegeben werden. Ab fünf Prozent ungeklärtem Umsatz erscheint ein Hinweis im Entscheidungsradar.</w:t>
      </w:r>
    </w:p>
    <w:p>
      <w:r>
        <w:rPr>
          <w:b/>
        </w:rPr>
        <w:t xml:space="preserve">Produktmanagement und Einkauf:</w:t>
      </w:r>
      <w:r>
        <w:t xml:space="preserve"> Die Treiberliste „Nicht im Stamm" abarbeiten, um Stammdaten zu ergänzen.</w:t>
      </w:r>
    </w:p>
    <w:p>
      <w:pPr>
        <w:pStyle w:val="Heading3"/>
      </w:pPr>
      <w:r>
        <w:t xml:space="preserve">Grenzen und Fallstricke</w:t>
      </w:r>
    </w:p>
    <w:p>
      <w:r>
        <w:t xml:space="preserve">Bei mehreren Währungen im Filter sind Prozentwerte unzuverlässig, die Seite warnt dann. Die deutschen Artikelnummern sind keine SAP-Materialnummern, deshalb ist die Spartenzuordnung für Deutschland unsicher.</w:t>
      </w:r>
    </w:p>
    <w:p>
      <w:pPr>
        <w:pStyle w:val="Heading2"/>
      </w:pPr>
      <w:r>
        <w:t xml:space="preserve">Zentrale Spartenzuordnung (Experten)</w:t>
      </w:r>
    </w:p>
    <w:p>
      <w:pPr>
        <w:pStyle w:val="Heading3"/>
      </w:pPr>
      <w:r>
        <w:t xml:space="preserve">Wozu</w:t>
      </w:r>
    </w:p>
    <w:p>
      <w:r>
        <w:t xml:space="preserve">Die zentrale Spartenzuordnung prüft nicht den Umsatz, sondern die Materialnummern selbst: Welche Materialien der Länder lassen sich der Trafag-AG-Referenz zuordnen? Sie ist die Arbeitsgrundlage für die Stammdatenpflege.</w:t>
      </w:r>
    </w:p>
    <w:p>
      <w:pPr>
        <w:pStyle w:val="Heading3"/>
      </w:pPr>
      <w:r>
        <w:t xml:space="preserve">Was man sieht</w:t>
      </w:r>
    </w:p>
    <w:p>
      <w:r>
        <w:t xml:space="preserve">Kacheln für Prüfzeilen, zugeordnet, Übrige, nicht zugeordnet, nicht im Stamm, Material fehlt und den Umfang der TR-AG-Referenz. Die Tabelle „Abdeckung nach Land" zeigt die Trefferquote je Land. Die Tabelle „Materialprüfung gegen TR-AG-Referenz" listet je Material Status, Land-Material und Text, die gefundene TR-AG-Nummer, Hierarchie, Produktfamilie, Sparte, Zeilen und Finance-Wert.</w:t>
      </w:r>
    </w:p>
    <w:p>
      <w:pPr>
        <w:pStyle w:val="Heading3"/>
      </w:pPr>
      <w:r>
        <w:t xml:space="preserve">Wie gerechnet wird</w:t>
      </w:r>
    </w:p>
    <w:p>
      <w:r>
        <w:t xml:space="preserve">Eine Prüfzeile ist ein Material an einem Standort; dasselbe Material aus drei Ländern ergibt drei Zeilen, damit die Statuskacheln aufsummiert den Gesamtwert ergeben. Die Trefferquote ist der Anteil der zugeordneten und der Sammelsparten-Materialien.</w:t>
      </w:r>
    </w:p>
    <w:p>
      <w:pPr>
        <w:pStyle w:val="Heading3"/>
      </w:pPr>
      <w:r>
        <w:t xml:space="preserve">Einsatz im Arbeitsalltag</w:t>
      </w:r>
    </w:p>
    <w:p>
      <w:r>
        <w:rPr>
          <w:b/>
        </w:rPr>
        <w:t xml:space="preserve">Product Management:</w:t>
      </w:r>
      <w:r>
        <w:t xml:space="preserve"> Die Liste „Nicht im Stamm" sortiert nach Finance-Wert zeigt, welche Materialien zuerst in die Referenz aufgenommen werden sollten.</w:t>
      </w:r>
    </w:p>
    <w:p>
      <w:pPr>
        <w:pStyle w:val="Heading3"/>
      </w:pPr>
      <w:r>
        <w:t xml:space="preserve">Grenzen und Fallstricke</w:t>
      </w:r>
    </w:p>
    <w:p>
      <w:r>
        <w:t xml:space="preserve">Die Referenz der Trafag AG gilt als führend. Ein Material, das nur lokal existiert, erscheint immer als „Nicht im Stamm", auch wenn es fachlich korrekt ist.</w:t>
      </w:r>
    </w:p>
    <w:p>
      <w:pPr>
        <w:pStyle w:val="Heading2"/>
      </w:pPr>
      <w:r>
        <w:t xml:space="preserve">Finance Prüfbuch (Experten)</w:t>
      </w:r>
    </w:p>
    <w:p>
      <w:pPr>
        <w:pStyle w:val="Heading3"/>
      </w:pPr>
      <w:r>
        <w:t xml:space="preserve">Wozu</w:t>
      </w:r>
    </w:p>
    <w:p>
      <w:r>
        <w:t xml:space="preserve">Das Prüfbuch ist bewusst keine Zusammenfassung. Es zeigt die einzelnen Rechnungszeilen mit Originalbetrag, Kurs, CHF-Betrag, Lieferant, Standardkosten, Kostenbasis und Marge. Es ist das Werkzeug für die Nachrechnung einer einzelnen Zahl.</w:t>
      </w:r>
    </w:p>
    <w:p>
      <w:pPr>
        <w:pStyle w:val="Heading3"/>
      </w:pPr>
      <w:r>
        <w:t xml:space="preserve">Was man sieht</w:t>
      </w:r>
    </w:p>
    <w:p>
      <w:r>
        <w:t xml:space="preserve">Eine breite Tabelle mit Status, Land, TSC, Jahr, Rechnung, Position, Kunde, Material, Originalbetrag, Originalwährung, Kurs nach CHF, Betrag CHF, Kursquelle, Lieferant, Typ, Standardkosten, Kostenbasis CHF, Marge CHF und Datenquelle. Jede Spalte hat einen Filter und lässt sich sortieren.</w:t>
      </w:r>
    </w:p>
    <w:p>
      <w:pPr>
        <w:pStyle w:val="Heading3"/>
      </w:pPr>
      <w:r>
        <w:t xml:space="preserve">Wie gerechnet wird</w:t>
      </w:r>
    </w:p>
    <w:p>
      <w:r>
        <w:t xml:space="preserve">Der Betrag CHF ist der Originalbetrag mal Kurs. Die Kostenbasis ergibt sich aus der Menge mal den Standardkosten der zuständigen Quelle, die Marge aus Betrag minus Kostenbasis. Der Status folgt denselben Werten wie die Gruppenmarge: OK, Standardpreis fehlt, Lieferant unklar, Konzernkosten fehlen, Kostenwährung abweichend, Umsatz fehlt oder Kurs fehlt.</w:t>
      </w:r>
    </w:p>
    <w:p>
      <w:pPr>
        <w:pStyle w:val="Heading3"/>
      </w:pPr>
      <w:r>
        <w:t xml:space="preserve">Einsatz im Arbeitsalltag</w:t>
      </w:r>
    </w:p>
    <w:p>
      <w:r>
        <w:rPr>
          <w:b/>
        </w:rPr>
        <w:t xml:space="preserve">Revisor:</w:t>
      </w:r>
      <w:r>
        <w:t xml:space="preserve"> Einzelne Belege herausgreifen und Kurs, Kostenbasis und Marge nachrechnen.</w:t>
      </w:r>
    </w:p>
    <w:p>
      <w:r>
        <w:rPr>
          <w:b/>
        </w:rPr>
        <w:t xml:space="preserve">Controller:</w:t>
      </w:r>
      <w:r>
        <w:t xml:space="preserve"> Bei einer auffälligen Länder- oder Spartenmarge hier die Zeilen mit den Status „offen" suchen.</w:t>
      </w:r>
    </w:p>
    <w:p>
      <w:pPr>
        <w:pStyle w:val="Heading3"/>
      </w:pPr>
      <w:r>
        <w:t xml:space="preserve">Grenzen und Fallstricke</w:t>
      </w:r>
    </w:p>
    <w:p>
      <w:r>
        <w:t xml:space="preserve">Gezeigt werden höchstens 1'000 Zeilen, die Kappung wirkt vor den Spaltenfiltern, und der Excel-Export enthält dieselben Zeilen. Vollständig ist nur das Nachweis-Excel der zentralen Datei. Das Prüfbuch rechnet CHF nach dem Kursprofil der Settings, während der Schalter „Group-Währung (CHF)" die Cockpit-Summen anders umrechnet. Die CHF-Margen können deshalb abweichen. Dieser Punkt ist offen.</w:t>
      </w:r>
    </w:p>
    <w:p>
      <w:pPr>
        <w:pStyle w:val="Heading2"/>
      </w:pPr>
      <w:r>
        <w:t xml:space="preserve">Gruppenmarge (Experten)</w:t>
      </w:r>
    </w:p>
    <w:p>
      <w:pPr>
        <w:pStyle w:val="Heading3"/>
      </w:pPr>
      <w:r>
        <w:t xml:space="preserve">Wozu</w:t>
      </w:r>
    </w:p>
    <w:p>
      <w:r>
        <w:t xml:space="preserve">Die Gruppenmarge zeigt, was vom Umsatz nach Abzug der Standardkosten übrig bleibt, über alle Gesellschaften hinweg. Wichtig ist der Konzernblick: Wenn eine Gesellschaft Ware von der Trafag AG bezieht, zählen die Konzernkosten und nicht der interne Verrechnungspreis.</w:t>
      </w:r>
    </w:p>
    <w:p>
      <w:pPr>
        <w:pStyle w:val="Heading3"/>
      </w:pPr>
      <w:r>
        <w:t xml:space="preserve">Was man sieht</w:t>
      </w:r>
    </w:p>
    <w:p>
      <w:r>
        <w:t xml:space="preserve">Sieben Kacheln: Umsatz, bekannte Kostenbasis, Gruppenmarge in Betrag und Prozent, interne Zeilen (mit lokal und extern), fehlende Kosten (mit „Lieferant unklar"), saubere Kostenbasis in Prozent und Deckungsbeitrag. Es folgen die Tabellen „Gruppenmarge nach Land" und „nach Land und Sparte" sowie die „Detailprüfung Kostenbasis" mit Status, Lieferant, Kostenquelle, Umsatz, Kostenbasis und Marge je Zeile.</w:t>
      </w:r>
    </w:p>
    <w:p>
      <w:pPr>
        <w:pStyle w:val="Heading3"/>
      </w:pPr>
      <w:r>
        <w:t xml:space="preserve">Wie gerechnet wird</w:t>
      </w:r>
    </w:p>
    <w:p>
      <w:r>
        <w:t xml:space="preserve">Marge = Umsatz minus Kostenbasis, Marge in Prozent = Marge geteilt durch Umsatz. Die Kostenbasis ist Menge mal Standardkosten, gewählt in dieser Reihenfolge: Für Ware der Trafag AG die Konzern-Standardkosten aus SAP in CHF, für Ware der italienischen und indischen Gesellschaft deren Kosten aus den Belegen, für externe Lieferanten der lokale Standardpreis. Eine Zeile mit Sales Type „LRD" ohne Konzernkosten bleibt offen, weil der lokale Preis dort der interne Einkaufspreis wäre. Fehlende Werte werden markiert und nie geschätzt. Fehlt die Kostenbasis, steht die Marge auf „-". Weicht die Kostenwährung ab, wird zum aktuellen Tageskurs umgerechnet, solange der Schalter in den Settings auf „umrechnen" steht. Der Deckungsbeitrag ist vorbereitet, aber leer, weil keine Quelle fixe und variable Kosten trennt.</w:t>
      </w:r>
    </w:p>
    <w:p>
      <w:pPr>
        <w:pStyle w:val="Heading3"/>
      </w:pPr>
      <w:r>
        <w:t xml:space="preserve">Einsatz im Arbeitsalltag</w:t>
      </w:r>
    </w:p>
    <w:p>
      <w:r>
        <w:rPr>
          <w:b/>
        </w:rPr>
        <w:t xml:space="preserve">Controller:</w:t>
      </w:r>
      <w:r>
        <w:t xml:space="preserve"> Zuerst die Kachel „Saubere Kostenbasis" ansehen: Nur wenn sie hoch ist, ist die Marge belastbar. Danach über die Detailprüfung die offenen Zeilen nach Material und Lieferant abarbeiten.</w:t>
      </w:r>
    </w:p>
    <w:p>
      <w:r>
        <w:rPr>
          <w:b/>
        </w:rPr>
        <w:t xml:space="preserve">Einkäufer:</w:t>
      </w:r>
      <w:r>
        <w:t xml:space="preserve"> Die Lieferantenklassifikation (intern, lokal, extern) mit Finance klären, wenn viele Zeilen „Lieferant unklar" sind.</w:t>
      </w:r>
    </w:p>
    <w:p>
      <w:r>
        <w:rPr>
          <w:b/>
        </w:rPr>
        <w:t xml:space="preserve">Geschäftsleitung:</w:t>
      </w:r>
      <w:r>
        <w:t xml:space="preserve"> Die Marge nach Land und Sparte als Orientierung verwenden, nicht als Abschlusswert.</w:t>
      </w:r>
    </w:p>
    <w:p>
      <w:pPr>
        <w:pStyle w:val="Heading3"/>
      </w:pPr>
      <w:r>
        <w:t xml:space="preserve">Grenzen und Fallstricke</w:t>
      </w:r>
    </w:p>
    <w:p>
      <w:r>
        <w:t xml:space="preserve">Die Gruppenmarge ist bis zur Fachfreigabe eine Prüfsicht und nicht der führende Abschlusswert. Die Detailtabelle zeigt höchstens 1'000 Zeilen, die Kacheln rechnen aber über den ganzen Filter. Bei Italien liegen die Kosten von Ware mit Trafag-Sachnummer über dem Schweizer Standardpreis, weil sie einen Verrechnungspreis enthalten; das ist so entschieden. Die Kostenkaskade endet nach der ersten internen Stufe.</w:t>
      </w:r>
    </w:p>
    <w:p>
      <w:pPr>
        <w:pStyle w:val="Heading2"/>
      </w:pPr>
      <w:r>
        <w:t xml:space="preserve">3D Datenanalyse (Experten)</w:t>
      </w:r>
    </w:p>
    <w:p>
      <w:pPr>
        <w:pStyle w:val="Heading3"/>
      </w:pPr>
      <w:r>
        <w:t xml:space="preserve">Wozu</w:t>
      </w:r>
    </w:p>
    <w:p>
      <w:r>
        <w:t xml:space="preserve">Die 3D-Ansicht stellt die Länderzahlen als drehbares Diagramm dar. Sie dient der Präsentation und dem schnellen Erkennen von Ausreissern, nicht der exakten Auswertung.</w:t>
      </w:r>
    </w:p>
    <w:p>
      <w:pPr>
        <w:pStyle w:val="Heading3"/>
      </w:pPr>
      <w:r>
        <w:t xml:space="preserve">Was man sieht</w:t>
      </w:r>
    </w:p>
    <w:p>
      <w:r>
        <w:t xml:space="preserve">Auswahlfelder für den Indikator (zum Beispiel Ist-Umsatz mit und ohne IC, Intercompany-Wert und -Anteil, Menge, Gutschriften, Zeilenzahlen, Include- und Exclude-Quote, Sollwert) und die Grafikart (Balken, Linie, Fläche, Kreis, Sparten-Kreis je Land). Ein Schieberegler „Szenario-Faktor" von 0.5 bis 1.5 mit Knöpfen für minus und plus 10 Prozent, einer für die Beschriftungsgrösse und die 3D-Fläche selbst. Mit der linken Maustaste dreht man, mit dem Mausrad zoomt man, mit Shift und Ziehen oder der rechten Taste verschiebt man.</w:t>
      </w:r>
    </w:p>
    <w:p>
      <w:pPr>
        <w:pStyle w:val="Heading3"/>
      </w:pPr>
      <w:r>
        <w:t xml:space="preserve">Wie gerechnet wird</w:t>
      </w:r>
    </w:p>
    <w:p>
      <w:r>
        <w:t xml:space="preserve">Die Werte stammen aus den Länder- und Jahressummen des Finance-Filters. Der Szenario-Faktor multipliziert die Werte für eine Was-wäre-wenn-Betrachtung, zum Beispiel einer Kursänderung, und zeigt Basis, Szenario und Delta. Auf Zeilenzahlen wirkt er nicht.</w:t>
      </w:r>
    </w:p>
    <w:p>
      <w:pPr>
        <w:pStyle w:val="Heading3"/>
      </w:pPr>
      <w:r>
        <w:t xml:space="preserve">Einsatz im Arbeitsalltag</w:t>
      </w:r>
    </w:p>
    <w:p>
      <w:r>
        <w:rPr>
          <w:b/>
        </w:rPr>
        <w:t xml:space="preserve">Geschäftsleitung:</w:t>
      </w:r>
      <w:r>
        <w:t xml:space="preserve"> In Besprechungen den Länderanteil als Kreis zeigen und mit dem Faktor die Wirkung von minus zehn Prozent eines Kurses oder Marktes veranschaulichen.</w:t>
      </w:r>
    </w:p>
    <w:p>
      <w:r>
        <w:rPr>
          <w:b/>
        </w:rPr>
        <w:t xml:space="preserve">Controller:</w:t>
      </w:r>
      <w:r>
        <w:t xml:space="preserve"> Zur Vorbereitung eher die Tabellen verwenden, die 3D-Sicht bietet keine Einzelwerte.</w:t>
      </w:r>
    </w:p>
    <w:p>
      <w:pPr>
        <w:pStyle w:val="Heading3"/>
      </w:pPr>
      <w:r>
        <w:t xml:space="preserve">Grenzen und Fallstricke</w:t>
      </w:r>
    </w:p>
    <w:p>
      <w:r>
        <w:t xml:space="preserve">Der Faktor ist eine einfache Skalierung ohne Modell und keine Prognose. Eine Betrachtung über mehrere Währungen hat dieselben Einschränkungen wie die übrigen Summen.</w:t>
      </w:r>
    </w:p>
    <w:p>
      <w:pPr>
        <w:pStyle w:val="Heading2"/>
      </w:pPr>
      <w:r>
        <w:t xml:space="preserve">Rohdaten Diagnose (Experten)</w:t>
      </w:r>
    </w:p>
    <w:p>
      <w:pPr>
        <w:pStyle w:val="Heading3"/>
      </w:pPr>
      <w:r>
        <w:t xml:space="preserve">Wozu</w:t>
      </w:r>
    </w:p>
    <w:p>
      <w:r>
        <w:t xml:space="preserve">Diese Seite ist eine technische Plausibilitätssicht auf die Rohdaten. Sie beantwortet, ob die Zahlen vor jeder fachlichen Regel überhaupt zusammenpassen. Für den verbindlichen Abgleich ist sie ausdrücklich nicht gedacht.</w:t>
      </w:r>
    </w:p>
    <w:p>
      <w:pPr>
        <w:pStyle w:val="Heading3"/>
      </w:pPr>
      <w:r>
        <w:t xml:space="preserve">Was man sieht</w:t>
      </w:r>
    </w:p>
    <w:p>
      <w:r>
        <w:t xml:space="preserve">Zwei Blöcke. Oben kann eine vorhandene Excel-Datei gewählt, ein Summenfeld und eine Anzeigewährung bestimmt und ein „Cockpit" daraus erzeugt werden, mit Management-Aussagen, Top-Kunden, Top-Produktgruppen, Top-Sales-Ownern und Datenqualitätszählern. Darunter steht die „Zentrale Roh-Auswertung" auf der konfigurierten zentralen Datenquelle mit Filtern für Jahr, Land, TSC und Monat, einem Hauptsummenfeld, weiteren Summenfeldern und einer Anzeigewährung. Ergebnis sind Kacheln, Jahres-, Monats- und Tageswerte, Werte nach Quelle und nach Land sowie der Hinweis, wie viele Zeilen mangels Kurs nicht umgerechnet wurden.</w:t>
      </w:r>
    </w:p>
    <w:p>
      <w:pPr>
        <w:pStyle w:val="Heading3"/>
      </w:pPr>
      <w:r>
        <w:t xml:space="preserve">Wie gerechnet wird</w:t>
      </w:r>
    </w:p>
    <w:p>
      <w:r>
        <w:t xml:space="preserve">Je Zeile wird der Quellwert mit dem Kurs zum Belegdatum in die Anzeigewährung umgerechnet. Wo kein Kurs vorhanden ist, bleibt die Zeile ohne Umrechnung und wird gezählt. Intercompany, Budget und Spartenlogik sind nicht enthalten.</w:t>
      </w:r>
    </w:p>
    <w:p>
      <w:pPr>
        <w:pStyle w:val="Heading3"/>
      </w:pPr>
      <w:r>
        <w:t xml:space="preserve">Einsatz im Arbeitsalltag</w:t>
      </w:r>
    </w:p>
    <w:p>
      <w:r>
        <w:rPr>
          <w:b/>
        </w:rPr>
        <w:t xml:space="preserve">Finance-Keyuser:</w:t>
      </w:r>
      <w:r>
        <w:t xml:space="preserve"> Nach einem Import die Summen je Monat und Tag ansehen und mit der Quelle vergleichen.</w:t>
      </w:r>
    </w:p>
    <w:p>
      <w:r>
        <w:rPr>
          <w:b/>
        </w:rPr>
        <w:t xml:space="preserve">Controller:</w:t>
      </w:r>
      <w:r>
        <w:t xml:space="preserve"> Mit zwei Summenfeldern nebeneinander prüfen, ob zum Beispiel Netto- und Bruttowerte plausibel auseinanderliegen.</w:t>
      </w:r>
    </w:p>
    <w:p>
      <w:pPr>
        <w:pStyle w:val="Heading3"/>
      </w:pPr>
      <w:r>
        <w:t xml:space="preserve">Grenzen und Fallstricke</w:t>
      </w:r>
    </w:p>
    <w:p>
      <w:r>
        <w:t xml:space="preserve">Die Ergebnisse dürfen nicht für die Finance-Freigabe verwendet werden. Dafür gelten Soll/Ist Vergleich oder die Finance-Spalten im Excel.</w:t>
      </w:r>
    </w:p>
    <w:p>
      <w:pPr>
        <w:pStyle w:val="Heading2"/>
      </w:pPr>
      <w:r>
        <w:t xml:space="preserve">Daten-Heartbeat (Experten)</w:t>
      </w:r>
    </w:p>
    <w:p>
      <w:pPr>
        <w:pStyle w:val="Heading3"/>
      </w:pPr>
      <w:r>
        <w:t xml:space="preserve">Wozu</w:t>
      </w:r>
    </w:p>
    <w:p>
      <w:r>
        <w:t xml:space="preserve">Der Daten-Heartbeat zeigt je Standort Tag für Tag, ob Buchungen eingegangen sind und ob der Exportlauf stattgefunden hat. Er macht das Ausbleiben von Daten sichtbar, bevor es in den Zahlen auffällt.</w:t>
      </w:r>
    </w:p>
    <w:p>
      <w:pPr>
        <w:pStyle w:val="Heading3"/>
      </w:pPr>
      <w:r>
        <w:t xml:space="preserve">Was man sieht</w:t>
      </w:r>
    </w:p>
    <w:p>
      <w:r>
        <w:t xml:space="preserve">Je Standort eine Karte mit Ampelkennzeichen („OK", „Warn" oder „n Lücken"), dem letzten Update und dem letzten erfolgreichen Export. Das Diagramm zeigt die Zahl der Zeilen je Tag als Linie, bei eingeschaltetem „7-Tage-Summe" die gleitende Wochensumme. Unter der Linie stehen zwei Streifen: oben der Buchungsstatus je Tag, unten der Exportlauf je Tag (grün OK, rot Fehler, orange kein Lauf, hellgrau vor dem ersten Log). Wählbar ist das Fenster von 30, 60, 90 Tagen oder das laufende Jahr.</w:t>
      </w:r>
    </w:p>
    <w:p>
      <w:pPr>
        <w:pStyle w:val="Heading3"/>
      </w:pPr>
      <w:r>
        <w:t xml:space="preserve">Wie gerechnet wird</w:t>
      </w:r>
    </w:p>
    <w:p>
      <w:r>
        <w:t xml:space="preserve">Ein Tag mit Buchungen ist OK. Ein Tag ohne Buchungen ist am Wochenende neutral. Unter der Woche wird er zur Lücke, wenn er nach dem letzten Datentag liegt und das letzte Update des Standorts mehr als zwei Tage zurückliegt. Er wird zur Warnung, wenn nach dem letzten Datentag für den Standort überhaupt kein Update-Zeitpunkt bekannt ist. Alle übrigen Tage ohne Buchungen gelten als neutral, damit gewöhnliche Feiertage oder ruhige Tage keinen Alarm auslösen. Der Gesamtstatus eines Standorts ist „Lücken", sobald ein Tag eine Lücke ist, sonst „Warn", sobald ein Tag eine Warnung ist. Der Exportstatus vergleicht je Tag die Protokolle der Läufe.</w:t>
      </w:r>
    </w:p>
    <w:p>
      <w:pPr>
        <w:pStyle w:val="Heading3"/>
      </w:pPr>
      <w:r>
        <w:t xml:space="preserve">Einsatz im Arbeitsalltag</w:t>
      </w:r>
    </w:p>
    <w:p>
      <w:r>
        <w:rPr>
          <w:b/>
        </w:rPr>
        <w:t xml:space="preserve">Finance-Keyuser:</w:t>
      </w:r>
      <w:r>
        <w:t xml:space="preserve"> Jeden Morgen kurz ansehen: Rote Streifen unten bedeuten fehlgeschlagene Exporte, orange Streifen fehlende Läufe.</w:t>
      </w:r>
    </w:p>
    <w:p>
      <w:r>
        <w:rPr>
          <w:b/>
        </w:rPr>
        <w:t xml:space="preserve">Controller:</w:t>
      </w:r>
      <w:r>
        <w:t xml:space="preserve"> Vor dem Monatsabschluss sicherstellen, dass kein Land am Monatsende eine Lücke hat.</w:t>
      </w:r>
    </w:p>
    <w:p>
      <w:pPr>
        <w:pStyle w:val="Heading3"/>
      </w:pPr>
      <w:r>
        <w:t xml:space="preserve">Grenzen und Fallstricke</w:t>
      </w:r>
    </w:p>
    <w:p>
      <w:r>
        <w:t xml:space="preserve">Der Heartbeat prüft nur die Verkaufsstrecke; der Journal-Import wird bewusst nicht erfasst. Ein ruhiger Tag lässt sich vom Ausfall nicht trennen, solange das letzte Update jünger als zwei Tage ist. Vor dem ersten Eintrag im Export-Log ist der Exportstatus „unbekannt".</w:t>
      </w:r>
    </w:p>
    <w:p>
      <w:pPr>
        <w:pStyle w:val="Heading2"/>
      </w:pPr>
      <w:r>
        <w:t xml:space="preserve">Soll/Ist Vergleich</w:t>
      </w:r>
    </w:p>
    <w:p>
      <w:pPr>
        <w:pStyle w:val="Heading3"/>
      </w:pPr>
      <w:r>
        <w:t xml:space="preserve">Wozu</w:t>
      </w:r>
    </w:p>
    <w:p>
      <w:r>
        <w:t xml:space="preserve">Der Soll/Ist Vergleich prüft die Net Sales Actuals der Länder gegen die gepflegten Referenzwerte und ist die Grundlage der Finance-Freigabe. Er beantwortet: Stimmt der Umsatz, den die Anwendung zeigt, mit dem Wert überein, den Finance als richtig kennt?</w:t>
      </w:r>
    </w:p>
    <w:p>
      <w:pPr>
        <w:pStyle w:val="Heading3"/>
      </w:pPr>
      <w:r>
        <w:t xml:space="preserve">Was man sieht</w:t>
      </w:r>
    </w:p>
    <w:p>
      <w:r>
        <w:t xml:space="preserve">Oben stehen die Jahresauswahl (angeboten werden nur Jahre mit gepflegten Sollwerten), der Schalter „Ohne Ist" und die Schaltfläche „Aktualisieren". Die Tabelle zeigt je Land die Ampel, Ist, Referenz, Differenz, Währung, die Berechnung (welches Summenfeld verwendet wurde, mit Hinweis zur Länderregel) und die Zeilenzahl. Unter „Varianten" lassen sich je Land alternative Abgrenzungen aufklappen, mit Wert, Differenz, Intercompany-Anteil und Differenz ohne IC. Die bevorzugte Variante ist hervorgehoben.</w:t>
      </w:r>
    </w:p>
    <w:p>
      <w:pPr>
        <w:pStyle w:val="Heading3"/>
      </w:pPr>
      <w:r>
        <w:t xml:space="preserve">Wie gerechnet wird</w:t>
      </w:r>
    </w:p>
    <w:p>
      <w:r>
        <w:t xml:space="preserve">Ist ist die Summe der Nettobeträge nach den Länderregeln für das Jahr. Das Jahr bestimmt das Buchungsdatum, sonst das Rechnungsdatum, sonst das Extraktionsdatum. Belegkopfwerte zählen je Beleg nur einmal. Differenz ist Ist minus Referenz. Die Ampel ist grün (OK), wenn die Differenz höchstens eine Währungseinheit beträgt, sonst gelb (Prüfen). Ohne berechenbare Differenz steht „Keine Daten". Länderspezifisch gilt zum Beispiel für Grossbritannien Sage-Netto in GBP mit negativen Gutschriften, für Italien der Ausschluss von Trafag Italia, für Deutschland der Ausschluss von Weiterberechnungen.</w:t>
      </w:r>
    </w:p>
    <w:p>
      <w:pPr>
        <w:pStyle w:val="Heading3"/>
      </w:pPr>
      <w:r>
        <w:t xml:space="preserve">Einsatz im Arbeitsalltag</w:t>
      </w:r>
    </w:p>
    <w:p>
      <w:r>
        <w:rPr>
          <w:b/>
        </w:rPr>
        <w:t xml:space="preserve">Finance-Leitung:</w:t>
      </w:r>
      <w:r>
        <w:t xml:space="preserve"> Die Abweichungen je Land bewerten und freigeben oder zurückgeben. Ziel ist ein Zustand, in dem Finance Summary, Finance Details und Soll/Ist zusammen plausibel sind.</w:t>
      </w:r>
    </w:p>
    <w:p>
      <w:r>
        <w:rPr>
          <w:b/>
        </w:rPr>
        <w:t xml:space="preserve">Controller:</w:t>
      </w:r>
      <w:r>
        <w:t xml:space="preserve"> Bei einer Abweichung die Varianten öffnen und prüfen, welche Abgrenzung das Soll trifft.</w:t>
      </w:r>
    </w:p>
    <w:p>
      <w:pPr>
        <w:pStyle w:val="Heading3"/>
      </w:pPr>
      <w:r>
        <w:t xml:space="preserve">Grenzen und Fallstricke</w:t>
      </w:r>
    </w:p>
    <w:p>
      <w:r>
        <w:t xml:space="preserve">Sollwerte sind nur für einzelne Jahre vorhanden, für die Schweiz fehlen sie nach letztem Stand. Die Ampel kennt die Fälle ohne Sollwert nicht gesondert: Solche Länder erscheinen unter „Keine Daten". Die Toleranz von einer Einheit gilt für alle Währungen gleich.</w:t>
      </w:r>
    </w:p>
    <w:p>
      <w:pPr>
        <w:pStyle w:val="Heading2"/>
      </w:pPr>
      <w:r>
        <w:t xml:space="preserve">Controlling</w:t>
      </w:r>
    </w:p>
    <w:p>
      <w:pPr>
        <w:pStyle w:val="Heading3"/>
      </w:pPr>
      <w:r>
        <w:t xml:space="preserve">Wozu</w:t>
      </w:r>
    </w:p>
    <w:p>
      <w:r>
        <w:t xml:space="preserve">Das Controlling beantwortet zwei Fragen: Woher kommt die Umsatzveränderung gegenüber dem Vorjahr, und wo landen wir dieses Jahr? Der Reiter wurde aus Eigeninitiative aufgebaut, nicht im Auftrag einer Fachabteilung. Er ersetzt weder Budget noch klassische Erfolgsrechnung.</w:t>
      </w:r>
    </w:p>
    <w:p>
      <w:pPr>
        <w:pStyle w:val="Heading3"/>
      </w:pPr>
      <w:r>
        <w:t xml:space="preserve">Was man sieht</w:t>
      </w:r>
    </w:p>
    <w:p>
      <w:r>
        <w:t xml:space="preserve">Vier Kennzahlen oben: Veränderung in CHF für den aktuellen gegen den Vorjahreszeitraum, Hochrechnung des Jahres, Ist des Vorjahres und die Hochrechnung gegen das Vorjahr in Prozent. Dann die „Umsatzbrücke gegen Vorjahr" als Wasserfall: links der Vorjahresumsatz, dann die Wirkungen Menge, Mix, Preis, neue Artikel, weggefallene Artikel, Währung und Übrige, rechts der aktuelle Umsatz. Grün erhöht, rot senkt. Die Sicht lässt sich auf Gesamt, einzelne Gesellschaften oder Sparten umstellen. Eine Tabelle zeigt die Brücke je Gesellschaft. Es folgen die Hochrechnung je Gesellschaft (voller Balken Ist, schraffiert Restmonate, grauer Strich Vorjahr) und eine Monatskurve gegen das Vorjahr. Am Ende stehen die offenen Fragen. Ein Excel-Export liegt bei.</w:t>
      </w:r>
    </w:p>
    <w:p>
      <w:pPr>
        <w:pStyle w:val="Heading3"/>
      </w:pPr>
      <w:r>
        <w:t xml:space="preserve">Wie gerechnet wird</w:t>
      </w:r>
    </w:p>
    <w:p>
      <w:r>
        <w:t xml:space="preserve">Die Basis sind dieselben Verkaufszeilen wie im Reiter Verkauf (Finance-Regeln, ohne Konzernkunden, CHF zum Belegdatum), je Gesellschaft in Lokalwährung gerechnet. Menge ist die Stückveränderung mal dem Durchschnittspreis des Vorjahres. Mix ist der Rest des Artikelmengeneffekts, also der Effekt, dass teurere oder günstigere Artikel verkauft wurden. Preis ist die Preisänderung je Artikel mal der aktuellen Menge. Neue und weggefallene Artikel sind Umsätze mit Artikeln, die nur in einem der beiden Zeiträume vorkommen. Währung ist der aktuelle Lokalumsatz mal die Kursveränderung. Übrige ist der Rest, etwa Leistungen ohne Stück, Gutschriften ohne Menge und Rundung. Die Summe aller Wirkungen ist genau die Veränderung. Die Hochrechnung nimmt den Ist-Umsatz bis zum letzten vollständigen Monat und ergänzt die Restmonate aus dem gleichen Monat des Vorjahres mal dem Wachstum seit Jahresbeginn, begrenzt auf den Bereich von 0.5 bis 2.</w:t>
      </w:r>
    </w:p>
    <w:p>
      <w:pPr>
        <w:pStyle w:val="Heading3"/>
      </w:pPr>
      <w:r>
        <w:t xml:space="preserve">Einsatz im Arbeitsalltag</w:t>
      </w:r>
    </w:p>
    <w:p>
      <w:r>
        <w:rPr>
          <w:b/>
        </w:rPr>
        <w:t xml:space="preserve">Controller:</w:t>
      </w:r>
      <w:r>
        <w:t xml:space="preserve"> Die Brücke in der Monatsberichterstattung verwenden, um zu erklären, ob ein Wachstum aus Menge, Preis oder Kurs stammt.</w:t>
      </w:r>
    </w:p>
    <w:p>
      <w:r>
        <w:rPr>
          <w:b/>
        </w:rPr>
        <w:t xml:space="preserve">Geschäftsleitung:</w:t>
      </w:r>
      <w:r>
        <w:t xml:space="preserve"> Die Hochrechnung als Orientierung dafür, wo das Jahr voraussichtlich endet. Der Vergleich der Gesellschaften zeigt, welche Einheit die Veränderung trägt.</w:t>
      </w:r>
    </w:p>
    <w:p>
      <w:r>
        <w:rPr>
          <w:b/>
        </w:rPr>
        <w:t xml:space="preserve">Vertriebsleiter:</w:t>
      </w:r>
      <w:r>
        <w:t xml:space="preserve"> Die Sicht je Sparte zeigt, in welchen Produktbereichen Preis oder Menge die Veränderung treiben.</w:t>
      </w:r>
    </w:p>
    <w:p>
      <w:pPr>
        <w:pStyle w:val="Heading3"/>
      </w:pPr>
      <w:r>
        <w:t xml:space="preserve">Grenzen und Fallstricke</w:t>
      </w:r>
    </w:p>
    <w:p>
      <w:r>
        <w:t xml:space="preserve">Die Hochrechnung ist eine Rechnung und kein Budget; das Wachstum gilt für alle Restmonate gleich. Die Menge-Mix-Trennung ist grob, weil Stückzahlen über alle Artikel einer Gesellschaft summiert werden. Viele Umsätze laufen auf Artikelnummern, die nur in einem der beiden Zeiträume vorkommen, etwa Varianten. Dann sind „neue" und „weggefallene Artikel" gross, und die Aussagen zu Preis und Menge gelten nur für die Artikel, die in beiden Zeiträumen verkauft wurden. Nicht vorhanden sind Debitoren und Überfälligkeit, Vorräte und Lagerumschlag, Margenentwicklung, Erfolgsrechnung je Gesellschaft sowie Kostenstellen und Budget. Die Seite führt diese Punkte als offene Fragen auf.</w:t>
      </w:r>
    </w:p>
    <w:p>
      <w:pPr>
        <w:pStyle w:val="Heading2"/>
      </w:pPr>
      <w:r>
        <w:t xml:space="preserve">Finance Schulung</w:t>
      </w:r>
    </w:p>
    <w:p>
      <w:pPr>
        <w:pStyle w:val="Heading3"/>
      </w:pPr>
      <w:r>
        <w:t xml:space="preserve">Wozu</w:t>
      </w:r>
    </w:p>
    <w:p>
      <w:r>
        <w:t xml:space="preserve">Die Finance Schulung ist die eingebaute Anwenderunterlage für Keyuser, Finance-Leitung und Administratoren. Sie erklärt den Ablauf vom manuellen Import bis zur zentralen Excel-Datei und das Lesen der Finance-Sichten.</w:t>
      </w:r>
    </w:p>
    <w:p>
      <w:pPr>
        <w:pStyle w:val="Heading3"/>
      </w:pPr>
      <w:r>
        <w:t xml:space="preserve">Was man sieht</w:t>
      </w:r>
    </w:p>
    <w:p>
      <w:r>
        <w:t xml:space="preserve">Oben ein Vorschaubild des Cockpits, ein Rollenüberblick (Keyuser stellt Importe bereit und prüft Summen, Finance-Leitung gibt Soll/Ist frei, Admin konfiguriert) und der Hinweis, dass die Finance-Sicht verbindlich ist. Fünf Reiter: „Prozess" (Ziel der Finance-Sicht, Bedienreihenfolge, Prozessgrafik), „Prozessflow" (Datenfluss vom Import bis zur Freigabe, Bedeutung der Statusanzeigen, Entscheidungsregel, zentrale Dateien und SharePoint-Ablage), „Importe" (manuelle Importe und Delta-Regeln, Standortexport, zentrale Excel-Datei, Journal Import) und „Abgleich" (Finance Summary lesen, Details gegen Summary prüfen, Soll/Ist Vergleich, Länderlogik) sowie „Spartenanalyse".</w:t>
      </w:r>
    </w:p>
    <w:p>
      <w:pPr>
        <w:pStyle w:val="Heading3"/>
      </w:pPr>
      <w:r>
        <w:t xml:space="preserve">Wie gerechnet wird</w:t>
      </w:r>
    </w:p>
    <w:p>
      <w:r>
        <w:t xml:space="preserve">Es wird nicht gerechnet. Die Schulung hält die fachlichen Regeln fest, zum Beispiel: Nach einer neuen Datei muss zuerst der Standort exportiert werden; ist „CSV neuer als DB" zu sehen, ist die Datei bereits neuer als die Datenbank; Spanien und Deutschland müssen vollständige Dateien liefern, weil ein Delta den bisherigen Stand ersetzen würde; Grossbritannien ist delta-fähig, weil Basis und Deltas zusammen gelesen werden.</w:t>
      </w:r>
    </w:p>
    <w:p>
      <w:pPr>
        <w:pStyle w:val="Heading3"/>
      </w:pPr>
      <w:r>
        <w:t xml:space="preserve">Einsatz im Arbeitsalltag</w:t>
      </w:r>
    </w:p>
    <w:p>
      <w:r>
        <w:rPr>
          <w:b/>
        </w:rPr>
        <w:t xml:space="preserve">Neue Keyuser:</w:t>
      </w:r>
      <w:r>
        <w:t xml:space="preserve"> Die Reihenfolge Datei bereitstellen, Standort exportieren, zentrale Datei erzeugen, Summen prüfen, Soll/Ist freigeben einüben.</w:t>
      </w:r>
    </w:p>
    <w:p>
      <w:r>
        <w:rPr>
          <w:b/>
        </w:rPr>
        <w:t xml:space="preserve">Revisor:</w:t>
      </w:r>
      <w:r>
        <w:t xml:space="preserve"> Die Statusanzeigen und die Tabelle der zentralen Dateien (Sales All, Nachweis-Excel, Audit-CSV) als Beschreibung des Prüfpfads nutzen.</w:t>
      </w:r>
    </w:p>
    <w:p>
      <w:pPr>
        <w:pStyle w:val="Heading3"/>
      </w:pPr>
      <w:r>
        <w:t xml:space="preserve">Grenzen und Fallstricke</w:t>
      </w:r>
    </w:p>
    <w:p>
      <w:r>
        <w:t xml:space="preserve">Die Schulung ist Fliesstext der Seite und wird von Hand gepflegt. Bei Abweichungen zwischen Schulung und Oberfläche gilt die Oberfläche.</w:t>
      </w:r>
    </w:p>
    <w:p>
      <w:pPr>
        <w:pStyle w:val="Heading2"/>
      </w:pPr>
      <w:r>
        <w:t xml:space="preserve">Manuelle Importe</w:t>
      </w:r>
    </w:p>
    <w:p>
      <w:pPr>
        <w:pStyle w:val="Heading3"/>
      </w:pPr>
      <w:r>
        <w:t xml:space="preserve">Wozu</w:t>
      </w:r>
    </w:p>
    <w:p>
      <w:r>
        <w:t xml:space="preserve">Für Länder ohne direkte Systemanbindung (Deutschland, Grossbritannien, Spanien) werden die Verkaufsdaten als Excel- oder CSV-Datei geliefert. Die Seite ist die Stelle, an der Keyuser diese Dateien hinterlegen und aktivieren. Technische Spaltenzuordnungen bleiben im Admin-Bereich unter Standorte.</w:t>
      </w:r>
    </w:p>
    <w:p>
      <w:pPr>
        <w:pStyle w:val="Heading3"/>
      </w:pPr>
      <w:r>
        <w:t xml:space="preserve">Was man sieht</w:t>
      </w:r>
    </w:p>
    <w:p>
      <w:r>
        <w:t xml:space="preserve">Der Reiter „Importdateien" listet je manuellem Standort Land, TSC, den Schalter „Aktiv", Pfad oder SharePoint-Ordner, den letzten Upload und die Aktionen „Pfad prüfen", „Speichern" sowie die Dateiauswahl für einen Upload (xlsx oder csv). Der Reiter „Anleitung" zeigt die fünf Schritte: Excel bereitstellen, speichern und aktivieren, Standort exportieren, zentrale Excel erzeugen, Finance prüfen.</w:t>
      </w:r>
    </w:p>
    <w:p>
      <w:pPr>
        <w:pStyle w:val="Heading3"/>
      </w:pPr>
      <w:r>
        <w:t xml:space="preserve">Wie gerechnet wird</w:t>
      </w:r>
    </w:p>
    <w:p>
      <w:r>
        <w:t xml:space="preserve">Es wird nicht gerechnet. Beim Standortexport wird die Datei oder der Ordner gelesen, nach den Zuordnungen und Regeln des Standorts aufbereitet und ersetzt den bisherigen Bestand des Standorts in der zentralen Datenbank.</w:t>
      </w:r>
    </w:p>
    <w:p>
      <w:pPr>
        <w:pStyle w:val="Heading3"/>
      </w:pPr>
      <w:r>
        <w:t xml:space="preserve">Einsatz im Arbeitsalltag</w:t>
      </w:r>
    </w:p>
    <w:p>
      <w:r>
        <w:rPr>
          <w:b/>
        </w:rPr>
        <w:t xml:space="preserve">Finance-Keyuser:</w:t>
      </w:r>
      <w:r>
        <w:t xml:space="preserve"> Die neue Jahres- oder Monatsdatei hochladen, den Pfad prüfen, speichern und anschliessend im Export Dashboard den Standort laden. Danach die zentrale Datei neu erzeugen.</w:t>
      </w:r>
    </w:p>
    <w:p>
      <w:r>
        <w:rPr>
          <w:b/>
        </w:rPr>
        <w:t xml:space="preserve">Controller:</w:t>
      </w:r>
      <w:r>
        <w:t xml:space="preserve"> Hier nachsehen, wann zuletzt eine Datei geliefert wurde, wenn Zahlen eines manuellen Landes stillstehen.</w:t>
      </w:r>
    </w:p>
    <w:p>
      <w:pPr>
        <w:pStyle w:val="Heading3"/>
      </w:pPr>
      <w:r>
        <w:t xml:space="preserve">Grenzen und Fallstricke</w:t>
      </w:r>
    </w:p>
    <w:p>
      <w:r>
        <w:t xml:space="preserve">Spanien und Deutschland brauchen vollständige Dateien, eine einzelne Delta-Datei würde den Bestand verkürzen. Ein Upload allein verändert keine Finance-Zahl. Die Anleitung enthält den Hinweis, dass der Deutschland-Istwert fachlich noch zu bestätigen sei; ob dieser Hinweis noch aktuell ist, wurde nicht geprüft.</w:t>
      </w:r>
    </w:p>
    <w:p>
      <w:pPr>
        <w:pStyle w:val="Heading2"/>
      </w:pPr>
      <w:r>
        <w:t xml:space="preserve">Journal Import</w:t>
      </w:r>
    </w:p>
    <w:p>
      <w:pPr>
        <w:pStyle w:val="Heading3"/>
      </w:pPr>
      <w:r>
        <w:t xml:space="preserve">Wozu</w:t>
      </w:r>
    </w:p>
    <w:p>
      <w:r>
        <w:t xml:space="preserve">Der Journal Import lädt die Buchungszeilen des Hauptbuchs je Gesellschaft in eine eigene Tabelle. Er ist die Grundlage für spätere Konsolidierung und buchhalterische Analysen wie Sachkonten oder Soll und Haben. Die Verkaufszahlen, die Finance Summary und der Soll/Ist-Abgleich verändern sich dadurch nicht.</w:t>
      </w:r>
    </w:p>
    <w:p>
      <w:pPr>
        <w:pStyle w:val="Heading3"/>
      </w:pPr>
      <w:r>
        <w:t xml:space="preserve">Was man sieht</w:t>
      </w:r>
    </w:p>
    <w:p>
      <w:r>
        <w:t xml:space="preserve">Zwei Schaltflächen („Alle B1-Gesellschaften laden", „Status aktualisieren") und eine Tabelle mit Land, TSC, Schema, Quellsystem, Anzahl Journalzeilen, Buchungsdatum von und bis, letztem Load und der Aktion „Laden" je Gesellschaft.</w:t>
      </w:r>
    </w:p>
    <w:p>
      <w:pPr>
        <w:pStyle w:val="Heading3"/>
      </w:pPr>
      <w:r>
        <w:t xml:space="preserve">Wie gerechnet wird</w:t>
      </w:r>
    </w:p>
    <w:p>
      <w:r>
        <w:t xml:space="preserve">Es wird nicht gerechnet. Ein Lauf ersetzt den gesamten Journalbestand der Gesellschaft. Liefert die Quelle keine Zeilen, bleibt der alte Bestand erhalten. Der Zeitraum folgt dem Datumsfilter der Export-Einstellungen, angewandt auf das Buchungsdatum. Quellen sind die SAP-Business-One-Gesellschaften Frankreich, Italien, USA und Indien sowie Schweiz und Österreich über SAP. Deutschland, Grossbritannien und Spanien sind nicht enthalten.</w:t>
      </w:r>
    </w:p>
    <w:p>
      <w:pPr>
        <w:pStyle w:val="Heading3"/>
      </w:pPr>
      <w:r>
        <w:t xml:space="preserve">Einsatz im Arbeitsalltag</w:t>
      </w:r>
    </w:p>
    <w:p>
      <w:r>
        <w:rPr>
          <w:b/>
        </w:rPr>
        <w:t xml:space="preserve">Controller:</w:t>
      </w:r>
      <w:r>
        <w:t xml:space="preserve"> Den Stand der Gesellschaften prüfen, bevor Auswertungen auf dem Hauptbuch aufgebaut werden: Wie weit reicht das Buchungsdatum, wann war der letzte Load?</w:t>
      </w:r>
    </w:p>
    <w:p>
      <w:r>
        <w:rPr>
          <w:b/>
        </w:rPr>
        <w:t xml:space="preserve">Finance-Keyuser:</w:t>
      </w:r>
      <w:r>
        <w:t xml:space="preserve"> Nach Änderungen im Quellsystem die betroffene Gesellschaft neu laden.</w:t>
      </w:r>
    </w:p>
    <w:p>
      <w:pPr>
        <w:pStyle w:val="Heading3"/>
      </w:pPr>
      <w:r>
        <w:t xml:space="preserve">Grenzen und Fallstricke</w:t>
      </w:r>
    </w:p>
    <w:p>
      <w:r>
        <w:t xml:space="preserve">Der Import protokolliert in den App-Ereignissen unter „Journal" und nicht in den Export-Logs, der Daten-Heartbeat bleibt davon unberührt. Für Schweiz und Österreich funktioniert der Load nur, wenn die SAP-Seite das entsprechende Datenangebot bereitstellt; sonst meldet der Lauf einen Fehler. Das Konzernkonto-Mapping steht noch aus. Bereits sind je Buchungszeile Fälligkeitsdatum und Ausgleichsfelder vorbereitet; welche Bedeutung für „date paid" führend wird, ist offen.</w:t>
      </w:r>
    </w:p>
    <w:p>
      <w:pPr>
        <w:pStyle w:val="Heading2"/>
      </w:pPr>
      <w:r>
        <w:t xml:space="preserve">Marktsegmente</w:t>
      </w:r>
    </w:p>
    <w:p>
      <w:pPr>
        <w:pStyle w:val="Heading3"/>
      </w:pPr>
      <w:r>
        <w:t xml:space="preserve">Wozu</w:t>
      </w:r>
    </w:p>
    <w:p>
      <w:r>
        <w:t xml:space="preserve">Die Seite ordnet Kunden Marktsegmenten zu, zum Beispiel Railway, und zeigt den Umsatz je Segment. Sie steht bewusst unter Finance und nicht im Admin-Bereich, weil die Zuordnung eine fachliche Aussage des Vertriebs ist. Sie beantwortet: Wie viel Umsatz machen wir im Bahnmarkt, und mit welchen Kunden?</w:t>
      </w:r>
    </w:p>
    <w:p>
      <w:pPr>
        <w:pStyle w:val="Heading3"/>
      </w:pPr>
      <w:r>
        <w:t xml:space="preserve">Was man sieht</w:t>
      </w:r>
    </w:p>
    <w:p>
      <w:r>
        <w:t xml:space="preserve">Oben stehen die Jahresauswahl und der Excel-Export. Vier Reiter. „Ergebnis" zeigt den Pflegestand (bestätigte Kunden und Zeilen, offene Vorschläge, Gesamtbestand), den Umsatz je Segment, Jahr und Standort und darunter eine 3D-Analyse mit wählbarer Achse (Standort oder Segment), Wert (Umsatz, Verkaufszeilen, Kunden) und Währung. „Marktumfrage" ist die Pflege der Marktumfrage mit Suche und Filter. „Pflege" zeigt Kunden mit Zeilen, Umsatz, Zahl der Produktsparten und Segment samt Status und den Aktionen Bestätigen, Ändern oder Zuordnen und Entfernen. „Namensmuster" legt Muster fest, die Vorschläge erzeugen.</w:t>
      </w:r>
    </w:p>
    <w:p>
      <w:pPr>
        <w:pStyle w:val="Heading3"/>
      </w:pPr>
      <w:r>
        <w:t xml:space="preserve">Wie gerechnet wird</w:t>
      </w:r>
    </w:p>
    <w:p>
      <w:r>
        <w:t xml:space="preserve">Im Ergebnis zählen nur bestätigte Zuordnungen, denn nur diese erscheinen auch im zentralen Excel. Der Umsatz steht in der jeweiligen Landeswährung, es wird weder über Währungen noch über Jahre addiert. Die Zuordnung hängt am Kunden und gilt für alle Jahre. Vorschläge entstehen aus dem Namensabgleich mit der Marktumfrage, aus Namensmustern und für Deutschland teilweise aus dem Branchenfeld des Kundenstamms. Ein Muster bestätigt nie und überschreibt keine bestätigte Zuordnung.</w:t>
      </w:r>
    </w:p>
    <w:p>
      <w:pPr>
        <w:pStyle w:val="Heading3"/>
      </w:pPr>
      <w:r>
        <w:t xml:space="preserve">Einsatz im Arbeitsalltag</w:t>
      </w:r>
    </w:p>
    <w:p>
      <w:r>
        <w:rPr>
          <w:b/>
        </w:rPr>
        <w:t xml:space="preserve">Vertriebsleiter:</w:t>
      </w:r>
      <w:r>
        <w:t xml:space="preserve"> Die grössten offenen Vorschläge zuerst bestätigen oder ändern, weil dort eine Zuordnung am meisten bewirkt. Die Pflegeliste ist nach Zahl der Verkaufszeilen sortiert.</w:t>
      </w:r>
    </w:p>
    <w:p>
      <w:r>
        <w:rPr>
          <w:b/>
        </w:rPr>
        <w:t xml:space="preserve">Geschäftsleitung:</w:t>
      </w:r>
      <w:r>
        <w:t xml:space="preserve"> Im Ergebnis den Umsatz je Segment, Jahr und Standort ablesen.</w:t>
      </w:r>
    </w:p>
    <w:p>
      <w:r>
        <w:rPr>
          <w:b/>
        </w:rPr>
        <w:t xml:space="preserve">Marktbeobachtung:</w:t>
      </w:r>
      <w:r>
        <w:t xml:space="preserve"> Die Marktumfrage beschreibt auch Interessenten ohne Umsatz und ist keine Umsatzquelle.</w:t>
      </w:r>
    </w:p>
    <w:p>
      <w:pPr>
        <w:pStyle w:val="Heading3"/>
      </w:pPr>
      <w:r>
        <w:t xml:space="preserve">Grenzen und Fallstricke</w:t>
      </w:r>
    </w:p>
    <w:p>
      <w:r>
        <w:t xml:space="preserve">Kunden mit vier oder mehr Produktsparten sind orange markiert: Eine pauschale Segmentzuordnung überzeichnet bei ihnen den Umsatz. Die Namensmuster müssen genau genug sein, ein kurzes Muster wie „siemens" trifft auch andere Gesellschaften. Das Segment hängt am Kunden und nicht an der Rechnung. Die Segmentsicht wendet die spanische Jahresregel nicht an und lässt sich deshalb nicht in jedem Fall lückenlos mit Finance abstimmen. Für Deutschland hängt die Zuordnung an der Kundennummer aus Alphaplan; dort sind einige Zeilen, vor allem Gutschriften, ohne fachliche Kundennummer.</w:t>
      </w:r>
    </w:p>
    <w:p>
      <w:pPr>
        <w:pStyle w:val="Heading2"/>
      </w:pPr>
      <w:r>
        <w:t xml:space="preserve">Administration</w:t>
      </w:r>
    </w:p>
    <w:p>
      <w:pPr>
        <w:pStyle w:val="Heading3"/>
      </w:pPr>
      <w:r>
        <w:t xml:space="preserve">Wozu</w:t>
      </w:r>
    </w:p>
    <w:p>
      <w:r>
        <w:t xml:space="preserve">Der Admin-Bereich bündelt die technischen und organisatorischen Grundlagen der ganzen Anwendung. Er richtet sich an Administratoren, nicht an Fachanwender. Die Seiten Standorte, Transformationen, Finance Regeln, Settings und Menüstruktur sind auf Administratoren beschränkt.</w:t>
      </w:r>
    </w:p>
    <w:p>
      <w:pPr>
        <w:pStyle w:val="Heading3"/>
      </w:pPr>
      <w:r>
        <w:t xml:space="preserve">Was man sieht</w:t>
      </w:r>
    </w:p>
    <w:p>
      <w:r>
        <w:rPr>
          <w:b/>
        </w:rPr>
        <w:t xml:space="preserve">Aktive Logins</w:t>
      </w:r>
      <w:r>
        <w:t xml:space="preserve"> zeigt die App-internen Entsperrungen von HR und Finance seit dem letzten Start mit Bereich, Name, IP-Adresse, Zeitpunkt der Entsperrung und letztem Zugriff. Wichtig ist der Hinweis, dass HR und Finance gemeinsame Logins verwenden, die Seite also den Login-Namen zeigt und nicht zwingend die Person. Dort lässt sich auch eine Animation auf der Startseite ein- und ausschalten.</w:t>
      </w:r>
    </w:p>
    <w:p>
      <w:r>
        <w:rPr>
          <w:b/>
        </w:rPr>
        <w:t xml:space="preserve">Standorte</w:t>
      </w:r>
      <w:r>
        <w:t xml:space="preserve"> pflegt die Gesellschaften: Land, TSC, Schema, Quellsystem, Aktivierung, die Zuordnung der Quellfelder zum zentralen Schema, SAP-Joins, Excel-Spaltenmapping für manuelle Länder und die zentrale HANA-Technik.</w:t>
      </w:r>
    </w:p>
    <w:p>
      <w:r>
        <w:rPr>
          <w:b/>
        </w:rPr>
        <w:t xml:space="preserve">Transformationen</w:t>
      </w:r>
      <w:r>
        <w:t xml:space="preserve"> ordnet Quellfelder Zielfeldern zu und wendet je Standort Umformungen an, etwa Währungsumrechnung oder Normalisierung. Es gibt feldweise Regeln und Regeln, die mehrere Felder eines Datensatzes verwenden.</w:t>
      </w:r>
    </w:p>
    <w:p>
      <w:r>
        <w:rPr>
          <w:b/>
        </w:rPr>
        <w:t xml:space="preserve">Finance Regeln</w:t>
      </w:r>
      <w:r>
        <w:t xml:space="preserve"> bestimmen, welche Zeilen in die Finance-Sicht eingehen, zum Beispiel Weiterberechnungen, interne Kunden oder besondere Belege. Sie wirken nur auf die Finance-Sicht in der zentralen Excel und im Abgleich. Rohdaten und Spaltenzuordnung bleiben unverändert. Hier wird auch die Liste der IC- und 2nd-party-Kunden gepflegt.</w:t>
      </w:r>
    </w:p>
    <w:p>
      <w:r>
        <w:rPr>
          <w:b/>
        </w:rPr>
        <w:t xml:space="preserve">Settings</w:t>
      </w:r>
      <w:r>
        <w:t xml:space="preserve"> enthalten den Export und Import der Konfiguration, die SharePoint-Anbindung, die Quellsysteme, die Wechselkurse (inklusive Aktualisierung der EZB-Kurse), den Zeitplan des automatischen Laufs, den Datumsfilter, die Wahl des Kursdatums und die Finance-Schalter. Zu den Finance-Schaltern gehören die Behandlung abweichender Kostenwährung (Standard: umrechnen), der Lieferanten-Fallback, die Kostenquelle bei internem Lieferanten, die Kostenbasis von Italien und Indien (jüngster Belegpreis oder Durchschnitt), das CHF-Kursprofil (aktueller Tageskurs oder Jahresendkurs), die Herstellerregel für die Schweiz sowie die Audit-CSV je Standort. Die Hilfetexte nennen jeweils Wirkzeitpunkt und Abhängigkeiten.</w:t>
      </w:r>
    </w:p>
    <w:p>
      <w:r>
        <w:rPr>
          <w:b/>
        </w:rPr>
        <w:t xml:space="preserve">Menüstruktur</w:t>
      </w:r>
      <w:r>
        <w:t xml:space="preserve"> erlaubt, Menüpunkte zu verschieben, umzubenennen, zu sortieren und auszublenden. Die Zielseiten bleiben unverändert.</w:t>
      </w:r>
    </w:p>
    <w:p>
      <w:r>
        <w:rPr>
          <w:b/>
        </w:rPr>
        <w:t xml:space="preserve">Logs</w:t>
      </w:r>
      <w:r>
        <w:t xml:space="preserve"> zeigen die Export-Logs je Land mit Filter nach Land, Status und Datum sowie die technischen Logs. Alte Logs lassen sich nach Aufbewahrungsfrist löschen.</w:t>
      </w:r>
    </w:p>
    <w:p>
      <w:pPr>
        <w:pStyle w:val="Heading3"/>
      </w:pPr>
      <w:r>
        <w:t xml:space="preserve">Wie gerechnet wird</w:t>
      </w:r>
    </w:p>
    <w:p>
      <w:r>
        <w:t xml:space="preserve">Hier wird nicht gerechnet. Die Einstellungen beeinflussen aber die Rechnung der übrigen Seiten, besonders die Finance-Schalter, das Kursprofil, die Finance Regeln und die Transformationen.</w:t>
      </w:r>
    </w:p>
    <w:p>
      <w:pPr>
        <w:pStyle w:val="Heading3"/>
      </w:pPr>
      <w:r>
        <w:t xml:space="preserve">Einsatz im Arbeitsalltag</w:t>
      </w:r>
    </w:p>
    <w:p>
      <w:r>
        <w:rPr>
          <w:b/>
        </w:rPr>
        <w:t xml:space="preserve">Administrator:</w:t>
      </w:r>
      <w:r>
        <w:t xml:space="preserve"> Neue Standorte und Quellsysteme anlegen, Schalter ändern und Konfigurationen zwischen Testumgebung und Produktion übertragen, wobei der Export ohne Secrets Passwörter leer lässt. Nach einer Änderung der Kostenschalter greift die Wirkung erst beim nächsten Import oder bei der Neuberechnung.</w:t>
      </w:r>
    </w:p>
    <w:p>
      <w:r>
        <w:rPr>
          <w:b/>
        </w:rPr>
        <w:t xml:space="preserve">Finance-Leitung:</w:t>
      </w:r>
      <w:r>
        <w:t xml:space="preserve"> Änderungen an Finance Regeln und Kursprofil nur mit fachlicher Freigabe, weil sie die Zahlen aller Sichten verändern.</w:t>
      </w:r>
    </w:p>
    <w:p>
      <w:r>
        <w:rPr>
          <w:b/>
        </w:rPr>
        <w:t xml:space="preserve">Finance-Keyuser:</w:t>
      </w:r>
      <w:r>
        <w:t xml:space="preserve"> In den Logs den Grund eines fehlgeschlagenen Exports nachlesen.</w:t>
      </w:r>
    </w:p>
    <w:p>
      <w:pPr>
        <w:pStyle w:val="Heading3"/>
      </w:pPr>
      <w:r>
        <w:t xml:space="preserve">Grenzen und Fallstricke</w:t>
      </w:r>
    </w:p>
    <w:p>
      <w:r>
        <w:t xml:space="preserve">Die Finance-Schalter verändern Ergebnisse rückwirkend für alle Sichten. Das Kursprofil und die Schalter für die Kostenbasis sollten nicht ohne Abstimmung geändert werden. Wechselkurse sind im Speicher zwischengehalten; Änderungen wirken nach dem Speichern. Die Seite Aktive Logins zeigt nur den Stand seit dem letzten Start der Anwendung.</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Net Sales Actual</w:t>
            </w:r>
          </w:p>
        </w:tc>
        <w:tc>
          <w:tcPr>
            <w:tcW w:w="3102" w:type="dxa"/>
          </w:tcPr>
          <w:p>
            <w:pPr>
              <w:pStyle w:val="TableText"/>
            </w:pPr>
            <w:r>
              <w:t xml:space="preserve">Nettoumsatz nach Finance-Regeln, in der Hauswährung des Landes</w:t>
            </w:r>
          </w:p>
        </w:tc>
        <w:tc>
          <w:tcPr>
            <w:tcW w:w="3102" w:type="dxa"/>
          </w:tcPr>
          <w:p>
            <w:pPr>
              <w:pStyle w:val="TableText"/>
            </w:pPr>
            <w:r>
              <w:t xml:space="preserve">Summe der Nettofakturawerte aller eingeschlossenen Zeilen des Jahres; Gutschriften negativ</w:t>
            </w:r>
          </w:p>
        </w:tc>
      </w:tr>
      <w:tr>
        <w:tc>
          <w:tcPr>
            <w:tcW w:w="3102" w:type="dxa"/>
          </w:tcPr>
          <w:p>
            <w:pPr>
              <w:pStyle w:val="TableText"/>
            </w:pPr>
            <w:r>
              <w:t xml:space="preserve">Enthaltene Zeilen</w:t>
            </w:r>
          </w:p>
        </w:tc>
        <w:tc>
          <w:tcPr>
            <w:tcW w:w="3102" w:type="dxa"/>
          </w:tcPr>
          <w:p>
            <w:pPr>
              <w:pStyle w:val="TableText"/>
            </w:pPr>
            <w:r>
              <w:t xml:space="preserve">Zeilen, die in die Summe eingehen</w:t>
            </w:r>
          </w:p>
        </w:tc>
        <w:tc>
          <w:tcPr>
            <w:tcW w:w="3102" w:type="dxa"/>
          </w:tcPr>
          <w:p>
            <w:pPr>
              <w:pStyle w:val="TableText"/>
            </w:pPr>
            <w:r>
              <w:t xml:space="preserve">Zeilen, die keine Finance-Regel ausschliesst und deren Wert nicht null ist</w:t>
            </w:r>
          </w:p>
        </w:tc>
      </w:tr>
      <w:tr>
        <w:tc>
          <w:tcPr>
            <w:tcW w:w="3102" w:type="dxa"/>
          </w:tcPr>
          <w:p>
            <w:pPr>
              <w:pStyle w:val="TableText"/>
            </w:pPr>
            <w:r>
              <w:t xml:space="preserve">Ausgeschlossene Zeilen</w:t>
            </w:r>
          </w:p>
        </w:tc>
        <w:tc>
          <w:tcPr>
            <w:tcW w:w="3102" w:type="dxa"/>
          </w:tcPr>
          <w:p>
            <w:pPr>
              <w:pStyle w:val="TableText"/>
            </w:pPr>
            <w:r>
              <w:t xml:space="preserve">Zeilen ohne Wirkung auf die Summe</w:t>
            </w:r>
          </w:p>
        </w:tc>
        <w:tc>
          <w:tcPr>
            <w:tcW w:w="3102" w:type="dxa"/>
          </w:tcPr>
          <w:p>
            <w:pPr>
              <w:pStyle w:val="TableText"/>
            </w:pPr>
            <w:r>
              <w:t xml:space="preserve">Zeilen, die eine Regel ausschliesst, plus Zeilen mit Wert null</w:t>
            </w:r>
          </w:p>
        </w:tc>
      </w:tr>
      <w:tr>
        <w:tc>
          <w:tcPr>
            <w:tcW w:w="3102" w:type="dxa"/>
          </w:tcPr>
          <w:p>
            <w:pPr>
              <w:pStyle w:val="TableText"/>
            </w:pPr>
            <w:r>
              <w:t xml:space="preserve">Soll (Referenz)</w:t>
            </w:r>
          </w:p>
        </w:tc>
        <w:tc>
          <w:tcPr>
            <w:tcW w:w="3102" w:type="dxa"/>
          </w:tcPr>
          <w:p>
            <w:pPr>
              <w:pStyle w:val="TableText"/>
            </w:pPr>
            <w:r>
              <w:t xml:space="preserve">Gepflegter Vergleichswert je Land und Jahr</w:t>
            </w:r>
          </w:p>
        </w:tc>
        <w:tc>
          <w:tcPr>
            <w:tcW w:w="3102" w:type="dxa"/>
          </w:tcPr>
          <w:p>
            <w:pPr>
              <w:pStyle w:val="TableText"/>
            </w:pPr>
            <w:r>
              <w:t xml:space="preserve">Von Finance hinterlegter Wert; nicht für jedes Land und Jahr vorhanden</w:t>
            </w:r>
          </w:p>
        </w:tc>
      </w:tr>
      <w:tr>
        <w:tc>
          <w:tcPr>
            <w:tcW w:w="3102" w:type="dxa"/>
          </w:tcPr>
          <w:p>
            <w:pPr>
              <w:pStyle w:val="TableText"/>
            </w:pPr>
            <w:r>
              <w:t xml:space="preserve">Differenz</w:t>
            </w:r>
          </w:p>
        </w:tc>
        <w:tc>
          <w:tcPr>
            <w:tcW w:w="3102" w:type="dxa"/>
          </w:tcPr>
          <w:p>
            <w:pPr>
              <w:pStyle w:val="TableText"/>
            </w:pPr>
            <w:r>
              <w:t xml:space="preserve">Abstand zwischen Ist und Soll</w:t>
            </w:r>
          </w:p>
        </w:tc>
        <w:tc>
          <w:tcPr>
            <w:tcW w:w="3102" w:type="dxa"/>
          </w:tcPr>
          <w:p>
            <w:pPr>
              <w:pStyle w:val="TableText"/>
            </w:pPr>
            <w:r>
              <w:t xml:space="preserve">Ist minus Soll</w:t>
            </w:r>
          </w:p>
        </w:tc>
      </w:tr>
      <w:tr>
        <w:tc>
          <w:tcPr>
            <w:tcW w:w="3102" w:type="dxa"/>
          </w:tcPr>
          <w:p>
            <w:pPr>
              <w:pStyle w:val="TableText"/>
            </w:pPr>
            <w:r>
              <w:t xml:space="preserve">Status OK / Prüfen / Kein Sollwert / Keine Daten</w:t>
            </w:r>
          </w:p>
        </w:tc>
        <w:tc>
          <w:tcPr>
            <w:tcW w:w="3102" w:type="dxa"/>
          </w:tcPr>
          <w:p>
            <w:pPr>
              <w:pStyle w:val="TableText"/>
            </w:pPr>
            <w:r>
              <w:t xml:space="preserve">Ergebnis des Soll/Ist-Abgleichs je Land</w:t>
            </w:r>
          </w:p>
        </w:tc>
        <w:tc>
          <w:tcPr>
            <w:tcW w:w="3102" w:type="dxa"/>
          </w:tcPr>
          <w:p>
            <w:pPr>
              <w:pStyle w:val="TableText"/>
            </w:pPr>
            <w:r>
              <w:t xml:space="preserve">OK bei Differenz bis eine Währungseinheit, Prüfen darüber, Kein Sollwert ohne Referenz, Keine Daten ohne Ist-Zeile</w:t>
            </w:r>
          </w:p>
        </w:tc>
      </w:tr>
      <w:tr>
        <w:tc>
          <w:tcPr>
            <w:tcW w:w="3102" w:type="dxa"/>
          </w:tcPr>
          <w:p>
            <w:pPr>
              <w:pStyle w:val="TableText"/>
            </w:pPr>
            <w:r>
              <w:t xml:space="preserve">Nicht geprüft</w:t>
            </w:r>
          </w:p>
        </w:tc>
        <w:tc>
          <w:tcPr>
            <w:tcW w:w="3102" w:type="dxa"/>
          </w:tcPr>
          <w:p>
            <w:pPr>
              <w:pStyle w:val="TableText"/>
            </w:pPr>
            <w:r>
              <w:t xml:space="preserve">Länder ohne Prüfung</w:t>
            </w:r>
          </w:p>
        </w:tc>
        <w:tc>
          <w:tcPr>
            <w:tcW w:w="3102" w:type="dxa"/>
          </w:tcPr>
          <w:p>
            <w:pPr>
              <w:pStyle w:val="TableText"/>
            </w:pPr>
            <w:r>
              <w:t xml:space="preserve">Anzahl der Länder ohne Sollwert oder ohne Daten</w:t>
            </w:r>
          </w:p>
        </w:tc>
      </w:tr>
      <w:tr>
        <w:tc>
          <w:tcPr>
            <w:tcW w:w="3102" w:type="dxa"/>
          </w:tcPr>
          <w:p>
            <w:pPr>
              <w:pStyle w:val="TableText"/>
            </w:pPr>
            <w:r>
              <w:t xml:space="preserve">IC / 2nd-party</w:t>
            </w:r>
          </w:p>
        </w:tc>
        <w:tc>
          <w:tcPr>
            <w:tcW w:w="3102" w:type="dxa"/>
          </w:tcPr>
          <w:p>
            <w:pPr>
              <w:pStyle w:val="TableText"/>
            </w:pPr>
            <w:r>
              <w:t xml:space="preserve">Umsatz mit Konzern- und nahestehenden Firmen</w:t>
            </w:r>
          </w:p>
        </w:tc>
        <w:tc>
          <w:tcPr>
            <w:tcW w:w="3102" w:type="dxa"/>
          </w:tcPr>
          <w:p>
            <w:pPr>
              <w:pStyle w:val="TableText"/>
            </w:pPr>
            <w:r>
              <w:t xml:space="preserve">Umsatz der Kunden, die einer gepflegten Liste entsprechen</w:t>
            </w:r>
          </w:p>
        </w:tc>
      </w:tr>
      <w:tr>
        <w:tc>
          <w:tcPr>
            <w:tcW w:w="3102" w:type="dxa"/>
          </w:tcPr>
          <w:p>
            <w:pPr>
              <w:pStyle w:val="TableText"/>
            </w:pPr>
            <w:r>
              <w:t xml:space="preserve">Ist ohne IC</w:t>
            </w:r>
          </w:p>
        </w:tc>
        <w:tc>
          <w:tcPr>
            <w:tcW w:w="3102" w:type="dxa"/>
          </w:tcPr>
          <w:p>
            <w:pPr>
              <w:pStyle w:val="TableText"/>
            </w:pPr>
            <w:r>
              <w:t xml:space="preserve">Umsatz ohne Konzernanteil</w:t>
            </w:r>
          </w:p>
        </w:tc>
        <w:tc>
          <w:tcPr>
            <w:tcW w:w="3102" w:type="dxa"/>
          </w:tcPr>
          <w:p>
            <w:pPr>
              <w:pStyle w:val="TableText"/>
            </w:pPr>
            <w:r>
              <w:t xml:space="preserve">Ist minus IC</w:t>
            </w:r>
          </w:p>
        </w:tc>
      </w:tr>
      <w:tr>
        <w:tc>
          <w:tcPr>
            <w:tcW w:w="3102" w:type="dxa"/>
          </w:tcPr>
          <w:p>
            <w:pPr>
              <w:pStyle w:val="TableText"/>
            </w:pPr>
            <w:r>
              <w:t xml:space="preserve">Group-Währung (CHF)</w:t>
            </w:r>
          </w:p>
        </w:tc>
        <w:tc>
          <w:tcPr>
            <w:tcW w:w="3102" w:type="dxa"/>
          </w:tcPr>
          <w:p>
            <w:pPr>
              <w:pStyle w:val="TableText"/>
            </w:pPr>
            <w:r>
              <w:t xml:space="preserve">Umrechnung der Cockpit-Summen nach CHF</w:t>
            </w:r>
          </w:p>
        </w:tc>
        <w:tc>
          <w:tcPr>
            <w:tcW w:w="3102" w:type="dxa"/>
          </w:tcPr>
          <w:p>
            <w:pPr>
              <w:pStyle w:val="TableText"/>
            </w:pPr>
            <w:r>
              <w:t xml:space="preserve">Betrag mal Kurs; nach der Dokumentation fix zum 31.12. des Belegjahres</w:t>
            </w:r>
          </w:p>
        </w:tc>
      </w:tr>
      <w:tr>
        <w:tc>
          <w:tcPr>
            <w:tcW w:w="3102" w:type="dxa"/>
          </w:tcPr>
          <w:p>
            <w:pPr>
              <w:pStyle w:val="TableText"/>
            </w:pPr>
            <w:r>
              <w:t xml:space="preserve">Abdeckung (Sparten)</w:t>
            </w:r>
          </w:p>
        </w:tc>
        <w:tc>
          <w:tcPr>
            <w:tcW w:w="3102" w:type="dxa"/>
          </w:tcPr>
          <w:p>
            <w:pPr>
              <w:pStyle w:val="TableText"/>
            </w:pPr>
            <w:r>
              <w:t xml:space="preserve">Anteil des Umsatzes mit gültiger Sparte</w:t>
            </w:r>
          </w:p>
        </w:tc>
        <w:tc>
          <w:tcPr>
            <w:tcW w:w="3102" w:type="dxa"/>
          </w:tcPr>
          <w:p>
            <w:pPr>
              <w:pStyle w:val="TableText"/>
            </w:pPr>
            <w:r>
              <w:t xml:space="preserve">Zugeordneter plus Übrige-Umsatz geteilt durch Gesamtumsatz</w:t>
            </w:r>
          </w:p>
        </w:tc>
      </w:tr>
      <w:tr>
        <w:tc>
          <w:tcPr>
            <w:tcW w:w="3102" w:type="dxa"/>
          </w:tcPr>
          <w:p>
            <w:pPr>
              <w:pStyle w:val="TableText"/>
            </w:pPr>
            <w:r>
              <w:t xml:space="preserve">Trefferquote (Materialien)</w:t>
            </w:r>
          </w:p>
        </w:tc>
        <w:tc>
          <w:tcPr>
            <w:tcW w:w="3102" w:type="dxa"/>
          </w:tcPr>
          <w:p>
            <w:pPr>
              <w:pStyle w:val="TableText"/>
            </w:pPr>
            <w:r>
              <w:t xml:space="preserve">Anteil der Materialien mit gültiger Sparte</w:t>
            </w:r>
          </w:p>
        </w:tc>
        <w:tc>
          <w:tcPr>
            <w:tcW w:w="3102" w:type="dxa"/>
          </w:tcPr>
          <w:p>
            <w:pPr>
              <w:pStyle w:val="TableText"/>
            </w:pPr>
            <w:r>
              <w:t xml:space="preserve">Zugeordnete plus Übrige-Materialien geteilt durch Prüfzeilen</w:t>
            </w:r>
          </w:p>
        </w:tc>
      </w:tr>
      <w:tr>
        <w:tc>
          <w:tcPr>
            <w:tcW w:w="3102" w:type="dxa"/>
          </w:tcPr>
          <w:p>
            <w:pPr>
              <w:pStyle w:val="TableText"/>
            </w:pPr>
            <w:r>
              <w:t xml:space="preserve">Kostenbasis</w:t>
            </w:r>
          </w:p>
        </w:tc>
        <w:tc>
          <w:tcPr>
            <w:tcW w:w="3102" w:type="dxa"/>
          </w:tcPr>
          <w:p>
            <w:pPr>
              <w:pStyle w:val="TableText"/>
            </w:pPr>
            <w:r>
              <w:t xml:space="preserve">Kosten der verkauften Menge</w:t>
            </w:r>
          </w:p>
        </w:tc>
        <w:tc>
          <w:tcPr>
            <w:tcW w:w="3102" w:type="dxa"/>
          </w:tcPr>
          <w:p>
            <w:pPr>
              <w:pStyle w:val="TableText"/>
            </w:pPr>
            <w:r>
              <w:t xml:space="preserve">Menge mal Standardkosten der zuständigen Kostenquelle</w:t>
            </w:r>
          </w:p>
        </w:tc>
      </w:tr>
      <w:tr>
        <w:tc>
          <w:tcPr>
            <w:tcW w:w="3102" w:type="dxa"/>
          </w:tcPr>
          <w:p>
            <w:pPr>
              <w:pStyle w:val="TableText"/>
            </w:pPr>
            <w:r>
              <w:t xml:space="preserve">Gruppenmarge</w:t>
            </w:r>
          </w:p>
        </w:tc>
        <w:tc>
          <w:tcPr>
            <w:tcW w:w="3102" w:type="dxa"/>
          </w:tcPr>
          <w:p>
            <w:pPr>
              <w:pStyle w:val="TableText"/>
            </w:pPr>
            <w:r>
              <w:t xml:space="preserve">Marge nach Abzug der Konzernkosten</w:t>
            </w:r>
          </w:p>
        </w:tc>
        <w:tc>
          <w:tcPr>
            <w:tcW w:w="3102" w:type="dxa"/>
          </w:tcPr>
          <w:p>
            <w:pPr>
              <w:pStyle w:val="TableText"/>
            </w:pPr>
            <w:r>
              <w:t xml:space="preserve">Umsatz minus Kostenbasis; Prozent ist Marge geteilt durch Umsatz</w:t>
            </w:r>
          </w:p>
        </w:tc>
      </w:tr>
      <w:tr>
        <w:tc>
          <w:tcPr>
            <w:tcW w:w="3102" w:type="dxa"/>
          </w:tcPr>
          <w:p>
            <w:pPr>
              <w:pStyle w:val="TableText"/>
            </w:pPr>
            <w:r>
              <w:t xml:space="preserve">Saubere Kostenbasis</w:t>
            </w:r>
          </w:p>
        </w:tc>
        <w:tc>
          <w:tcPr>
            <w:tcW w:w="3102" w:type="dxa"/>
          </w:tcPr>
          <w:p>
            <w:pPr>
              <w:pStyle w:val="TableText"/>
            </w:pPr>
            <w:r>
              <w:t xml:space="preserve">Anteil der Zeilen mit belastbarer Kostenbasis</w:t>
            </w:r>
          </w:p>
        </w:tc>
        <w:tc>
          <w:tcPr>
            <w:tcW w:w="3102" w:type="dxa"/>
          </w:tcPr>
          <w:p>
            <w:pPr>
              <w:pStyle w:val="TableText"/>
            </w:pPr>
            <w:r>
              <w:t xml:space="preserve">Zeilen mit Status OK geteilt durch alle Zeilen</w:t>
            </w:r>
          </w:p>
        </w:tc>
      </w:tr>
      <w:tr>
        <w:tc>
          <w:tcPr>
            <w:tcW w:w="3102" w:type="dxa"/>
          </w:tcPr>
          <w:p>
            <w:pPr>
              <w:pStyle w:val="TableText"/>
            </w:pPr>
            <w:r>
              <w:t xml:space="preserve">Deckungsbeitrag (DB)</w:t>
            </w:r>
          </w:p>
        </w:tc>
        <w:tc>
          <w:tcPr>
            <w:tcW w:w="3102" w:type="dxa"/>
          </w:tcPr>
          <w:p>
            <w:pPr>
              <w:pStyle w:val="TableText"/>
            </w:pPr>
            <w:r>
              <w:t xml:space="preserve">Marge nach variablen Kosten</w:t>
            </w:r>
          </w:p>
        </w:tc>
        <w:tc>
          <w:tcPr>
            <w:tcW w:w="3102" w:type="dxa"/>
          </w:tcPr>
          <w:p>
            <w:pPr>
              <w:pStyle w:val="TableText"/>
            </w:pPr>
            <w:r>
              <w:t xml:space="preserve">Vorbereitet, aber leer, weil keine Quelle fixe und variable Kosten trennt</w:t>
            </w:r>
          </w:p>
        </w:tc>
      </w:tr>
      <w:tr>
        <w:tc>
          <w:tcPr>
            <w:tcW w:w="3102" w:type="dxa"/>
          </w:tcPr>
          <w:p>
            <w:pPr>
              <w:pStyle w:val="TableText"/>
            </w:pPr>
            <w:r>
              <w:t xml:space="preserve">Umsatzbrücke</w:t>
            </w:r>
          </w:p>
        </w:tc>
        <w:tc>
          <w:tcPr>
            <w:tcW w:w="3102" w:type="dxa"/>
          </w:tcPr>
          <w:p>
            <w:pPr>
              <w:pStyle w:val="TableText"/>
            </w:pPr>
            <w:r>
              <w:t xml:space="preserve">Zerlegung der Umsatzveränderung gegen das Vorjahr</w:t>
            </w:r>
          </w:p>
        </w:tc>
        <w:tc>
          <w:tcPr>
            <w:tcW w:w="3102" w:type="dxa"/>
          </w:tcPr>
          <w:p>
            <w:pPr>
              <w:pStyle w:val="TableText"/>
            </w:pPr>
            <w:r>
              <w:t xml:space="preserve">Menge, Mix, Preis, neue und weggefallene Artikel, Währung und Übrige ergeben zusammen genau die Veränderung</w:t>
            </w:r>
          </w:p>
        </w:tc>
      </w:tr>
      <w:tr>
        <w:tc>
          <w:tcPr>
            <w:tcW w:w="3102" w:type="dxa"/>
          </w:tcPr>
          <w:p>
            <w:pPr>
              <w:pStyle w:val="TableText"/>
            </w:pPr>
            <w:r>
              <w:t xml:space="preserve">Hochrechnung</w:t>
            </w:r>
          </w:p>
        </w:tc>
        <w:tc>
          <w:tcPr>
            <w:tcW w:w="3102" w:type="dxa"/>
          </w:tcPr>
          <w:p>
            <w:pPr>
              <w:pStyle w:val="TableText"/>
            </w:pPr>
            <w:r>
              <w:t xml:space="preserve">Erwartetes Jahresergebnis</w:t>
            </w:r>
          </w:p>
        </w:tc>
        <w:tc>
          <w:tcPr>
            <w:tcW w:w="3102" w:type="dxa"/>
          </w:tcPr>
          <w:p>
            <w:pPr>
              <w:pStyle w:val="TableText"/>
            </w:pPr>
            <w:r>
              <w:t xml:space="preserve">Ist bis letzter vollständiger Monat plus Restmonate des Vorjahres mal Wachstum seit Jahresbeginn (0.5 bis 2)</w:t>
            </w:r>
          </w:p>
        </w:tc>
      </w:tr>
      <w:tr>
        <w:tc>
          <w:tcPr>
            <w:tcW w:w="3102" w:type="dxa"/>
          </w:tcPr>
          <w:p>
            <w:pPr>
              <w:pStyle w:val="TableText"/>
            </w:pPr>
            <w:r>
              <w:t xml:space="preserve">Heartbeat-Lücke</w:t>
            </w:r>
          </w:p>
        </w:tc>
        <w:tc>
          <w:tcPr>
            <w:tcW w:w="3102" w:type="dxa"/>
          </w:tcPr>
          <w:p>
            <w:pPr>
              <w:pStyle w:val="TableText"/>
            </w:pPr>
            <w:r>
              <w:t xml:space="preserve">Ausbleibende Buchungen an einem Werktag</w:t>
            </w:r>
          </w:p>
        </w:tc>
        <w:tc>
          <w:tcPr>
            <w:tcW w:w="3102" w:type="dxa"/>
          </w:tcPr>
          <w:p>
            <w:pPr>
              <w:pStyle w:val="TableText"/>
            </w:pPr>
            <w:r>
              <w:t xml:space="preserve">Tag ohne Zeilen nach dem letzten Datentag, wenn das letzte Update über zwei Tage zurückliegt</w:t>
            </w:r>
          </w:p>
        </w:tc>
      </w:tr>
      <w:tr>
        <w:tc>
          <w:tcPr>
            <w:tcW w:w="3102" w:type="dxa"/>
          </w:tcPr>
          <w:p>
            <w:pPr>
              <w:pStyle w:val="TableText"/>
            </w:pPr>
            <w:r>
              <w:t xml:space="preserve">Datenstand</w:t>
            </w:r>
          </w:p>
        </w:tc>
        <w:tc>
          <w:tcPr>
            <w:tcW w:w="3102" w:type="dxa"/>
          </w:tcPr>
          <w:p>
            <w:pPr>
              <w:pStyle w:val="TableText"/>
            </w:pPr>
            <w:r>
              <w:t xml:space="preserve">Alter der Daten eines Standorts</w:t>
            </w:r>
          </w:p>
        </w:tc>
        <w:tc>
          <w:tcPr>
            <w:tcW w:w="3102" w:type="dxa"/>
          </w:tcPr>
          <w:p>
            <w:pPr>
              <w:pStyle w:val="TableText"/>
            </w:pPr>
            <w:r>
              <w:t xml:space="preserve">Jüngster Zeitpunkt aus Datenbank, Dateien und Export-Log, mit Angabe der Quelle</w:t>
            </w:r>
          </w:p>
        </w:tc>
      </w:tr>
    </w:tbl>
    <w:p>
      <w:pPr>
        <w:spacing w:before="0" w:after="80"/>
      </w:pPr>
    </w:p>
    <w:p>
      <w:r>
        <w:br w:type="page"/>
      </w:r>
    </w:p>
    <w:p>
      <w:pPr>
        <w:pStyle w:val="Heading1"/>
      </w:pPr>
      <w:r>
        <w:t xml:space="preserve">Einkauf</w:t>
      </w:r>
    </w:p>
    <w:p>
      <w:r>
        <w:t xml:space="preserve">Das Modul Einkauf im Trafag Cockpit zeigt, wie viel bestellt wurde, was noch auf dem Weg ist, bei welchen Lieferanten sich der Einkauf konzentriert und wo Material knapp wird. Hauptsächlich nutzen es Einkäufer, Disponenten, Controller und die Geschäftsleitung. Es liegt im Menü unter «Einkauf». Die Seiten sind: Einkauf Dashboard, Spend, Offene Bestellungen, Kontrakte, Lieferanten, Spend-Aufriss, Bestellbedarf &amp; Deckung, Materialabhängigkeit, Lieferperformance, die Gruppe «Ideen», Kennzahlen-Katalog, PBIX Vorlage, 3D Simulation, Interaktiv und Datenquellen.</w:t>
      </w:r>
    </w:p>
    <w:p>
      <w:r>
        <w:t xml:space="preserve">Die Daten stammen aus SAP: Bestellköpfe (EKKO), Bestellpositionen (EKPO) und Liefereinteilungen mit Terminen (EKET), dazu Lieferantenstamm, Materialstamm und der Lagerwert. Das Cockpit fragt SAP beim Seitenaufruf nicht live ab. Es liest einen gespeicherten Datenbestand, den ein Ladelauf auffrischt. Nachts läuft ein Delta-Lauf, der nur neue oder geänderte Belege nachlädt. Ein vollständiger Neuaufbau (Full Load) wird von Hand gestartet. Die Seite zeigt oben, wann der letzte Lauf endete. Die berechneten Zahlen bleiben bis zu 60 Minuten im Zwischenspeicher. Ist der Stand abgelaufen, zeigt die Seite zuerst den alten Stand und weist darauf hin, dass neu gerechnet wird. Die Zahlen wechseln dann nach etwa 20 bis 30 Sekunden von selbst.</w:t>
      </w:r>
    </w:p>
    <w:p>
      <w:r>
        <w:t xml:space="preserve">Alle Beträge stehen in CHF. Fremdwährungsbestellungen werden mit dem Kurs umgerechnet, der im Bestellbeleg selbst festgehalten ist (Belegkurs), nicht mit einem Tageskurs. Zwei Grundregeln gelten für fast alle Seiten:</w:t>
      </w:r>
    </w:p>
    <w:p>
      <w:pPr>
        <w:pStyle w:val="ListBullet"/>
        <w:numPr>
          <w:ilvl w:val="0"/>
          <w:numId w:val="1"/>
        </w:numPr>
      </w:pPr>
      <w:r>
        <w:rPr>
          <w:b/>
        </w:rPr>
        <w:t xml:space="preserve">Nur Bestellungen:</w:t>
      </w:r>
      <w:r>
        <w:t xml:space="preserve"> Gezählt werden echte Bestellungen. Anfragen, Kontraktbelege und Umlagerungsbestellungen zwischen Werken (Belegart UB) sind ausgeschlossen.</w:t>
      </w:r>
    </w:p>
    <w:p>
      <w:pPr>
        <w:pStyle w:val="ListBullet"/>
        <w:numPr>
          <w:ilvl w:val="0"/>
          <w:numId w:val="1"/>
        </w:numPr>
      </w:pPr>
      <w:r>
        <w:rPr>
          <w:b/>
        </w:rPr>
        <w:t xml:space="preserve">Endgelieferte Positionen sind nicht offen:</w:t>
      </w:r>
      <w:r>
        <w:t xml:space="preserve"> Eine Position, die in SAP als endgeliefert gekennzeichnet ist, zählt nicht mehr zum offenen Bestellwert, auch wenn rechnerisch noch eine Restmenge übrig wäre. Seit dem 05.10.2026 wirkt dieser Ausschluss tatsächlich. Vorher griff er nicht, weil das Kennzeichen anders gespeichert war als erwartet. Der offene Bestellwert sank dadurch von rund 28.7 auf rund 12.8 Mio CHF. Ältere Auswertungen oder Notizen mit dem höheren Wert sind überholt.</w:t>
      </w:r>
    </w:p>
    <w:p>
      <w:pPr>
        <w:pStyle w:val="Heading2"/>
      </w:pPr>
      <w:r>
        <w:t xml:space="preserve">Einkauf Dashboard</w:t>
      </w:r>
    </w:p>
    <w:p>
      <w:pPr>
        <w:pStyle w:val="Heading3"/>
      </w:pPr>
      <w:r>
        <w:t xml:space="preserve">Wozu</w:t>
      </w:r>
    </w:p>
    <w:p>
      <w:r>
        <w:t xml:space="preserve">Das Dashboard ist die Einstiegsseite. Es beantwortet in einem Blick: Wie viel wurde im gewählten Zeitraum bestellt, wie viele Bestellungen und Lieferanten stecken dahinter, was ist noch offen und wie hoch ist der Lagerwert der Einkaufsteile.</w:t>
      </w:r>
    </w:p>
    <w:p>
      <w:pPr>
        <w:pStyle w:val="Heading3"/>
      </w:pPr>
      <w:r>
        <w:t xml:space="preserve">Was man sieht</w:t>
      </w:r>
    </w:p>
    <w:p>
      <w:r>
        <w:t xml:space="preserve">Oben stehen eine Kopfzeile mit dem Ladestand der drei SAP-Quellen und ein Prozentring «Geladen». Darunter folgt der Zeitraumfilter mit «Von Monat» und «Bis Monat», dem Schalter für stornierte Positionen und den Knöpfen «Anwenden» und «2020 bis heute». Ein ausklappbarer Abschnitt «Kennzahlen verstehen» erklärt jede Kennzahl mit ihrer SAP-Herkunft.</w:t>
      </w:r>
    </w:p>
    <w:p>
      <w:r>
        <w:t xml:space="preserve">Fünf Kacheln zeigen die Hauptzahlen: Bestellwert im Zeitraum, Bestellungen im Zeitraum, offener Bestellwert inklusive Rückstände, aktive Lieferanten im Zeitraum und Lagerwert Einkaufsteile. Unter jeder Kachel steht ein Satz, was genau gezählt wird und was nicht.</w:t>
      </w:r>
    </w:p>
    <w:p>
      <w:r>
        <w:t xml:space="preserve">Weiter unten liegt der Verlauf des Lagerwerts je Kalenderwoche als Liniengrafik mit Tabelle. Dazu kommen der «SAP Datenfluss» mit dem Stand der drei Quellen, die «Management Insights» als Kurzaussagen und die «Analyseachsen» (Jahr, Lieferant, Warengruppe, Artikel, Region).</w:t>
      </w:r>
    </w:p>
    <w:p>
      <w:pPr>
        <w:pStyle w:val="Heading3"/>
      </w:pPr>
      <w:r>
        <w:t xml:space="preserve">Wie gerechnet wird</w:t>
      </w:r>
    </w:p>
    <w:p>
      <w:pPr>
        <w:pStyle w:val="ListBullet"/>
        <w:numPr>
          <w:ilvl w:val="0"/>
          <w:numId w:val="1"/>
        </w:numPr>
      </w:pPr>
      <w:r>
        <w:rPr>
          <w:b/>
        </w:rPr>
        <w:t xml:space="preserve">Bestellwert im Zeitraum:</w:t>
      </w:r>
      <w:r>
        <w:t xml:space="preserve"> Summe der Netto-Positionswerte aller Bestellungen, deren Bestelldatum im Zeitraum liegt, in CHF. Das ist bestelltes Volumen, kein Wareneingang und keine Rechnung.</w:t>
      </w:r>
    </w:p>
    <w:p>
      <w:pPr>
        <w:pStyle w:val="ListBullet"/>
        <w:numPr>
          <w:ilvl w:val="0"/>
          <w:numId w:val="1"/>
        </w:numPr>
      </w:pPr>
      <w:r>
        <w:rPr>
          <w:b/>
        </w:rPr>
        <w:t xml:space="preserve">Bestellungen:</w:t>
      </w:r>
      <w:r>
        <w:t xml:space="preserve"> Anzahl der unterschiedlichen Bestellnummern im Zeitraum. Eine Bestellung mit zwanzig Positionen zählt einmal.</w:t>
      </w:r>
    </w:p>
    <w:p>
      <w:pPr>
        <w:pStyle w:val="ListBullet"/>
        <w:numPr>
          <w:ilvl w:val="0"/>
          <w:numId w:val="1"/>
        </w:numPr>
      </w:pPr>
      <w:r>
        <w:rPr>
          <w:b/>
        </w:rPr>
        <w:t xml:space="preserve">Aktive Lieferanten:</w:t>
      </w:r>
      <w:r>
        <w:t xml:space="preserve"> Anzahl der Lieferanten mit mindestens einer Bestellposition ungleich null im Zeitraum. Das ist keine Lieferantenbewertung.</w:t>
      </w:r>
    </w:p>
    <w:p>
      <w:pPr>
        <w:pStyle w:val="ListBullet"/>
        <w:numPr>
          <w:ilvl w:val="0"/>
          <w:numId w:val="1"/>
        </w:numPr>
      </w:pPr>
      <w:r>
        <w:rPr>
          <w:b/>
        </w:rPr>
        <w:t xml:space="preserve">Offener Bestellwert:</w:t>
      </w:r>
      <w:r>
        <w:t xml:space="preserve"> Je Liefereinteilung die bestellte Menge minus die gebuchte Wareneingangsmenge, mal der Stückwert der Position in CHF. Stornierte Positionen, endgelieferte Positionen und Material mit Status 98 oder 99 (gesperrt oder auslaufend) sind ausgeschlossen. Der Wert ist unabhängig vom gewählten Zeitraum und enthält alle Jahre, damit alte Rückstände nicht verschwinden.</w:t>
      </w:r>
    </w:p>
    <w:p>
      <w:pPr>
        <w:pStyle w:val="ListBullet"/>
        <w:numPr>
          <w:ilvl w:val="0"/>
          <w:numId w:val="1"/>
        </w:numPr>
      </w:pPr>
      <w:r>
        <w:rPr>
          <w:b/>
        </w:rPr>
        <w:t xml:space="preserve">Lagerwert Einkaufsteile:</w:t>
      </w:r>
      <w:r>
        <w:t xml:space="preserve"> bewerteter Gesamtbestand der Materialien der Disponenten 001 bis 005 im Bewertungskreis 1100. Der Wert zeigt immer den Stand des letzten erfolgreichen Abrufs, ein frei wählbarer Stichtag ist nicht möglich.</w:t>
      </w:r>
    </w:p>
    <w:p>
      <w:pPr>
        <w:pStyle w:val="ListBullet"/>
        <w:numPr>
          <w:ilvl w:val="0"/>
          <w:numId w:val="1"/>
        </w:numPr>
      </w:pPr>
      <w:r>
        <w:rPr>
          <w:b/>
        </w:rPr>
        <w:t xml:space="preserve">Lagerwert-Verlauf:</w:t>
      </w:r>
      <w:r>
        <w:t xml:space="preserve"> Je Kalenderwoche wird der Stand des Einkauf-Laufs gespeichert und als Stand Ende Woche angezeigt. Der erste Verlaufspunkt stammt vom 10.09.2026, einen Rückblick davor gibt es nicht. Wochen ohne Lauf bleiben leer. Die senkrechte Achse beginnt nicht bei null, sondern beim tiefsten Wert.</w:t>
      </w:r>
    </w:p>
    <w:p>
      <w:pPr>
        <w:pStyle w:val="Heading3"/>
      </w:pPr>
      <w:r>
        <w:t xml:space="preserve">Einsatz im Arbeitsalltag</w:t>
      </w:r>
    </w:p>
    <w:p>
      <w:r>
        <w:rPr>
          <w:b/>
        </w:rPr>
        <w:t xml:space="preserve">Geschäftsleitung:</w:t>
      </w:r>
      <w:r>
        <w:t xml:space="preserve"> Die Kacheln geben in einer Minute das Gesamtbild: Einkaufsvolumen, offene Verpflichtungen, Lagerbindung. Der Lagerwert-Verlauf zeigt, ob Kapital im Lager auf- oder abgebaut wird.</w:t>
      </w:r>
    </w:p>
    <w:p>
      <w:r>
        <w:rPr>
          <w:b/>
        </w:rPr>
        <w:t xml:space="preserve">Controller:</w:t>
      </w:r>
      <w:r>
        <w:t xml:space="preserve"> Vor dem Monatsabschluss lässt sich der Zeitraum auf den Berichtsmonat stellen und der Bestellwert mit der Planung vergleichen. Der offene Bestellwert zeigt die Verpflichtung, die noch nicht im Wareneingang angekommen ist.</w:t>
      </w:r>
    </w:p>
    <w:p>
      <w:r>
        <w:rPr>
          <w:b/>
        </w:rPr>
        <w:t xml:space="preserve">Einkäufer:</w:t>
      </w:r>
      <w:r>
        <w:t xml:space="preserve"> Typische Fragen sind: Wie viele Bestellungen habe ich in diesem Jahr ausgelöst, und wie hoch ist die Rückstandslast?</w:t>
      </w:r>
    </w:p>
    <w:p>
      <w:pPr>
        <w:pStyle w:val="Heading3"/>
      </w:pPr>
      <w:r>
        <w:t xml:space="preserve">Grenzen und Fallstricke</w:t>
      </w:r>
    </w:p>
    <w:p>
      <w:pPr>
        <w:pStyle w:val="ListBullet"/>
        <w:numPr>
          <w:ilvl w:val="0"/>
          <w:numId w:val="1"/>
        </w:numPr>
      </w:pPr>
      <w:r>
        <w:t xml:space="preserve">Der Bestellwert ist kein Rechnungs- und kein Zahlungswert.</w:t>
      </w:r>
    </w:p>
    <w:p>
      <w:pPr>
        <w:pStyle w:val="ListBullet"/>
        <w:numPr>
          <w:ilvl w:val="0"/>
          <w:numId w:val="1"/>
        </w:numPr>
      </w:pPr>
      <w:r>
        <w:t xml:space="preserve">Fehlen für Fremdwährungspositionen die Kurse, erscheint oben eine gelbe Warnung mit der Anzahl betroffener Positionen. Diese Werte werden dann 1:1 übernommen und sind nicht belastbar. Der Zähler gilt für den gesamten Bestand, nicht nur für den Zeitraum.</w:t>
      </w:r>
    </w:p>
    <w:p>
      <w:pPr>
        <w:pStyle w:val="ListBullet"/>
        <w:numPr>
          <w:ilvl w:val="0"/>
          <w:numId w:val="1"/>
        </w:numPr>
      </w:pPr>
      <w:r>
        <w:t xml:space="preserve">Ist der Datenbestand unvollständig, zeigt die Seite keine SAP-Stichproben als Kennzahl, sondern weist darauf hin, dass zuerst ein vollständiger Ladelauf nötig ist. Gekennzeichnete Simulationswerte sind keine SAP-Istwerte.</w:t>
      </w:r>
    </w:p>
    <w:p>
      <w:pPr>
        <w:pStyle w:val="ListBullet"/>
        <w:numPr>
          <w:ilvl w:val="0"/>
          <w:numId w:val="1"/>
        </w:numPr>
      </w:pPr>
      <w:r>
        <w:t xml:space="preserve">Der Lagerwert ist fachlich noch nicht gegen die SAP-Auswertung MB5L abgeglichen.</w:t>
      </w:r>
    </w:p>
    <w:p>
      <w:pPr>
        <w:pStyle w:val="ListBullet"/>
        <w:numPr>
          <w:ilvl w:val="0"/>
          <w:numId w:val="1"/>
        </w:numPr>
      </w:pPr>
      <w:r>
        <w:t xml:space="preserve">Der Lagerwert und der offene Bestellwert haben eigene Zeitlogiken und folgen dem Zeitraumfilter nicht.</w:t>
      </w:r>
    </w:p>
    <w:p>
      <w:pPr>
        <w:pStyle w:val="Heading2"/>
      </w:pPr>
      <w:r>
        <w:t xml:space="preserve">Spend</w:t>
      </w:r>
    </w:p>
    <w:p>
      <w:pPr>
        <w:pStyle w:val="Heading3"/>
      </w:pPr>
      <w:r>
        <w:t xml:space="preserve">Wozu</w:t>
      </w:r>
    </w:p>
    <w:p>
      <w:r>
        <w:t xml:space="preserve">Die Seite zeigt das Beschaffungsvolumen nach Lieferant und Jahr. Sie dient dazu, die grossen Lieferanten, deren Entwicklung und die Verteilung auf Warengruppen, Länder und Währungen zu erkennen.</w:t>
      </w:r>
    </w:p>
    <w:p>
      <w:pPr>
        <w:pStyle w:val="Heading3"/>
      </w:pPr>
      <w:r>
        <w:t xml:space="preserve">Was man sieht</w:t>
      </w:r>
    </w:p>
    <w:p>
      <w:r>
        <w:t xml:space="preserve">Vier Kennzahlen stehen oben: Spend in CHF, Jahre, Dimensionen und SAP-Status. Das Hauptdiagramm zeigt die zehn grössten Lieferanten des laufenden Jahres bis heute. Darunter folgen Balkenblöcke für das Volumen nach Warengruppe (die zwölf grössten), nach Beschaffungsregion (die zwölf grössten Lieferländer) und nach Belegwährung.</w:t>
      </w:r>
    </w:p>
    <w:p>
      <w:r>
        <w:t xml:space="preserve">Die Matrix «Kaskadierung Lieferant / Jahr» listet alle Lieferanten mit einer Spalte je Jahr und einer Gesamtspalte. Ein Klick auf den Pfeil klappt den Lieferanten in seine Warengruppen auf, ein weiterer Klick die Warengruppe in ihre Materialnummern. Seit dem 27.08.2026 wird nichts mehr abgeschnitten. Ein Materialeintrag mit Bindestrich ist ein echter Artikel, ein Eintrag ohne Bindestrich eine Textbestellung ohne Artikelstamm. Eine kursiv gesetzte Zeile «übrige» ist eine Sammelzeile und keine Materialnummer.</w:t>
      </w:r>
    </w:p>
    <w:p>
      <w:pPr>
        <w:pStyle w:val="Heading3"/>
      </w:pPr>
      <w:r>
        <w:t xml:space="preserve">Wie gerechnet wird</w:t>
      </w:r>
    </w:p>
    <w:p>
      <w:r>
        <w:t xml:space="preserve">Spend ist die Summe der Netto-Positionswerte (Bestelldatum im Zeitraum), umgerechnet in CHF mit dem Belegkurs. Stornierte Positionen sind ausgeschlossen. Der heutige Materialstatus 98 oder 99 filtert den historischen Spend dagegen nicht: Ein 2023 eingekaufter Artikel behält seinen Anteil, auch wenn er heute auslaufend ist.</w:t>
      </w:r>
    </w:p>
    <w:p>
      <w:r>
        <w:t xml:space="preserve">Die Warengruppe stammt aus dem Materialstamm, ersatzweise aus der Bestellposition. Der Text kommt aus einem Katalog der SAP-Warengruppentexte. Unbekannte Codes bleiben als Code sichtbar. Die Gruppe «01» ist die SAP-Sammelgruppe «Dummy» für unklassifizierte Altbestände. Die Beschaffungsregion ist das Land des Lieferanten, nicht die Fakturawährung. Ein Schweizer Lieferant kann in EUR fakturieren. Beim Währungsblock steht zuerst der CHF-Wert und in Klammern die Summe in der Belegwährung, also das tatsächliche Währungsrisiko.</w:t>
      </w:r>
    </w:p>
    <w:p>
      <w:pPr>
        <w:pStyle w:val="Heading3"/>
      </w:pPr>
      <w:r>
        <w:t xml:space="preserve">Einsatz im Arbeitsalltag</w:t>
      </w:r>
    </w:p>
    <w:p>
      <w:r>
        <w:rPr>
          <w:b/>
        </w:rPr>
        <w:t xml:space="preserve">Einkäufer:</w:t>
      </w:r>
      <w:r>
        <w:t xml:space="preserve"> Vor der Lieferantenverhandlung zeigt die Matrix, wie sich das Volumen des Lieferanten über die Jahre und über Warengruppen entwickelt hat. Das ist die Gesprächsgrundlage für Konditionen.</w:t>
      </w:r>
    </w:p>
    <w:p>
      <w:r>
        <w:rPr>
          <w:b/>
        </w:rPr>
        <w:t xml:space="preserve">Controller:</w:t>
      </w:r>
      <w:r>
        <w:t xml:space="preserve"> Für die Budgetüberprüfung dient die Jahresspalte. Der Währungsblock beantwortet, welcher Anteil des Einkaufs in Fremdwährung läuft.</w:t>
      </w:r>
    </w:p>
    <w:p>
      <w:r>
        <w:rPr>
          <w:b/>
        </w:rPr>
        <w:t xml:space="preserve">Geschäftsleitung:</w:t>
      </w:r>
      <w:r>
        <w:t xml:space="preserve"> Die Regionenverteilung zeigt Abhängigkeiten von Ländern.</w:t>
      </w:r>
    </w:p>
    <w:p>
      <w:pPr>
        <w:pStyle w:val="Heading3"/>
      </w:pPr>
      <w:r>
        <w:t xml:space="preserve">Grenzen und Fallstricke</w:t>
      </w:r>
    </w:p>
    <w:p>
      <w:pPr>
        <w:pStyle w:val="ListBullet"/>
        <w:numPr>
          <w:ilvl w:val="0"/>
          <w:numId w:val="1"/>
        </w:numPr>
      </w:pPr>
      <w:r>
        <w:t xml:space="preserve">Das Hauptdiagramm zeigt nur die zehn grössten Lieferanten des laufenden Jahres, die Matrix dagegen alle. Die Summe der zehn Balken ist daher nicht der Gesamtspend.</w:t>
      </w:r>
    </w:p>
    <w:p>
      <w:pPr>
        <w:pStyle w:val="ListBullet"/>
        <w:numPr>
          <w:ilvl w:val="0"/>
          <w:numId w:val="1"/>
        </w:numPr>
      </w:pPr>
      <w:r>
        <w:t xml:space="preserve">Der Spend ist Bestellvolumen am Bestelldatum. Ein 2024 bestellter Auftrag, der erst 2025 geliefert wird, steht im Jahr 2024.</w:t>
      </w:r>
    </w:p>
    <w:p>
      <w:pPr>
        <w:pStyle w:val="ListBullet"/>
        <w:numPr>
          <w:ilvl w:val="0"/>
          <w:numId w:val="1"/>
        </w:numPr>
      </w:pPr>
      <w:r>
        <w:t xml:space="preserve">Fehlende Wechselkurse führen zu einer Warnung und zu nicht belastbaren CHF-Werten.</w:t>
      </w:r>
    </w:p>
    <w:p>
      <w:pPr>
        <w:pStyle w:val="ListBullet"/>
        <w:numPr>
          <w:ilvl w:val="0"/>
          <w:numId w:val="1"/>
        </w:numPr>
      </w:pPr>
      <w:r>
        <w:t xml:space="preserve">Der Zeitraumfilter wirkt auf alle Spend-Zahlen.</w:t>
      </w:r>
    </w:p>
    <w:p>
      <w:pPr>
        <w:pStyle w:val="Heading2"/>
      </w:pPr>
      <w:r>
        <w:t xml:space="preserve">Offene Bestellungen</w:t>
      </w:r>
    </w:p>
    <w:p>
      <w:pPr>
        <w:pStyle w:val="Heading3"/>
      </w:pPr>
      <w:r>
        <w:t xml:space="preserve">Wozu</w:t>
      </w:r>
    </w:p>
    <w:p>
      <w:r>
        <w:t xml:space="preserve">Die Seite beantwortet: Was ist bestellt und noch nicht eingetroffen, und wie viel davon ist schon überfällig? Sie ist die Arbeitsgrundlage für das Nachfassen bei Lieferanten.</w:t>
      </w:r>
    </w:p>
    <w:p>
      <w:pPr>
        <w:pStyle w:val="Heading3"/>
      </w:pPr>
      <w:r>
        <w:t xml:space="preserve">Was man sieht</w:t>
      </w:r>
    </w:p>
    <w:p>
      <w:r>
        <w:t xml:space="preserve">Vier Kennzahlen: Bestellungen, Lieferanten, offener Wert und offene Menge. Das Diagramm «Bestellaktivität und offene Positionen» stellt den Bestellwert im Zeitraum dem noch offenen Zulauf gegenüber. Eine Tabelle zeigt Bestellungen im Zeitraum, Bestellwert, offenen Bestellwert (gleichbedeutend mit dem disponierten Zulauf), überfälligen Wert und Anzahl überfälliger Positionen. Die Tabelle trägt rechts je Zeile die Quelle als farbige Marke.</w:t>
      </w:r>
    </w:p>
    <w:p>
      <w:pPr>
        <w:pStyle w:val="Heading3"/>
      </w:pPr>
      <w:r>
        <w:t xml:space="preserve">Wie gerechnet wird</w:t>
      </w:r>
    </w:p>
    <w:p>
      <w:r>
        <w:t xml:space="preserve">Offene Menge je Liefereinteilung ist die eingeplante Menge minus die gebuchte Wareneingangsmenge, nie negativ. Der offene Wert ist diese Menge mal dem Stückwert der Position in CHF. Bei Bestellmenge null ist der Stückwert null. Überfällig ist der Teil, dessen geplanter Liefertermin vor heute liegt. Die Positionszahl zählt unterschiedliche Bestellpositionen mit mindestens einer überfälligen offenen Einteilung.</w:t>
      </w:r>
    </w:p>
    <w:p>
      <w:r>
        <w:t xml:space="preserve">Gemäss der geltenden Regel sind endgelieferte Positionen, stornierte Positionen und Material mit Status 98 oder 99 ausgeschlossen, und es zählen nur Bestellungen (keine Anfragen, Kontrakte, Umlagerungen). Der Wert ist zeitraumunabhängig und enthält alle Jahre.</w:t>
      </w:r>
    </w:p>
    <w:p>
      <w:pPr>
        <w:pStyle w:val="Heading3"/>
      </w:pPr>
      <w:r>
        <w:t xml:space="preserve">Einsatz im Arbeitsalltag</w:t>
      </w:r>
    </w:p>
    <w:p>
      <w:r>
        <w:rPr>
          <w:b/>
        </w:rPr>
        <w:t xml:space="preserve">Einkäufer:</w:t>
      </w:r>
      <w:r>
        <w:t xml:space="preserve"> Vor dem Wochenmeeting zeigt die Seite den überfälligen Wert und die Positionen, bei denen ein Lieferant nachzufassen ist. Für die Detailliste nach Lieferant und Artikel dient die Idee «Liefertermin-Risiko».</w:t>
      </w:r>
    </w:p>
    <w:p>
      <w:r>
        <w:rPr>
          <w:b/>
        </w:rPr>
        <w:t xml:space="preserve">Disponent:</w:t>
      </w:r>
      <w:r>
        <w:t xml:space="preserve"> Die offene Menge ist die Basis für die Frage, ob eine Lieferung den Bedarf noch deckt (siehe «Bestellbedarf &amp; Deckung»).</w:t>
      </w:r>
    </w:p>
    <w:p>
      <w:r>
        <w:rPr>
          <w:b/>
        </w:rPr>
        <w:t xml:space="preserve">Controller:</w:t>
      </w:r>
      <w:r>
        <w:t xml:space="preserve"> Der offene Wert ist die Verpflichtung, die in den nächsten Monaten zu Wareneingang und später zu Verbindlichkeiten führt.</w:t>
      </w:r>
    </w:p>
    <w:p>
      <w:pPr>
        <w:pStyle w:val="Heading3"/>
      </w:pPr>
      <w:r>
        <w:t xml:space="preserve">Grenzen und Fallstricke</w:t>
      </w:r>
    </w:p>
    <w:p>
      <w:pPr>
        <w:pStyle w:val="ListBullet"/>
        <w:numPr>
          <w:ilvl w:val="0"/>
          <w:numId w:val="1"/>
        </w:numPr>
      </w:pPr>
      <w:r>
        <w:t xml:space="preserve">Der Liefertermin ist der geplante Termin. Was wirklich geliefert wurde, steht nicht darin. Eine echte Liefertermintreue wird nicht berechnet.</w:t>
      </w:r>
    </w:p>
    <w:p>
      <w:pPr>
        <w:pStyle w:val="ListBullet"/>
        <w:numPr>
          <w:ilvl w:val="0"/>
          <w:numId w:val="1"/>
        </w:numPr>
      </w:pPr>
      <w:r>
        <w:t xml:space="preserve">Ist in SAP ein Wareneingang nicht gebucht oder eine Position nicht als endgeliefert gekennzeichnet, bleibt sie offen. Die Pflege in SAP wirkt erst nach dem nächsten vollständigen Ladelauf vollständig.</w:t>
      </w:r>
    </w:p>
    <w:p>
      <w:pPr>
        <w:pStyle w:val="ListBullet"/>
        <w:numPr>
          <w:ilvl w:val="0"/>
          <w:numId w:val="1"/>
        </w:numPr>
      </w:pPr>
      <w:r>
        <w:t xml:space="preserve">Alte, nie geschlossene Einteilungen bleiben sichtbar. Das ist beabsichtigt, kann aber zu einem hohen Rückstand führen, den es bereinigen sollte.</w:t>
      </w:r>
    </w:p>
    <w:p>
      <w:pPr>
        <w:pStyle w:val="ListBullet"/>
        <w:numPr>
          <w:ilvl w:val="0"/>
          <w:numId w:val="1"/>
        </w:numPr>
      </w:pPr>
      <w:r>
        <w:t xml:space="preserve">Der offene Wert hängt am Kurs des Belegs. Fehlen Kurse, ist er nicht belastbar.</w:t>
      </w:r>
    </w:p>
    <w:p>
      <w:pPr>
        <w:pStyle w:val="Heading2"/>
      </w:pPr>
      <w:r>
        <w:t xml:space="preserve">Kontrakte</w:t>
      </w:r>
    </w:p>
    <w:p>
      <w:pPr>
        <w:pStyle w:val="Heading3"/>
      </w:pPr>
      <w:r>
        <w:t xml:space="preserve">Wozu</w:t>
      </w:r>
    </w:p>
    <w:p>
      <w:r>
        <w:t xml:space="preserve">Die Seite zeigt Abrufe zu Rahmenverträgen, also was zu einem Kontrakt bestellt, aber noch nicht geliefert ist. Sie dient der Steuerung offener Restverpflichtungen.</w:t>
      </w:r>
    </w:p>
    <w:p>
      <w:pPr>
        <w:pStyle w:val="Heading3"/>
      </w:pPr>
      <w:r>
        <w:t xml:space="preserve">Was man sieht</w:t>
      </w:r>
    </w:p>
    <w:p>
      <w:r>
        <w:t xml:space="preserve">Vier Kennzahlen: offener Wert der Kontraktabrufe, Einteilungen im Zeitraum (alle Belege), Top Verpflichtung und Letztes Bestelldatum. Das Diagramm «Top Verpflichtungen nach Lieferant und Artikel» zeigt die sechs grössten offenen Abrufe. Eine Tabelle und eine Statusliste ergänzen das Bild.</w:t>
      </w:r>
    </w:p>
    <w:p>
      <w:pPr>
        <w:pStyle w:val="Heading3"/>
      </w:pPr>
      <w:r>
        <w:t xml:space="preserve">Wie gerechnet wird</w:t>
      </w:r>
    </w:p>
    <w:p>
      <w:r>
        <w:t xml:space="preserve">Es wird die Formel des offenen Bestellwerts verwendet, aber eingeschränkt auf Bestellungen, die einen Kontraktbezug tragen. Kachel, Diagramm und Top Verpflichtung beruhen auf derselben Grundmenge. «Letztes Bestelldatum» ist das jüngste Bestelldatum im Zeitraum und kein Fälligkeitsdatum. Die Kachel «Einteilungen im Zeitraum» zählt alle Belege und ist nicht auf Kontraktabrufe begrenzt.</w:t>
      </w:r>
    </w:p>
    <w:p>
      <w:pPr>
        <w:pStyle w:val="Heading3"/>
      </w:pPr>
      <w:r>
        <w:t xml:space="preserve">Einsatz im Arbeitsalltag</w:t>
      </w:r>
    </w:p>
    <w:p>
      <w:r>
        <w:rPr>
          <w:b/>
        </w:rPr>
        <w:t xml:space="preserve">Einkäufer:</w:t>
      </w:r>
      <w:r>
        <w:t xml:space="preserve"> Für die Pflege von Rahmenverträgen zeigt die Seite, bei welchem Lieferanten und Artikel die grösste offene Abrufverpflichtung liegt.</w:t>
      </w:r>
    </w:p>
    <w:p>
      <w:r>
        <w:rPr>
          <w:b/>
        </w:rPr>
        <w:t xml:space="preserve">Controller:</w:t>
      </w:r>
      <w:r>
        <w:t xml:space="preserve"> Der Wert ist ein Näherungswert für die abgerufene, aber noch nicht gelieferte Verpflichtung.</w:t>
      </w:r>
    </w:p>
    <w:p>
      <w:pPr>
        <w:pStyle w:val="Heading3"/>
      </w:pPr>
      <w:r>
        <w:t xml:space="preserve">Grenzen und Fallstricke</w:t>
      </w:r>
    </w:p>
    <w:p>
      <w:pPr>
        <w:pStyle w:val="ListBullet"/>
        <w:numPr>
          <w:ilvl w:val="0"/>
          <w:numId w:val="1"/>
        </w:numPr>
      </w:pPr>
      <w:r>
        <w:t xml:space="preserve">Der Wert ist eine Näherung für offene Abrufe und kein noch verfügbarer Vertragsrahmen. Echte Mengenkontrakte mit Ablaufdatum und Restmenge werden nicht abgebildet, weil die Kontraktbelege selbst bewusst ausgeschlossen sind.</w:t>
      </w:r>
    </w:p>
    <w:p>
      <w:pPr>
        <w:pStyle w:val="ListBullet"/>
        <w:numPr>
          <w:ilvl w:val="0"/>
          <w:numId w:val="1"/>
        </w:numPr>
      </w:pPr>
      <w:r>
        <w:t xml:space="preserve">Ohne Kontraktbezug in den Bestellungen steht der Wert auf null und das Diagramm bleibt leer. Das ist die richtige Aussage und kein Fehler.</w:t>
      </w:r>
    </w:p>
    <w:p>
      <w:pPr>
        <w:pStyle w:val="ListBullet"/>
        <w:numPr>
          <w:ilvl w:val="0"/>
          <w:numId w:val="1"/>
        </w:numPr>
      </w:pPr>
      <w:r>
        <w:t xml:space="preserve">Eine Vertragsauslastung in Prozent wird noch nicht berechnet.</w:t>
      </w:r>
    </w:p>
    <w:p>
      <w:pPr>
        <w:pStyle w:val="Heading2"/>
      </w:pPr>
      <w:r>
        <w:t xml:space="preserve">Lieferanten</w:t>
      </w:r>
    </w:p>
    <w:p>
      <w:pPr>
        <w:pStyle w:val="Heading3"/>
      </w:pPr>
      <w:r>
        <w:t xml:space="preserve">Wozu</w:t>
      </w:r>
    </w:p>
    <w:p>
      <w:r>
        <w:t xml:space="preserve">Die Seite gibt den Überblick über die Lieferantenbasis: Wer liefert, wie viel Volumen steckt dahinter und wie entwickeln sich die Stückpreise.</w:t>
      </w:r>
    </w:p>
    <w:p>
      <w:pPr>
        <w:pStyle w:val="Heading3"/>
      </w:pPr>
      <w:r>
        <w:t xml:space="preserve">Was man sieht</w:t>
      </w:r>
    </w:p>
    <w:p>
      <w:r>
        <w:t xml:space="preserve">Vier Kennzahlen: aktive Lieferanten, Performance Score, Preisindikator und Qualität. Das Diagramm zeigt die Top-Lieferanten nach Spend im gewählten Zeitraum. Dazu kommen Statuszeilen (Lieferantenbasis, Preisentwicklung, Termintreue) und eine Detailtabelle.</w:t>
      </w:r>
    </w:p>
    <w:p>
      <w:pPr>
        <w:pStyle w:val="Heading3"/>
      </w:pPr>
      <w:r>
        <w:t xml:space="preserve">Wie gerechnet wird</w:t>
      </w:r>
    </w:p>
    <w:p>
      <w:r>
        <w:t xml:space="preserve">Aktive Lieferanten sind die Lieferanten mit mindestens einer Bestellposition ungleich null im Zeitraum, der Name stammt aus dem Lieferantenstamm. Der Preisindikator ist der mengengewichtete Durchschnitts-Stückpreis des jüngsten Jahres in CHF (Summe der Positionswerte geteilt durch Summe der Mengen), mit der Veränderung zum Vorjahr in Klammern. Er mischt Schrauben und Baugruppen und ist daher als Niveau wenig aussagekräftig, die Veränderung ist die eigentliche Aussage.</w:t>
      </w:r>
    </w:p>
    <w:p>
      <w:pPr>
        <w:pStyle w:val="Heading3"/>
      </w:pPr>
      <w:r>
        <w:t xml:space="preserve">Einsatz im Arbeitsalltag</w:t>
      </w:r>
    </w:p>
    <w:p>
      <w:r>
        <w:rPr>
          <w:b/>
        </w:rPr>
        <w:t xml:space="preserve">Einkäufer:</w:t>
      </w:r>
      <w:r>
        <w:t xml:space="preserve"> Das Diagramm zeigt, bei wem das Volumen im Zeitraum liegt. Die Preisveränderung dient als erstes Warnsignal für Preissteigerungen.</w:t>
      </w:r>
    </w:p>
    <w:p>
      <w:r>
        <w:rPr>
          <w:b/>
        </w:rPr>
        <w:t xml:space="preserve">Geschäftsleitung:</w:t>
      </w:r>
      <w:r>
        <w:t xml:space="preserve"> Die Liste zeigt, welche Lieferanten für den Betrieb relevant sind.</w:t>
      </w:r>
    </w:p>
    <w:p>
      <w:pPr>
        <w:pStyle w:val="Heading3"/>
      </w:pPr>
      <w:r>
        <w:t xml:space="preserve">Grenzen und Fallstricke</w:t>
      </w:r>
    </w:p>
    <w:p>
      <w:pPr>
        <w:pStyle w:val="ListBullet"/>
        <w:numPr>
          <w:ilvl w:val="0"/>
          <w:numId w:val="1"/>
        </w:numPr>
      </w:pPr>
      <w:r>
        <w:t xml:space="preserve">«Performance Score» und «Qualität» stehen bewusst auf «-». Es gibt keine angebundene Quelle für Ist-Wareneingangsdaten oder Reklamationen. Die frühere Anzeige mit einem festen Prozentwert war ein Platzhalter und wurde am 07.08.2026 entfernt.</w:t>
      </w:r>
    </w:p>
    <w:p>
      <w:pPr>
        <w:pStyle w:val="ListBullet"/>
        <w:numPr>
          <w:ilvl w:val="0"/>
          <w:numId w:val="1"/>
        </w:numPr>
      </w:pPr>
      <w:r>
        <w:t xml:space="preserve">Es gibt keine Lieferantenbewertung. «Aktiv» bedeutet nur, dass im Zeitraum bestellt wurde.</w:t>
      </w:r>
    </w:p>
    <w:p>
      <w:pPr>
        <w:pStyle w:val="Heading2"/>
      </w:pPr>
      <w:r>
        <w:t xml:space="preserve">Spend-Aufriss</w:t>
      </w:r>
    </w:p>
    <w:p>
      <w:pPr>
        <w:pStyle w:val="Heading3"/>
      </w:pPr>
      <w:r>
        <w:t xml:space="preserve">Wozu</w:t>
      </w:r>
    </w:p>
    <w:p>
      <w:r>
        <w:t xml:space="preserve">Der Spend-Aufriss zerlegt den Einkaufsspend in frei wählbare Ebenen. Er beantwortet: Wo genau steckt das Geld, nach Lieferant, Warengruppe, Material, Region, Währung oder Produktgruppe?</w:t>
      </w:r>
    </w:p>
    <w:p>
      <w:pPr>
        <w:pStyle w:val="Heading3"/>
      </w:pPr>
      <w:r>
        <w:t xml:space="preserve">Was man sieht</w:t>
      </w:r>
    </w:p>
    <w:p>
      <w:r>
        <w:t xml:space="preserve">Oben wählt man den Einstieg: Lieferant, Warengruppe, Material, Produktgruppe, Beschaffungsregion oder Währung. Die Matrix zeigt dann den Spend je Jahr und lässt sich Ebene für Ebene aufklappen. Darunter liegen Kuchendiagramme je Top-Warengruppe mit dem Anteil nach Lieferland, Balken für das Volumen nach ABC und nach XYZ und die ABC/XYZ-Massnahmenmatrix. Bei der Produktgruppen-Sicht erscheinen Marken für zugeordneten Spend, Spend ohne Produktgruppe, Mehrfachverwendung und den Stand der SAP-Zuordnung.</w:t>
      </w:r>
    </w:p>
    <w:p>
      <w:pPr>
        <w:pStyle w:val="Heading3"/>
      </w:pPr>
      <w:r>
        <w:t xml:space="preserve">Wie gerechnet wird</w:t>
      </w:r>
    </w:p>
    <w:p>
      <w:r>
        <w:t xml:space="preserve">Grundlage ist wie im Spend der Netto-Positionswert in CHF zum Bestelldatum. Die Sicht «Produktgruppe» ordnet ein Einkaufsmaterial über die Stücklisten-Verwendung dem Disponenten des verwendenden Kopfmaterials und damit der SAP-Produktgruppe zu. Wird eine Komponente in mehreren Produktgruppen verwendet, wird ihr Spend gleichmässig auf diese Gruppen verteilt (ein Drittel bei drei Gruppen). Dadurch bleibt die Gesamtsumme exakt erhalten. Spend ohne Zuordnung bleibt sichtbar. Fehlt der Produktname einer Gruppe, steht «Disponent» mit dem Code.</w:t>
      </w:r>
    </w:p>
    <w:p>
      <w:r>
        <w:t xml:space="preserve">ABC ist das Wertklassen-Kennzeichen des Materialstamms, XYZ die Regelmässigkeit des Bedarfs aus einer SAP-Zusatztabelle. Die Massnahmenmatrix kombiniert beide mit Spend, Anzahl Materialien und Lieferanten und nennt je Klasse einen Prüfauftrag mit Priorität. Sie ändert nichts in SAP.</w:t>
      </w:r>
    </w:p>
    <w:p>
      <w:pPr>
        <w:pStyle w:val="Heading3"/>
      </w:pPr>
      <w:r>
        <w:t xml:space="preserve">Einsatz im Arbeitsalltag</w:t>
      </w:r>
    </w:p>
    <w:p>
      <w:r>
        <w:rPr>
          <w:b/>
        </w:rPr>
        <w:t xml:space="preserve">Einkäufer:</w:t>
      </w:r>
      <w:r>
        <w:t xml:space="preserve"> Die Produktgruppen-Sicht zeigt, wie viel Einkaufsspend an einer Produktgruppe hängt, zum Beispiel für die Frage nach Bündelungspotenzial. Die Massnahmenmatrix liefert konkrete Prüfaufträge, zum Beispiel für teure, unregelmässig bezogene Teile.</w:t>
      </w:r>
    </w:p>
    <w:p>
      <w:r>
        <w:rPr>
          <w:b/>
        </w:rPr>
        <w:t xml:space="preserve">Controller:</w:t>
      </w:r>
      <w:r>
        <w:t xml:space="preserve"> Die Währungssicht und die Regionensicht zeigen, wie der Spend verteilt ist.</w:t>
      </w:r>
    </w:p>
    <w:p>
      <w:r>
        <w:rPr>
          <w:b/>
        </w:rPr>
        <w:t xml:space="preserve">Disponent:</w:t>
      </w:r>
      <w:r>
        <w:t xml:space="preserve"> ABC/XYZ zeigt, welche Teile viel Wert binden und wie planbar sie sind.</w:t>
      </w:r>
    </w:p>
    <w:p>
      <w:pPr>
        <w:pStyle w:val="Heading3"/>
      </w:pPr>
      <w:r>
        <w:t xml:space="preserve">Grenzen und Fallstricke</w:t>
      </w:r>
    </w:p>
    <w:p>
      <w:pPr>
        <w:pStyle w:val="ListBullet"/>
        <w:numPr>
          <w:ilvl w:val="0"/>
          <w:numId w:val="1"/>
        </w:numPr>
      </w:pPr>
      <w:r>
        <w:t xml:space="preserve">ABC, XYZ und Lieferantenland sind nur so vollständig wie der letzte Full Load. Zuletzt dokumentiert waren Lieferantenland 100 %, ABC 78 %, XYZ 65 % und Warengruppe 80.7 % gefüllt. Wo die Spalte leer ist, erscheint «ohne ABC» oder ein Hinweis.</w:t>
      </w:r>
    </w:p>
    <w:p>
      <w:pPr>
        <w:pStyle w:val="ListBullet"/>
        <w:numPr>
          <w:ilvl w:val="0"/>
          <w:numId w:val="1"/>
        </w:numPr>
      </w:pPr>
      <w:r>
        <w:t xml:space="preserve">Die Produktgruppen-Zuordnung beruht auf dem Disponenten, nicht auf einer Stammdatenpflege je Material. Bis zu einem vollständigen Lauf der Stücklistendaten ist sie unvollständig. Der zuletzt dokumentierte Stand hatte nur 105 Verwendungszeilen mit Disponent.</w:t>
      </w:r>
    </w:p>
    <w:p>
      <w:pPr>
        <w:pStyle w:val="ListBullet"/>
        <w:numPr>
          <w:ilvl w:val="0"/>
          <w:numId w:val="1"/>
        </w:numPr>
      </w:pPr>
      <w:r>
        <w:t xml:space="preserve">Die Texte für die Disponentengruppen D1 und D5 sind Ersatztexte des Cockpits. Ein später in SAP gepflegter Text hat Vorrang.</w:t>
      </w:r>
    </w:p>
    <w:p>
      <w:pPr>
        <w:pStyle w:val="Heading2"/>
      </w:pPr>
      <w:r>
        <w:t xml:space="preserve">Bestellbedarf &amp; Deckung</w:t>
      </w:r>
    </w:p>
    <w:p>
      <w:pPr>
        <w:pStyle w:val="Heading3"/>
      </w:pPr>
      <w:r>
        <w:t xml:space="preserve">Wozu</w:t>
      </w:r>
    </w:p>
    <w:p>
      <w:r>
        <w:t xml:space="preserve">Die Seite verbindet den SAP-Endbestand eines Materials mit seinen offenen Bestellungen, den Planterminen und den Lieferanten. Sie zeigt, wo trotz offener Bestellung eine Deckungslücke bleibt und wo Bestellungen überfällig sind.</w:t>
      </w:r>
    </w:p>
    <w:p>
      <w:pPr>
        <w:pStyle w:val="Heading3"/>
      </w:pPr>
      <w:r>
        <w:t xml:space="preserve">Was man sieht</w:t>
      </w:r>
    </w:p>
    <w:p>
      <w:r>
        <w:t xml:space="preserve">Ein Filterfeld nimmt Material, Text oder Lieferant, dazu kommen Disponent und Produktgruppe sowie der Schalter «Nur Handlungsbedarf». Vier Kennzahlen folgen: Deckungshinweise, offene Bestellmenge, überfällige Menge und offener Wert in CHF. Die Prioritätsbalken P1 bis P3 und «Ohne akuten Hinweis» zeigen die Verteilung. Eine Detailtabelle nennt je Material Bestand, Verbrauch, Endbestand, Sicherheits- und Meldebestand, offene und überfällige Menge, nächsten Termin und Lieferant. Ein Statusfeld nennt den Ladezeitpunkt der Stücklisten- und der Bestelldaten.</w:t>
      </w:r>
    </w:p>
    <w:p>
      <w:pPr>
        <w:pStyle w:val="Heading3"/>
      </w:pPr>
      <w:r>
        <w:t xml:space="preserve">Wie gerechnet wird</w:t>
      </w:r>
    </w:p>
    <w:p>
      <w:r>
        <w:t xml:space="preserve">Der Endbestand aus der SAP-Disposition bleibt führend. Die Bestellzugänge werden nicht noch einmal dazugezählt, damit nichts doppelt erscheint. Die Priorität lautet:</w:t>
      </w:r>
    </w:p>
    <w:p>
      <w:pPr>
        <w:pStyle w:val="ListBullet"/>
        <w:numPr>
          <w:ilvl w:val="0"/>
          <w:numId w:val="1"/>
        </w:numPr>
      </w:pPr>
      <w:r>
        <w:rPr>
          <w:b/>
        </w:rPr>
        <w:t xml:space="preserve">P1:</w:t>
      </w:r>
      <w:r>
        <w:t xml:space="preserve"> Endbestand negativ, entweder ohne offene Bestellung oder trotz offener Bestellung.</w:t>
      </w:r>
    </w:p>
    <w:p>
      <w:pPr>
        <w:pStyle w:val="ListBullet"/>
        <w:numPr>
          <w:ilvl w:val="0"/>
          <w:numId w:val="1"/>
        </w:numPr>
      </w:pPr>
      <w:r>
        <w:rPr>
          <w:b/>
        </w:rPr>
        <w:t xml:space="preserve">P2:</w:t>
      </w:r>
      <w:r>
        <w:t xml:space="preserve"> offene Menge mit überfälligem Plantermin.</w:t>
      </w:r>
    </w:p>
    <w:p>
      <w:pPr>
        <w:pStyle w:val="ListBullet"/>
        <w:numPr>
          <w:ilvl w:val="0"/>
          <w:numId w:val="1"/>
        </w:numPr>
      </w:pPr>
      <w:r>
        <w:rPr>
          <w:b/>
        </w:rPr>
        <w:t xml:space="preserve">P3:</w:t>
      </w:r>
      <w:r>
        <w:t xml:space="preserve"> Endbestand unter dem Sicherheits- oder Meldebestand oder kein Endbestand von SAP geliefert.</w:t>
      </w:r>
    </w:p>
    <w:p>
      <w:pPr>
        <w:pStyle w:val="ListBullet"/>
        <w:numPr>
          <w:ilvl w:val="0"/>
          <w:numId w:val="1"/>
        </w:numPr>
      </w:pPr>
      <w:r>
        <w:rPr>
          <w:b/>
        </w:rPr>
        <w:t xml:space="preserve">OK:</w:t>
      </w:r>
      <w:r>
        <w:t xml:space="preserve"> kein akuter Hinweis.</w:t>
      </w:r>
    </w:p>
    <w:p>
      <w:r>
        <w:t xml:space="preserve">Die offene Menge berücksichtigt nur Bestellungen, keine endgelieferten und keine stornierten Positionen. Die Detailtabelle zeigt höchstens die 1000 wichtigsten Treffer. Kennzahlen und Balken gelten für den gesamten gefilterten Umfang. Suche, Disponent und Produktgruppe wirken auf Kennzahlen, Balken und Tabelle. Der Schalter «Nur Handlungsbedarf» blendet die OK-Zeilen nur in Kennzahlen und Tabelle aus, nicht in den Balken.</w:t>
      </w:r>
    </w:p>
    <w:p>
      <w:pPr>
        <w:pStyle w:val="Heading3"/>
      </w:pPr>
      <w:r>
        <w:t xml:space="preserve">Einsatz im Arbeitsalltag</w:t>
      </w:r>
    </w:p>
    <w:p>
      <w:r>
        <w:rPr>
          <w:b/>
        </w:rPr>
        <w:t xml:space="preserve">Disponent:</w:t>
      </w:r>
      <w:r>
        <w:t xml:space="preserve"> Zum Wochenstart den eigenen Disponentencode eintragen und die P1-Zeilen abarbeiten: Lücke trotz Bestellung heisst, den Termin vorziehen oder zusätzlich bestellen.</w:t>
      </w:r>
    </w:p>
    <w:p>
      <w:r>
        <w:rPr>
          <w:b/>
        </w:rPr>
        <w:t xml:space="preserve">Einkäufer:</w:t>
      </w:r>
      <w:r>
        <w:t xml:space="preserve"> Die Spalten «Offen / überfällig» und «Lieferant» zeigen, bei wem nachzufassen ist.</w:t>
      </w:r>
    </w:p>
    <w:p>
      <w:pPr>
        <w:pStyle w:val="Heading3"/>
      </w:pPr>
      <w:r>
        <w:t xml:space="preserve">Grenzen und Fallstricke</w:t>
      </w:r>
    </w:p>
    <w:p>
      <w:pPr>
        <w:pStyle w:val="ListBullet"/>
        <w:numPr>
          <w:ilvl w:val="0"/>
          <w:numId w:val="1"/>
        </w:numPr>
      </w:pPr>
      <w:r>
        <w:t xml:space="preserve">Die Seite ist eine Auswertung und schreibt nichts nach SAP zurück.</w:t>
      </w:r>
    </w:p>
    <w:p>
      <w:pPr>
        <w:pStyle w:val="ListBullet"/>
        <w:numPr>
          <w:ilvl w:val="0"/>
          <w:numId w:val="1"/>
        </w:numPr>
      </w:pPr>
      <w:r>
        <w:t xml:space="preserve">Bleibt der Endbestand leer, ist das eine Datenlücke und kein Nullbestand.</w:t>
      </w:r>
    </w:p>
    <w:p>
      <w:pPr>
        <w:pStyle w:val="ListBullet"/>
        <w:numPr>
          <w:ilvl w:val="0"/>
          <w:numId w:val="1"/>
        </w:numPr>
      </w:pPr>
      <w:r>
        <w:t xml:space="preserve">Für eine unternehmensweite Aussage braucht es einen vollständigen Ladelauf der Stücklistenverwendung.</w:t>
      </w:r>
    </w:p>
    <w:p>
      <w:pPr>
        <w:pStyle w:val="Heading2"/>
      </w:pPr>
      <w:r>
        <w:t xml:space="preserve">Materialabhängigkeit</w:t>
      </w:r>
    </w:p>
    <w:p>
      <w:pPr>
        <w:pStyle w:val="Heading3"/>
      </w:pPr>
      <w:r>
        <w:t xml:space="preserve">Wozu</w:t>
      </w:r>
    </w:p>
    <w:p>
      <w:r>
        <w:t xml:space="preserve">Die Seite zeigt, bei welchen Materialien der Einkauf von einem einzigen Lieferanten oder von einer starken Konzentration abhängt und wie breit das Material verwendet wird. Sie hilft, Versorgungsrisiken früh zu erkennen.</w:t>
      </w:r>
    </w:p>
    <w:p>
      <w:pPr>
        <w:pStyle w:val="Heading3"/>
      </w:pPr>
      <w:r>
        <w:t xml:space="preserve">Was man sieht</w:t>
      </w:r>
    </w:p>
    <w:p>
      <w:r>
        <w:t xml:space="preserve">Wie bei den anderen Versorgungsseiten gibt es Filter, Kennzahlen (Risikomaterialien, nur ein Lieferant, breite Wirkung, analysierter Spend) und Prioritätsbalken. Die Tabelle nennt je Material den Top-Lieferanten, die Anzahl Lieferanten, den Top-Anteil in Prozent, den Spend in CHF und die Anzahl Elternmaterialien.</w:t>
      </w:r>
    </w:p>
    <w:p>
      <w:pPr>
        <w:pStyle w:val="Heading3"/>
      </w:pPr>
      <w:r>
        <w:t xml:space="preserve">Wie gerechnet wird</w:t>
      </w:r>
    </w:p>
    <w:p>
      <w:r>
        <w:t xml:space="preserve">Grundlage ist die Bestellhistorie, nicht eine freigegebene Bezugsquellenliste. Je Material werden die Lieferanten und ihr Spend verglichen. Die Priorität lautet:</w:t>
      </w:r>
    </w:p>
    <w:p>
      <w:pPr>
        <w:pStyle w:val="ListBullet"/>
        <w:numPr>
          <w:ilvl w:val="0"/>
          <w:numId w:val="1"/>
        </w:numPr>
      </w:pPr>
      <w:r>
        <w:rPr>
          <w:b/>
        </w:rPr>
        <w:t xml:space="preserve">P1:</w:t>
      </w:r>
      <w:r>
        <w:t xml:space="preserve"> nur ein beobachteter Lieferant und das Material wird in mindestens fünf übergeordneten Materialien verwendet.</w:t>
      </w:r>
    </w:p>
    <w:p>
      <w:pPr>
        <w:pStyle w:val="ListBullet"/>
        <w:numPr>
          <w:ilvl w:val="0"/>
          <w:numId w:val="1"/>
        </w:numPr>
      </w:pPr>
      <w:r>
        <w:rPr>
          <w:b/>
        </w:rPr>
        <w:t xml:space="preserve">P2:</w:t>
      </w:r>
      <w:r>
        <w:t xml:space="preserve"> nur ein beobachteter Lieferant bei geringerer Verwendung.</w:t>
      </w:r>
    </w:p>
    <w:p>
      <w:pPr>
        <w:pStyle w:val="ListBullet"/>
        <w:numPr>
          <w:ilvl w:val="0"/>
          <w:numId w:val="1"/>
        </w:numPr>
      </w:pPr>
      <w:r>
        <w:rPr>
          <w:b/>
        </w:rPr>
        <w:t xml:space="preserve">P3:</w:t>
      </w:r>
      <w:r>
        <w:t xml:space="preserve"> ein Lieferant hat mindestens 80 Prozent des Spends.</w:t>
      </w:r>
    </w:p>
    <w:p>
      <w:pPr>
        <w:pStyle w:val="ListBullet"/>
        <w:numPr>
          <w:ilvl w:val="0"/>
          <w:numId w:val="1"/>
        </w:numPr>
      </w:pPr>
      <w:r>
        <w:rPr>
          <w:b/>
        </w:rPr>
        <w:t xml:space="preserve">OK:</w:t>
      </w:r>
      <w:r>
        <w:t xml:space="preserve"> mehrere beobachtete Lieferanten.</w:t>
      </w:r>
    </w:p>
    <w:p>
      <w:r>
        <w:t xml:space="preserve">Stornierte Positionen sind ausgeschlossen, und es zählen nur echte Bestellungen. Der Spend umfasst die gesamte Historie.</w:t>
      </w:r>
    </w:p>
    <w:p>
      <w:pPr>
        <w:pStyle w:val="Heading3"/>
      </w:pPr>
      <w:r>
        <w:t xml:space="preserve">Einsatz im Arbeitsalltag</w:t>
      </w:r>
    </w:p>
    <w:p>
      <w:r>
        <w:rPr>
          <w:b/>
        </w:rPr>
        <w:t xml:space="preserve">Einkäufer:</w:t>
      </w:r>
      <w:r>
        <w:t xml:space="preserve"> Vor Rahmenvertrags- oder Preisgesprächen zeigt die Seite, wo ein Lieferant nicht ersetzbar ist, und hilft, Zweitquellen zu priorisieren.</w:t>
      </w:r>
    </w:p>
    <w:p>
      <w:r>
        <w:rPr>
          <w:b/>
        </w:rPr>
        <w:t xml:space="preserve">Geschäftsleitung:</w:t>
      </w:r>
      <w:r>
        <w:t xml:space="preserve"> Die Zahl «Nur ein Lieferant» ist eine Kennzahl für das Versorgungsrisiko.</w:t>
      </w:r>
    </w:p>
    <w:p>
      <w:pPr>
        <w:pStyle w:val="Heading3"/>
      </w:pPr>
      <w:r>
        <w:t xml:space="preserve">Grenzen und Fallstricke</w:t>
      </w:r>
    </w:p>
    <w:p>
      <w:pPr>
        <w:pStyle w:val="ListBullet"/>
        <w:numPr>
          <w:ilvl w:val="0"/>
          <w:numId w:val="1"/>
        </w:numPr>
      </w:pPr>
      <w:r>
        <w:t xml:space="preserve">«Ein Lieferant» heisst nur, dass historisch ein Lieferant beobachtet wurde. Zweitquellen, die in SAP hinterlegt, aber nie bestellt wurden, sieht die Seite nicht.</w:t>
      </w:r>
    </w:p>
    <w:p>
      <w:pPr>
        <w:pStyle w:val="ListBullet"/>
        <w:numPr>
          <w:ilvl w:val="0"/>
          <w:numId w:val="1"/>
        </w:numPr>
      </w:pPr>
      <w:r>
        <w:t xml:space="preserve">Die Spalte «Spend CHF» trägt in der Tabelle intern den Wert der Historie, nicht den der offenen Bestellungen.</w:t>
      </w:r>
    </w:p>
    <w:p>
      <w:pPr>
        <w:pStyle w:val="ListBullet"/>
        <w:numPr>
          <w:ilvl w:val="0"/>
          <w:numId w:val="1"/>
        </w:numPr>
      </w:pPr>
      <w:r>
        <w:t xml:space="preserve">Die Breite der Verwendung hängt von der Vollständigkeit der Stücklistendaten ab.</w:t>
      </w:r>
    </w:p>
    <w:p>
      <w:pPr>
        <w:pStyle w:val="Heading2"/>
      </w:pPr>
      <w:r>
        <w:t xml:space="preserve">Lieferperformance</w:t>
      </w:r>
    </w:p>
    <w:p>
      <w:pPr>
        <w:pStyle w:val="Heading3"/>
      </w:pPr>
      <w:r>
        <w:t xml:space="preserve">Wozu</w:t>
      </w:r>
    </w:p>
    <w:p>
      <w:r>
        <w:t xml:space="preserve">Die Seite zeigt den belastbaren Teil der Liefertreue: offene Bestellmengen, deren geplanter Termin überschritten ist oder bald fällig wird. Sie trennt dies ausdrücklich von der echten Termintreue, die heute nicht messbar ist.</w:t>
      </w:r>
    </w:p>
    <w:p>
      <w:pPr>
        <w:pStyle w:val="Heading3"/>
      </w:pPr>
      <w:r>
        <w:t xml:space="preserve">Was man sieht</w:t>
      </w:r>
    </w:p>
    <w:p>
      <w:r>
        <w:t xml:space="preserve">Ein gelber Hinweis oben stellt klar: Echte Liefertermintreue (OTIF) wird nicht berechnet, weil das tatsächliche Wareneingangsdatum fehlt. Vier Kennzahlen folgen: Plantermin-Risiken, überfällige Menge, offener Wert in CHF und Ist-Termin-Abdeckung, die konstant 0 % zeigt. Die Prioritätsbalken und die Tabelle (Lieferant, Plantermin, offene Menge, überfällig, offener Wert) vervollständigen die Seite. In der Spalte «Ist-Wareneingang» steht «Quelle fehlt».</w:t>
      </w:r>
    </w:p>
    <w:p>
      <w:pPr>
        <w:pStyle w:val="Heading3"/>
      </w:pPr>
      <w:r>
        <w:t xml:space="preserve">Wie gerechnet wird</w:t>
      </w:r>
    </w:p>
    <w:p>
      <w:r>
        <w:t xml:space="preserve">Je Material und Lieferant wird die offene Menge aus dem Bestellbestand gebildet. Priorität P1 bedeutet, dass eine Menge überfällig ist, P2, dass der nächste Plantermin innerhalb der nächsten 30 Tage liegt, und OK, dass der offene Termin später liegt. Gezählt werden nur offene Bestellungen ohne endgelieferte und stornierte Positionen.</w:t>
      </w:r>
    </w:p>
    <w:p>
      <w:pPr>
        <w:pStyle w:val="Heading3"/>
      </w:pPr>
      <w:r>
        <w:t xml:space="preserve">Einsatz im Arbeitsalltag</w:t>
      </w:r>
    </w:p>
    <w:p>
      <w:r>
        <w:rPr>
          <w:b/>
        </w:rPr>
        <w:t xml:space="preserve">Einkäufer:</w:t>
      </w:r>
      <w:r>
        <w:t xml:space="preserve"> Die P1-Liste ist die Mahnliste: Wer ist mit welcher Menge und welchem Wert im Verzug?</w:t>
      </w:r>
    </w:p>
    <w:p>
      <w:r>
        <w:rPr>
          <w:b/>
        </w:rPr>
        <w:t xml:space="preserve">Qualitäts- und Lieferantenmanagement:</w:t>
      </w:r>
      <w:r>
        <w:t xml:space="preserve"> Die Seite ist eine Vorstufe. Eine echte Bewertung braucht das Ist-Wareneingangsdatum.</w:t>
      </w:r>
    </w:p>
    <w:p>
      <w:pPr>
        <w:pStyle w:val="Heading3"/>
      </w:pPr>
      <w:r>
        <w:t xml:space="preserve">Grenzen und Fallstricke</w:t>
      </w:r>
    </w:p>
    <w:p>
      <w:pPr>
        <w:pStyle w:val="ListBullet"/>
        <w:numPr>
          <w:ilvl w:val="0"/>
          <w:numId w:val="1"/>
        </w:numPr>
      </w:pPr>
      <w:r>
        <w:t xml:space="preserve">Die Seite zeigt Plantermin-Rückstand, nicht Termintreue. Ein Lieferant, dessen Termin im System nie nachgepflegt wurde, erscheint als überfällig, auch wenn er geliefert hat und der Wareneingang noch nicht gebucht ist.</w:t>
      </w:r>
    </w:p>
    <w:p>
      <w:pPr>
        <w:pStyle w:val="ListBullet"/>
        <w:numPr>
          <w:ilvl w:val="0"/>
          <w:numId w:val="1"/>
        </w:numPr>
      </w:pPr>
      <w:r>
        <w:t xml:space="preserve">Die Ergänzung um Wareneingangsbelege ist offen, deshalb steht die Ist-Termin-Abdeckung auf null Prozent.</w:t>
      </w:r>
    </w:p>
    <w:p>
      <w:pPr>
        <w:pStyle w:val="Heading2"/>
      </w:pPr>
      <w:r>
        <w:t xml:space="preserve">Ideen: Übersicht</w:t>
      </w:r>
    </w:p>
    <w:p>
      <w:pPr>
        <w:pStyle w:val="Heading3"/>
      </w:pPr>
      <w:r>
        <w:t xml:space="preserve">Wozu</w:t>
      </w:r>
    </w:p>
    <w:p>
      <w:r>
        <w:t xml:space="preserve">Die Gruppe «Ideen» sammelt weitere Auswertungen, die der Einkauf neben Power BI für Steuerung, Risiko und Sparpotenzial nutzen kann. Die Übersicht zeigt den Reifegrad jeder Idee.</w:t>
      </w:r>
    </w:p>
    <w:p>
      <w:pPr>
        <w:pStyle w:val="Heading3"/>
      </w:pPr>
      <w:r>
        <w:t xml:space="preserve">Was man sieht</w:t>
      </w:r>
    </w:p>
    <w:p>
      <w:r>
        <w:t xml:space="preserve">Eine Kartenliste nennt zehn Ideen: Lieferantenrisiko, Preisentwicklung CHF, Maverick Buying, Rahmenvertragsnutzung, Working Capital, Datenqualität, Liefertermin-Risiko, Spend-Konzentration, Savings Tracker und Bestellrhythmus. Je Karte stehen eine Statusmarke (zum Beispiel «berechenbar», «Konzept», «teilweise», «startklar»), die benötigten Daten und der Nutzen. Daneben steht eine Prioritätenliste. Darunter liegen aufklappbare Bausteine mit Ziel, Datenbasis, Kennzahlen, Berechnung, Visualisierung und nächstem Schritt.</w:t>
      </w:r>
    </w:p>
    <w:p>
      <w:pPr>
        <w:pStyle w:val="Heading3"/>
      </w:pPr>
      <w:r>
        <w:t xml:space="preserve">Wie gerechnet wird</w:t>
      </w:r>
    </w:p>
    <w:p>
      <w:r>
        <w:t xml:space="preserve">Die Übersicht rechnet nichts. Der Status hängt davon ab, ob die nötigen SAP-Daten geladen sind. Der Status «Konzept» heisst, dass die Idee nur beschrieben und noch nicht berechnet wird. Das gilt für Lieferantenrisiko, Maverick Buying, Working Capital und Savings Tracker. «Berechenbar» heisst, dass es eine eigene Seite mit echten Zahlen gibt.</w:t>
      </w:r>
    </w:p>
    <w:p>
      <w:pPr>
        <w:pStyle w:val="Heading3"/>
      </w:pPr>
      <w:r>
        <w:t xml:space="preserve">Einsatz im Arbeitsalltag</w:t>
      </w:r>
    </w:p>
    <w:p>
      <w:r>
        <w:rPr>
          <w:b/>
        </w:rPr>
        <w:t xml:space="preserve">Einkaufsleiter:</w:t>
      </w:r>
      <w:r>
        <w:t xml:space="preserve"> Die Übersicht hilft zu entscheiden, welche Auswertung als Nächstes ausgebaut werden soll.</w:t>
      </w:r>
    </w:p>
    <w:p>
      <w:r>
        <w:rPr>
          <w:b/>
        </w:rPr>
        <w:t xml:space="preserve">Fachabteilung:</w:t>
      </w:r>
      <w:r>
        <w:t xml:space="preserve"> Wer eine Auswertung vermisst, findet hier, ob sie bereits angedacht ist.</w:t>
      </w:r>
    </w:p>
    <w:p>
      <w:pPr>
        <w:pStyle w:val="Heading3"/>
      </w:pPr>
      <w:r>
        <w:t xml:space="preserve">Grenzen und Fallstricke</w:t>
      </w:r>
    </w:p>
    <w:p>
      <w:pPr>
        <w:pStyle w:val="ListBullet"/>
        <w:numPr>
          <w:ilvl w:val="0"/>
          <w:numId w:val="1"/>
        </w:numPr>
      </w:pPr>
      <w:r>
        <w:t xml:space="preserve">Karten mit «Konzept» liefern keine Zahlen.</w:t>
      </w:r>
    </w:p>
    <w:p>
      <w:pPr>
        <w:pStyle w:val="ListBullet"/>
        <w:numPr>
          <w:ilvl w:val="0"/>
          <w:numId w:val="1"/>
        </w:numPr>
      </w:pPr>
      <w:r>
        <w:t xml:space="preserve">Der Kennzahlen-Katalog nennt den Umsetzungsstand je Kennzahl genauer.</w:t>
      </w:r>
    </w:p>
    <w:p>
      <w:pPr>
        <w:pStyle w:val="Heading2"/>
      </w:pPr>
      <w:r>
        <w:t xml:space="preserve">Ideen: Einkauf-Datenservice</w:t>
      </w:r>
    </w:p>
    <w:p>
      <w:pPr>
        <w:pStyle w:val="Heading3"/>
      </w:pPr>
      <w:r>
        <w:t xml:space="preserve">Wozu</w:t>
      </w:r>
    </w:p>
    <w:p>
      <w:r>
        <w:t xml:space="preserve">Die Seite steuert die Datenbasis des ganzen Moduls: Hier wird der Einkaufsbestand aus SAP neu aufgebaut oder aufgefrischt.</w:t>
      </w:r>
    </w:p>
    <w:p>
      <w:pPr>
        <w:pStyle w:val="Heading3"/>
      </w:pPr>
      <w:r>
        <w:t xml:space="preserve">Was man sieht</w:t>
      </w:r>
    </w:p>
    <w:p>
      <w:r>
        <w:t xml:space="preserve">Vier Kacheln zeigen die Zeilenzahlen im Bestand (Bestellköpfe, Positionen, Einteilungen) und den letzten Stand mit Modus. Zwei Knöpfe starten einen vollständigen Ladelauf oder einen Delta-Lauf. Darunter steht der Status und die letzte Meldung.</w:t>
      </w:r>
    </w:p>
    <w:p>
      <w:pPr>
        <w:pStyle w:val="Heading3"/>
      </w:pPr>
      <w:r>
        <w:t xml:space="preserve">Wie gerechnet wird</w:t>
      </w:r>
    </w:p>
    <w:p>
      <w:r>
        <w:t xml:space="preserve">Der Full Load baut die korrekte Basis komplett neu auf. Der Delta-Lauf aktualisiert danach nur neue und geänderte Belege. Beide Läufe laufen im Hintergrund weiter, auch wenn man die Seite verlässt. Läuft schon ein Lauf, startet kein zweiter. Nach einem erfolgreichen Lauf wird der Zwischenspeicher der Auswertungen geleert.</w:t>
      </w:r>
    </w:p>
    <w:p>
      <w:pPr>
        <w:pStyle w:val="Heading3"/>
      </w:pPr>
      <w:r>
        <w:t xml:space="preserve">Einsatz im Arbeitsalltag</w:t>
      </w:r>
    </w:p>
    <w:p>
      <w:r>
        <w:rPr>
          <w:b/>
        </w:rPr>
        <w:t xml:space="preserve">Administrator oder Key-User:</w:t>
      </w:r>
      <w:r>
        <w:t xml:space="preserve"> Nach grösseren Nachpflegen in SAP, zum Beispiel Endlieferkennzeichen oder Stammdaten, ist ein Full Load nötig, weil das Delta nur Belege berücksichtigt, die sich geändert haben. Ein Full Load ist aufwendig und sollte mit dem Einkauf und dem SAP-Betrieb abgestimmt werden.</w:t>
      </w:r>
    </w:p>
    <w:p>
      <w:pPr>
        <w:pStyle w:val="Heading3"/>
      </w:pPr>
      <w:r>
        <w:t xml:space="preserve">Grenzen und Fallstricke</w:t>
      </w:r>
    </w:p>
    <w:p>
      <w:pPr>
        <w:pStyle w:val="ListBullet"/>
        <w:numPr>
          <w:ilvl w:val="0"/>
          <w:numId w:val="1"/>
        </w:numPr>
      </w:pPr>
      <w:r>
        <w:t xml:space="preserve">Das Datum in SAP, an dem ein Beleg angelegt wurde, ist kein Änderungsdatum. Ein Wareneingang auf einem älteren Beleg wird deshalb nur vom Full Load zuverlässig erfasst.</w:t>
      </w:r>
    </w:p>
    <w:p>
      <w:pPr>
        <w:pStyle w:val="ListBullet"/>
        <w:numPr>
          <w:ilvl w:val="0"/>
          <w:numId w:val="1"/>
        </w:numPr>
      </w:pPr>
      <w:r>
        <w:t xml:space="preserve">Die Laufzeit eines Full Loads ist nicht verlässlich bekannt.</w:t>
      </w:r>
    </w:p>
    <w:p>
      <w:pPr>
        <w:pStyle w:val="Heading2"/>
      </w:pPr>
      <w:r>
        <w:t xml:space="preserve">Ideen: Liefertermin-Risiko</w:t>
      </w:r>
    </w:p>
    <w:p>
      <w:pPr>
        <w:pStyle w:val="Heading3"/>
      </w:pPr>
      <w:r>
        <w:t xml:space="preserve">Wozu</w:t>
      </w:r>
    </w:p>
    <w:p>
      <w:r>
        <w:t xml:space="preserve">Die Seite klassiert den offenen Bestellwert nach Fälligkeit und zeigt, bei welchen Lieferanten und Artikeln der grösste Wert überfällig oder bald fällig ist.</w:t>
      </w:r>
    </w:p>
    <w:p>
      <w:pPr>
        <w:pStyle w:val="Heading3"/>
      </w:pPr>
      <w:r>
        <w:t xml:space="preserve">Was man sieht</w:t>
      </w:r>
    </w:p>
    <w:p>
      <w:r>
        <w:t xml:space="preserve">Vier Kennzahlen: überfällig (offener Wert), 0 bis 7 Tage, Hotlist (Anzahl Zeilen) und Datenbasis. Ein Balkendiagramm zeigt den offenen Wert in den Klassen überfällig, 0 bis 7 Tage, 8 bis 30 Tage und später. Eine «Detail-Hotlist» listet die zehn grössten Kombinationen aus Lieferant und Artikel mit Fälligkeitsdatum und Ampel (rot, wenn überfällig, sonst gelb).</w:t>
      </w:r>
    </w:p>
    <w:p>
      <w:pPr>
        <w:pStyle w:val="Heading3"/>
      </w:pPr>
      <w:r>
        <w:t xml:space="preserve">Wie gerechnet wird</w:t>
      </w:r>
    </w:p>
    <w:p>
      <w:r>
        <w:t xml:space="preserve">Offene Menge mal Stückwert in CHF je Einteilung, eingeteilt nach dem geplanten Liefertermin gegenüber heute. Es gelten die Regeln der offenen Bestellungen (nur Bestellungen, ohne endgelieferte Positionen). Der Zeitraumfilter wirkt nicht.</w:t>
      </w:r>
    </w:p>
    <w:p>
      <w:pPr>
        <w:pStyle w:val="Heading3"/>
      </w:pPr>
      <w:r>
        <w:t xml:space="preserve">Einsatz im Arbeitsalltag</w:t>
      </w:r>
    </w:p>
    <w:p>
      <w:r>
        <w:rPr>
          <w:b/>
        </w:rPr>
        <w:t xml:space="preserve">Einkäufer:</w:t>
      </w:r>
      <w:r>
        <w:t xml:space="preserve"> Montags die Hotlist von oben abarbeiten und bei den grössten überfälligen Werten nachfassen.</w:t>
      </w:r>
    </w:p>
    <w:p>
      <w:r>
        <w:rPr>
          <w:b/>
        </w:rPr>
        <w:t xml:space="preserve">Controller:</w:t>
      </w:r>
      <w:r>
        <w:t xml:space="preserve"> Die Klasse «später» zeigt die zukünftige Zulaufverpflichtung nach Zeit.</w:t>
      </w:r>
    </w:p>
    <w:p>
      <w:pPr>
        <w:pStyle w:val="Heading3"/>
      </w:pPr>
      <w:r>
        <w:t xml:space="preserve">Grenzen und Fallstricke</w:t>
      </w:r>
    </w:p>
    <w:p>
      <w:pPr>
        <w:pStyle w:val="ListBullet"/>
        <w:numPr>
          <w:ilvl w:val="0"/>
          <w:numId w:val="1"/>
        </w:numPr>
      </w:pPr>
      <w:r>
        <w:t xml:space="preserve">Nur die zehn grössten Zeilen stehen in der Hotlist.</w:t>
      </w:r>
    </w:p>
    <w:p>
      <w:pPr>
        <w:pStyle w:val="ListBullet"/>
        <w:numPr>
          <w:ilvl w:val="0"/>
          <w:numId w:val="1"/>
        </w:numPr>
      </w:pPr>
      <w:r>
        <w:t xml:space="preserve">Die Klassen beruhen auf dem Plantermin, nicht auf einer zugesagten Lieferung.</w:t>
      </w:r>
    </w:p>
    <w:p>
      <w:pPr>
        <w:pStyle w:val="Heading2"/>
      </w:pPr>
      <w:r>
        <w:t xml:space="preserve">Ideen: Preisentwicklung</w:t>
      </w:r>
    </w:p>
    <w:p>
      <w:pPr>
        <w:pStyle w:val="Heading3"/>
      </w:pPr>
      <w:r>
        <w:t xml:space="preserve">Wozu</w:t>
      </w:r>
    </w:p>
    <w:p>
      <w:r>
        <w:t xml:space="preserve">Die Seite zeigt, ob Einkaufspreise steigen oder fallen, als Entwicklung über die Jahre und je Artikel.</w:t>
      </w:r>
    </w:p>
    <w:p>
      <w:pPr>
        <w:pStyle w:val="Heading3"/>
      </w:pPr>
      <w:r>
        <w:t xml:space="preserve">Was man sieht</w:t>
      </w:r>
    </w:p>
    <w:p>
      <w:r>
        <w:t xml:space="preserve">Vier Kennzahlen: Artikel im Trend, Anzahl Artikel mit Preisanstieg (über 2 Prozent gegenüber dem Vorjahr), Jahre und Datenbasis. Ein Balkendiagramm zeigt den Stückpreis je Jahr. Eine Hotlist zeigt die Artikel mit dem höchsten Spend und der Preisveränderung zum Vorjahr, mit Ampel: rot bei Anstieg über 2 Prozent, grün bei Rückgang über 2 Prozent, sonst gelb.</w:t>
      </w:r>
    </w:p>
    <w:p>
      <w:pPr>
        <w:pStyle w:val="Heading3"/>
      </w:pPr>
      <w:r>
        <w:t xml:space="preserve">Wie gerechnet wird</w:t>
      </w:r>
    </w:p>
    <w:p>
      <w:r>
        <w:t xml:space="preserve">Der Stückpreis ist der mengengewichtete Durchschnitt in CHF je Jahr: Summe der Positionswerte geteilt durch Summe der Mengen. Je Artikel wird die Veränderung gegenüber dem letzten Vorjahr mit Daten gebildet. Zeilen ohne Menge bleiben unberücksichtigt.</w:t>
      </w:r>
    </w:p>
    <w:p>
      <w:pPr>
        <w:pStyle w:val="Heading3"/>
      </w:pPr>
      <w:r>
        <w:t xml:space="preserve">Einsatz im Arbeitsalltag</w:t>
      </w:r>
    </w:p>
    <w:p>
      <w:r>
        <w:rPr>
          <w:b/>
        </w:rPr>
        <w:t xml:space="preserve">Einkäufer:</w:t>
      </w:r>
      <w:r>
        <w:t xml:space="preserve"> Vor der Preisverhandlung zeigt die Hotlist, welche Artikel teurer geworden sind und wie stark.</w:t>
      </w:r>
    </w:p>
    <w:p>
      <w:r>
        <w:rPr>
          <w:b/>
        </w:rPr>
        <w:t xml:space="preserve">Controller:</w:t>
      </w:r>
      <w:r>
        <w:t xml:space="preserve"> Die Jahresreihe hilft, Preiseffekte von Mengeneffekten zu trennen.</w:t>
      </w:r>
    </w:p>
    <w:p>
      <w:pPr>
        <w:pStyle w:val="Heading3"/>
      </w:pPr>
      <w:r>
        <w:t xml:space="preserve">Grenzen und Fallstricke</w:t>
      </w:r>
    </w:p>
    <w:p>
      <w:pPr>
        <w:pStyle w:val="ListBullet"/>
        <w:numPr>
          <w:ilvl w:val="0"/>
          <w:numId w:val="1"/>
        </w:numPr>
      </w:pPr>
      <w:r>
        <w:t xml:space="preserve">Das Diagramm zeigt den </w:t>
      </w:r>
      <w:r>
        <w:rPr>
          <w:b/>
        </w:rPr>
        <w:t xml:space="preserve">mengengewichteten Durchschnitt</w:t>
      </w:r>
      <w:r>
        <w:t xml:space="preserve"> je Jahr («Ø Stückpreis nach Jahr»), die Hotlist dagegen das </w:t>
      </w:r>
      <w:r>
        <w:rPr>
          <w:b/>
        </w:rPr>
        <w:t xml:space="preserve">Minimum</w:t>
      </w:r>
      <w:r>
        <w:t xml:space="preserve"> je Artikel und Jahr wie in Power BI. Beide Zahlen sind also nicht direkt vergleichbar. Ein steigender Durchschnitt kann auch daher kommen, dass mehr teure Artikel bestellt wurden (Mix), nicht nur von Preiserhöhungen.</w:t>
      </w:r>
    </w:p>
    <w:p>
      <w:pPr>
        <w:pStyle w:val="ListBullet"/>
        <w:numPr>
          <w:ilvl w:val="0"/>
          <w:numId w:val="1"/>
        </w:numPr>
      </w:pPr>
      <w:r>
        <w:t xml:space="preserve">Ein Durchschnitt über alle Artikel mischt sehr unterschiedliche Teile. Die Aussage liegt in der Veränderung, nicht im Niveau.</w:t>
      </w:r>
    </w:p>
    <w:p>
      <w:pPr>
        <w:pStyle w:val="Heading2"/>
      </w:pPr>
      <w:r>
        <w:t xml:space="preserve">Ideen: Spend-Konzentration</w:t>
      </w:r>
    </w:p>
    <w:p>
      <w:pPr>
        <w:pStyle w:val="Heading3"/>
      </w:pPr>
      <w:r>
        <w:t xml:space="preserve">Wozu</w:t>
      </w:r>
    </w:p>
    <w:p>
      <w:r>
        <w:t xml:space="preserve">Die Seite zeigt die Abhängigkeit von den grössten Lieferanten und das Bündelungspotenzial.</w:t>
      </w:r>
    </w:p>
    <w:p>
      <w:pPr>
        <w:pStyle w:val="Heading3"/>
      </w:pPr>
      <w:r>
        <w:t xml:space="preserve">Was man sieht</w:t>
      </w:r>
    </w:p>
    <w:p>
      <w:r>
        <w:t xml:space="preserve">Vier Kennzahlen: Top-10-Spend, Top-Anteil am Gesamtspend, Anzahl Lieferanten und Datenbasis. Ein Balkendiagramm zeigt die zehn grössten Lieferanten. Die Hotlist nennt je Lieferant Spend, Anzahl Warengruppen, Rang und Anteil mit Ampel.</w:t>
      </w:r>
    </w:p>
    <w:p>
      <w:pPr>
        <w:pStyle w:val="Heading3"/>
      </w:pPr>
      <w:r>
        <w:t xml:space="preserve">Wie gerechnet wird</w:t>
      </w:r>
    </w:p>
    <w:p>
      <w:r>
        <w:t xml:space="preserve">Der Spend je Lieferant wird absteigend sortiert, daraus ergeben sich Rang und Anteil am Gesamtspend des Zeitraums. Die Ampel hängt am absoluten Spend: über 1 Mio CHF rot, über 250'000 CHF gelb, sonst grün.</w:t>
      </w:r>
    </w:p>
    <w:p>
      <w:pPr>
        <w:pStyle w:val="Heading3"/>
      </w:pPr>
      <w:r>
        <w:t xml:space="preserve">Einsatz im Arbeitsalltag</w:t>
      </w:r>
    </w:p>
    <w:p>
      <w:r>
        <w:rPr>
          <w:b/>
        </w:rPr>
        <w:t xml:space="preserve">Einkaufsleiter:</w:t>
      </w:r>
      <w:r>
        <w:t xml:space="preserve"> Der Top-Anteil beantwortet, wie stark der Einkauf von wenigen Lieferanten abhängt.</w:t>
      </w:r>
    </w:p>
    <w:p>
      <w:r>
        <w:rPr>
          <w:b/>
        </w:rPr>
        <w:t xml:space="preserve">Geschäftsleitung:</w:t>
      </w:r>
      <w:r>
        <w:t xml:space="preserve"> Hohe Konzentration bedeutet Verhandlungshebel, aber auch Abhängigkeit.</w:t>
      </w:r>
    </w:p>
    <w:p>
      <w:pPr>
        <w:pStyle w:val="Heading3"/>
      </w:pPr>
      <w:r>
        <w:t xml:space="preserve">Grenzen und Fallstricke</w:t>
      </w:r>
    </w:p>
    <w:p>
      <w:pPr>
        <w:pStyle w:val="ListBullet"/>
        <w:numPr>
          <w:ilvl w:val="0"/>
          <w:numId w:val="1"/>
        </w:numPr>
      </w:pPr>
      <w:r>
        <w:t xml:space="preserve">Die Ampel ist eine reine Betragsschwelle und sagt nichts über das Risiko des Lieferanten.</w:t>
      </w:r>
    </w:p>
    <w:p>
      <w:pPr>
        <w:pStyle w:val="ListBullet"/>
        <w:numPr>
          <w:ilvl w:val="0"/>
          <w:numId w:val="1"/>
        </w:numPr>
      </w:pPr>
      <w:r>
        <w:t xml:space="preserve">Es werden nur die zehn grössten Lieferanten gezeigt.</w:t>
      </w:r>
    </w:p>
    <w:p>
      <w:pPr>
        <w:pStyle w:val="Heading2"/>
      </w:pPr>
      <w:r>
        <w:t xml:space="preserve">Ideen: Datenqualität</w:t>
      </w:r>
    </w:p>
    <w:p>
      <w:pPr>
        <w:pStyle w:val="Heading3"/>
      </w:pPr>
      <w:r>
        <w:t xml:space="preserve">Wozu</w:t>
      </w:r>
    </w:p>
    <w:p>
      <w:r>
        <w:t xml:space="preserve">Die Seite zählt Lücken in den Einkaufsdaten, damit Auswertungen nicht auf unvollständigen Daten beruhen.</w:t>
      </w:r>
    </w:p>
    <w:p>
      <w:pPr>
        <w:pStyle w:val="Heading3"/>
      </w:pPr>
      <w:r>
        <w:t xml:space="preserve">Was man sieht</w:t>
      </w:r>
    </w:p>
    <w:p>
      <w:r>
        <w:t xml:space="preserve">Vier Kennzahlen: Prüfungen, Fehler gesamt, Anzahl Positionen und Anzahl Bestellköpfe. Das Diagramm und die Liste zeigen die Prüfungen: fehlender Lieferant, fehlende Warengruppe, fehlender Artikel oder Text, Nullmenge und Nullwert. Zu jeder Prüfung gibt es eine Ampel.</w:t>
      </w:r>
    </w:p>
    <w:p>
      <w:pPr>
        <w:pStyle w:val="Heading3"/>
      </w:pPr>
      <w:r>
        <w:t xml:space="preserve">Wie gerechnet wird</w:t>
      </w:r>
    </w:p>
    <w:p>
      <w:r>
        <w:t xml:space="preserve">Gezählt werden Zeilen im gesamten gespeicherten Bestand, ohne Zeitraumfilter und ohne Rücksicht darauf, ob die Position storniert ist. Bei fehlendem Lieferanten und fehlendem Artikel steht die Ampel bei jedem Fund auf rot, bei den anderen Prüfungen auf gelb.</w:t>
      </w:r>
    </w:p>
    <w:p>
      <w:pPr>
        <w:pStyle w:val="Heading3"/>
      </w:pPr>
      <w:r>
        <w:t xml:space="preserve">Einsatz im Arbeitsalltag</w:t>
      </w:r>
    </w:p>
    <w:p>
      <w:r>
        <w:rPr>
          <w:b/>
        </w:rPr>
        <w:t xml:space="preserve">Key-User Einkauf:</w:t>
      </w:r>
      <w:r>
        <w:t xml:space="preserve"> Die Seite zeigt, wo die Stammdaten- oder Belegpflege in SAP nachzubessern ist. Nach der Korrektur ist ein Full Load nötig, damit die Zahl sinkt.</w:t>
      </w:r>
    </w:p>
    <w:p>
      <w:r>
        <w:rPr>
          <w:b/>
        </w:rPr>
        <w:t xml:space="preserve">Controller:</w:t>
      </w:r>
      <w:r>
        <w:t xml:space="preserve"> Eine hohe Zahl bei «Nullwert» erklärt, warum manche Auswertungen weniger Spend zeigen als erwartet.</w:t>
      </w:r>
    </w:p>
    <w:p>
      <w:pPr>
        <w:pStyle w:val="Heading3"/>
      </w:pPr>
      <w:r>
        <w:t xml:space="preserve">Grenzen und Fallstricke</w:t>
      </w:r>
    </w:p>
    <w:p>
      <w:pPr>
        <w:pStyle w:val="ListBullet"/>
        <w:numPr>
          <w:ilvl w:val="0"/>
          <w:numId w:val="1"/>
        </w:numPr>
      </w:pPr>
      <w:r>
        <w:t xml:space="preserve">Die Zahlen folgen nicht dem Zeitraumfilter, sie sind Bestandszahlen.</w:t>
      </w:r>
    </w:p>
    <w:p>
      <w:pPr>
        <w:pStyle w:val="ListBullet"/>
        <w:numPr>
          <w:ilvl w:val="0"/>
          <w:numId w:val="1"/>
        </w:numPr>
      </w:pPr>
      <w:r>
        <w:t xml:space="preserve">Nullwert und Nullmenge können fachlich korrekt sein, zum Beispiel bei Gratislieferungen oder Textpositionen.</w:t>
      </w:r>
    </w:p>
    <w:p>
      <w:pPr>
        <w:pStyle w:val="Heading2"/>
      </w:pPr>
      <w:r>
        <w:t xml:space="preserve">Kennzahlen-Katalog</w:t>
      </w:r>
    </w:p>
    <w:p>
      <w:pPr>
        <w:pStyle w:val="Heading3"/>
      </w:pPr>
      <w:r>
        <w:t xml:space="preserve">Wozu</w:t>
      </w:r>
    </w:p>
    <w:p>
      <w:r>
        <w:t xml:space="preserve">Der Katalog ist der fachliche Ausbauplan des Moduls: eine Tabelle aller geplanten und umgesetzten Kennzahlen mit Dimension, Datenbasis und Umsetzungsstand.</w:t>
      </w:r>
    </w:p>
    <w:p>
      <w:pPr>
        <w:pStyle w:val="Heading3"/>
      </w:pPr>
      <w:r>
        <w:t xml:space="preserve">Was man sieht</w:t>
      </w:r>
    </w:p>
    <w:p>
      <w:r>
        <w:t xml:space="preserve">Eine Tabelle mit den Spalten Analyse, Kennzahl, Dimension, Datenbasis und Status. Der Status ist eine Marke, zum Beispiel «bereit», «teilweise», «wartet auf EKET» oder «Konzept».</w:t>
      </w:r>
    </w:p>
    <w:p>
      <w:pPr>
        <w:pStyle w:val="Heading3"/>
      </w:pPr>
      <w:r>
        <w:t xml:space="preserve">Wie gerechnet wird</w:t>
      </w:r>
    </w:p>
    <w:p>
      <w:r>
        <w:t xml:space="preserve">Der Katalog rechnet nichts. Der Status hängt davon ab, ob die nötigen Quellen geladen sind.</w:t>
      </w:r>
    </w:p>
    <w:p>
      <w:pPr>
        <w:pStyle w:val="Heading3"/>
      </w:pPr>
      <w:r>
        <w:t xml:space="preserve">Einsatz im Arbeitsalltag</w:t>
      </w:r>
    </w:p>
    <w:p>
      <w:r>
        <w:rPr>
          <w:b/>
        </w:rPr>
        <w:t xml:space="preserve">Controller und Einkaufsleiter:</w:t>
      </w:r>
      <w:r>
        <w:t xml:space="preserve"> Vor der Abnahme von Auswertungen sieht man, welche Kennzahl tatsächlich berechnet wird und welche nur geplant ist.</w:t>
      </w:r>
    </w:p>
    <w:p>
      <w:pPr>
        <w:pStyle w:val="Heading3"/>
      </w:pPr>
      <w:r>
        <w:t xml:space="preserve">Grenzen und Fallstricke</w:t>
      </w:r>
    </w:p>
    <w:p>
      <w:pPr>
        <w:pStyle w:val="ListBullet"/>
        <w:numPr>
          <w:ilvl w:val="0"/>
          <w:numId w:val="1"/>
        </w:numPr>
      </w:pPr>
      <w:r>
        <w:t xml:space="preserve">Der Katalog zeigt den Soll- und Planungsstand. Massgebend für die Zahlen sind die Seiten selbst.</w:t>
      </w:r>
    </w:p>
    <w:p>
      <w:pPr>
        <w:pStyle w:val="Heading2"/>
      </w:pPr>
      <w:r>
        <w:t xml:space="preserve">PBIX Vorlage</w:t>
      </w:r>
    </w:p>
    <w:p>
      <w:pPr>
        <w:pStyle w:val="Heading3"/>
      </w:pPr>
      <w:r>
        <w:t xml:space="preserve">Wozu</w:t>
      </w:r>
    </w:p>
    <w:p>
      <w:r>
        <w:t xml:space="preserve">Die Seite zeigt, welche Seiten aus der bisherigen Power-BI-Datei in das Cockpit übernommen wurden, damit sich die Zahlen vergleichen lassen.</w:t>
      </w:r>
    </w:p>
    <w:p>
      <w:pPr>
        <w:pStyle w:val="Heading3"/>
      </w:pPr>
      <w:r>
        <w:t xml:space="preserve">Was man sieht</w:t>
      </w:r>
    </w:p>
    <w:p>
      <w:r>
        <w:t xml:space="preserve">Eine Tabelle mit sieben Power-BI-Seiten (zum Beispiel «Besch.Volumen CHF/Lieferant», «Preisentwicklung CHF», «Matrix Vol./WG»), den Visualtypen, dem Mass und den Dimensionen.</w:t>
      </w:r>
    </w:p>
    <w:p>
      <w:pPr>
        <w:pStyle w:val="Heading3"/>
      </w:pPr>
      <w:r>
        <w:t xml:space="preserve">Wie gerechnet wird</w:t>
      </w:r>
    </w:p>
    <w:p>
      <w:r>
        <w:t xml:space="preserve">Es wird nichts gerechnet. Die Seite dokumentiert die Herkunft. Bei der Preisentwicklung verwendete Power BI das Minimum des Netto-Stückpreises, das Cockpit rechnet heute den mengengewichteten Durchschnitt.</w:t>
      </w:r>
    </w:p>
    <w:p>
      <w:pPr>
        <w:pStyle w:val="Heading3"/>
      </w:pPr>
      <w:r>
        <w:t xml:space="preserve">Einsatz im Arbeitsalltag</w:t>
      </w:r>
    </w:p>
    <w:p>
      <w:r>
        <w:rPr>
          <w:b/>
        </w:rPr>
        <w:t xml:space="preserve">Controller:</w:t>
      </w:r>
      <w:r>
        <w:t xml:space="preserve"> Weicht eine Zahl vom Power-BI-Bericht ab, zeigt die Seite, welche Seite und welches Mass verglichen werden müssen.</w:t>
      </w:r>
    </w:p>
    <w:p>
      <w:pPr>
        <w:pStyle w:val="Heading3"/>
      </w:pPr>
      <w:r>
        <w:t xml:space="preserve">Grenzen und Fallstricke</w:t>
      </w:r>
    </w:p>
    <w:p>
      <w:pPr>
        <w:pStyle w:val="ListBullet"/>
        <w:numPr>
          <w:ilvl w:val="0"/>
          <w:numId w:val="1"/>
        </w:numPr>
      </w:pPr>
      <w:r>
        <w:t xml:space="preserve">Unterschiede zu Power BI sind möglich, weil das Cockpit Anfragen, Kontrakte und Umlagerungen ausschliesst und mit dem Belegkurs rechnet.</w:t>
      </w:r>
    </w:p>
    <w:p>
      <w:pPr>
        <w:pStyle w:val="Heading2"/>
      </w:pPr>
      <w:r>
        <w:t xml:space="preserve">3D Simulation</w:t>
      </w:r>
    </w:p>
    <w:p>
      <w:pPr>
        <w:pStyle w:val="Heading3"/>
      </w:pPr>
      <w:r>
        <w:t xml:space="preserve">Wozu</w:t>
      </w:r>
    </w:p>
    <w:p>
      <w:r>
        <w:t xml:space="preserve">Die Seite stellt Einkaufskennzahlen räumlich dar und erlaubt, Preis- oder Kursannahmen spielerisch durchzurechnen.</w:t>
      </w:r>
    </w:p>
    <w:p>
      <w:pPr>
        <w:pStyle w:val="Heading3"/>
      </w:pPr>
      <w:r>
        <w:t xml:space="preserve">Was man sieht</w:t>
      </w:r>
    </w:p>
    <w:p>
      <w:r>
        <w:t xml:space="preserve">Man wählt einen Indikator (Spend, offener Bestellwert, offene Menge, offener Wert der Kontraktabrufe, Liefertermin-Risiko, Preisentwicklung, Spend-Konzentration, Datenqualität, Lieferantenperformance) und die Grafikart (Balken, Linie, Fläche, Kreis). Ein Regler zwischen 0.5 und 1.5 simuliert ein Preis- oder Wechselkurs-Szenario, die Schaltfläche «-10%» setzt es auf 0.9. Ein zweiter Regler skaliert die Beschriftung. Die Grafik lässt sich drehen. Unter dem Regler steht die Differenz in Zahlen.</w:t>
      </w:r>
    </w:p>
    <w:p>
      <w:pPr>
        <w:pStyle w:val="Heading3"/>
      </w:pPr>
      <w:r>
        <w:t xml:space="preserve">Wie gerechnet wird</w:t>
      </w:r>
    </w:p>
    <w:p>
      <w:r>
        <w:t xml:space="preserve">Das Szenario multipliziert die dargestellten Werte mit dem Faktor. Bei den Indikatoren Spend, offener Wert, Kontraktwert, Liefertermin-Risiko, Preisentwicklung und Spend-Konzentration wirkt der Regler, bei den übrigen nicht («nicht auf diesen Indikator angewendet»). Die Werte stammen aus denselben Auswertungen wie die Seiten Spend, Offene Bestellungen und Ideen, also zum Beispiel den grössten Lieferanten.</w:t>
      </w:r>
    </w:p>
    <w:p>
      <w:pPr>
        <w:pStyle w:val="Heading3"/>
      </w:pPr>
      <w:r>
        <w:t xml:space="preserve">Einsatz im Arbeitsalltag</w:t>
      </w:r>
    </w:p>
    <w:p>
      <w:r>
        <w:rPr>
          <w:b/>
        </w:rPr>
        <w:t xml:space="preserve">Controller:</w:t>
      </w:r>
      <w:r>
        <w:t xml:space="preserve"> Für die Frage «Was passiert, wenn alle Preise um 10 Prozent steigen?» liefert der Regler eine schnelle Grössenordnung.</w:t>
      </w:r>
    </w:p>
    <w:p>
      <w:r>
        <w:rPr>
          <w:b/>
        </w:rPr>
        <w:t xml:space="preserve">Geschäftsleitung:</w:t>
      </w:r>
      <w:r>
        <w:t xml:space="preserve"> Die Grafik eignet sich zur Präsentation.</w:t>
      </w:r>
    </w:p>
    <w:p>
      <w:pPr>
        <w:pStyle w:val="Heading3"/>
      </w:pPr>
      <w:r>
        <w:t xml:space="preserve">Grenzen und Fallstricke</w:t>
      </w:r>
    </w:p>
    <w:p>
      <w:pPr>
        <w:pStyle w:val="ListBullet"/>
        <w:numPr>
          <w:ilvl w:val="0"/>
          <w:numId w:val="1"/>
        </w:numPr>
      </w:pPr>
      <w:r>
        <w:t xml:space="preserve">Das ist eine Spielwiese und keine Planung.</w:t>
      </w:r>
    </w:p>
    <w:p>
      <w:pPr>
        <w:pStyle w:val="ListBullet"/>
        <w:numPr>
          <w:ilvl w:val="0"/>
          <w:numId w:val="1"/>
        </w:numPr>
      </w:pPr>
      <w:r>
        <w:t xml:space="preserve">Für die Indikatoren «Offene Menge» und «Lieferantenperformance» gibt es keine Livewerte. Die Grafik zeigt dort feste Beispielzahlen (Simulation) und ist keine Aussage über Trafag.</w:t>
      </w:r>
    </w:p>
    <w:p>
      <w:pPr>
        <w:pStyle w:val="ListBullet"/>
        <w:numPr>
          <w:ilvl w:val="0"/>
          <w:numId w:val="1"/>
        </w:numPr>
      </w:pPr>
      <w:r>
        <w:t xml:space="preserve">Ohne geladenen Bestand zeigen auch die anderen Indikatoren Beispielwerte.</w:t>
      </w:r>
    </w:p>
    <w:p>
      <w:pPr>
        <w:pStyle w:val="Heading2"/>
      </w:pPr>
      <w:r>
        <w:t xml:space="preserve">Interaktiv</w:t>
      </w:r>
    </w:p>
    <w:p>
      <w:pPr>
        <w:pStyle w:val="Heading3"/>
      </w:pPr>
      <w:r>
        <w:t xml:space="preserve">Wozu</w:t>
      </w:r>
    </w:p>
    <w:p>
      <w:r>
        <w:t xml:space="preserve">«Interaktiv» ist eine Sammlung von neun animierten Ansichten auf die Bestellungen. Sie sind für das Entdecken von Mustern gedacht: Wer wächst, wer fällt zurück, wo wird nicht mehr nachbestellt. Die Ansichten entsprechen denen im Verkauf, mit vertauschten Rollen: Lieferant statt Kunde, Lieferland statt Kundenland, Hauptwarengruppe statt Sparte, Buchungskreis statt Gesellschaft, Bestellung statt Rechnung.</w:t>
      </w:r>
    </w:p>
    <w:p>
      <w:pPr>
        <w:pStyle w:val="Heading3"/>
      </w:pPr>
      <w:r>
        <w:t xml:space="preserve">Was man sieht</w:t>
      </w:r>
    </w:p>
    <w:p>
      <w:r>
        <w:t xml:space="preserve">Oben wählt man eine von neun Ansichten:</w:t>
      </w:r>
    </w:p>
    <w:p>
      <w:pPr>
        <w:pStyle w:val="ListBullet"/>
        <w:numPr>
          <w:ilvl w:val="0"/>
          <w:numId w:val="1"/>
        </w:numPr>
      </w:pPr>
      <w:r>
        <w:rPr>
          <w:b/>
        </w:rPr>
        <w:t xml:space="preserve">Lieferanten-Galaxie:</w:t>
      </w:r>
      <w:r>
        <w:t xml:space="preserve"> Jede Blase ist einer der 60 grössten Lieferanten der letzten 12 Monate. Rechts steht mehr Einkaufsvolumen im Quartal, oben die Veränderung gegenüber dem Vorquartal, die Grösse zeigt die Anzahl Bestellungen, die Farbe das Lieferland. Die Wiedergabe spielt die Quartale ab, Spuren zeigen den Weg.</w:t>
      </w:r>
    </w:p>
    <w:p>
      <w:pPr>
        <w:pStyle w:val="ListBullet"/>
        <w:numPr>
          <w:ilvl w:val="0"/>
          <w:numId w:val="1"/>
        </w:numPr>
      </w:pPr>
      <w:r>
        <w:rPr>
          <w:b/>
        </w:rPr>
        <w:t xml:space="preserve">Rennen:</w:t>
      </w:r>
      <w:r>
        <w:t xml:space="preserve"> Die Top 15 nach Einkaufsvolumen der jeweils letzten drei Monate, wählbar nach Lieferanten, Warengruppen oder Ländern. Die Balken überholen sich im Zeitverlauf.</w:t>
      </w:r>
    </w:p>
    <w:p>
      <w:pPr>
        <w:pStyle w:val="ListBullet"/>
        <w:numPr>
          <w:ilvl w:val="0"/>
          <w:numId w:val="1"/>
        </w:numPr>
      </w:pPr>
      <w:r>
        <w:rPr>
          <w:b/>
        </w:rPr>
        <w:t xml:space="preserve">Einkaufsfluss:</w:t>
      </w:r>
      <w:r>
        <w:t xml:space="preserve"> Ein Flussdiagramm vom Buchungskreis über die Hauptwarengruppe zum Lieferland (Top 12) der letzten 12 Monate.</w:t>
      </w:r>
    </w:p>
    <w:p>
      <w:pPr>
        <w:pStyle w:val="ListBullet"/>
        <w:numPr>
          <w:ilvl w:val="0"/>
          <w:numId w:val="1"/>
        </w:numPr>
      </w:pPr>
      <w:r>
        <w:rPr>
          <w:b/>
        </w:rPr>
        <w:t xml:space="preserve">Sonnenstrahl:</w:t>
      </w:r>
      <w:r>
        <w:t xml:space="preserve"> Ringe von innen nach aussen: Buchungskreise, Hauptwarengruppen, Lieferanten (je Gruppe die acht grössten). Ein Klick zoomt hinein.</w:t>
      </w:r>
    </w:p>
    <w:p>
      <w:pPr>
        <w:pStyle w:val="ListBullet"/>
        <w:numPr>
          <w:ilvl w:val="0"/>
          <w:numId w:val="1"/>
        </w:numPr>
      </w:pPr>
      <w:r>
        <w:rPr>
          <w:b/>
        </w:rPr>
        <w:t xml:space="preserve">Was wäre wenn:</w:t>
      </w:r>
      <w:r>
        <w:t xml:space="preserve"> Hochrechnung des Einkaufsvolumens mit Hebeln für Preis und Menge, für alle oder einzelne Hauptwarengruppen, und einem Währungshebel auf den Fremdwährungsanteil.</w:t>
      </w:r>
    </w:p>
    <w:p>
      <w:pPr>
        <w:pStyle w:val="ListBullet"/>
        <w:numPr>
          <w:ilvl w:val="0"/>
          <w:numId w:val="1"/>
        </w:numPr>
      </w:pPr>
      <w:r>
        <w:rPr>
          <w:b/>
        </w:rPr>
        <w:t xml:space="preserve">Bestellrhythmus:</w:t>
      </w:r>
      <w:r>
        <w:t xml:space="preserve"> Lieferanten mit mindestens vier Bestelltagen. Aus dem üblichen Abstand zwischen den Bestellungen ergibt sich das erwartete Datum der nächsten Bestellung. Die Liste «Wiederbestellung überfällig» sortiert nach überfälligen Takten mal Volumen.</w:t>
      </w:r>
    </w:p>
    <w:p>
      <w:pPr>
        <w:pStyle w:val="ListBullet"/>
        <w:numPr>
          <w:ilvl w:val="0"/>
          <w:numId w:val="1"/>
        </w:numPr>
      </w:pPr>
      <w:r>
        <w:rPr>
          <w:b/>
        </w:rPr>
        <w:t xml:space="preserve">Kalender:</w:t>
      </w:r>
      <w:r>
        <w:t xml:space="preserve"> Ein Kästchen je Bestelltag, Farbe nach Bestellwert. Ein Klick listet die Bestellungen des Tages.</w:t>
      </w:r>
    </w:p>
    <w:p>
      <w:pPr>
        <w:pStyle w:val="ListBullet"/>
        <w:numPr>
          <w:ilvl w:val="0"/>
          <w:numId w:val="1"/>
        </w:numPr>
      </w:pPr>
      <w:r>
        <w:rPr>
          <w:b/>
        </w:rPr>
        <w:t xml:space="preserve">Warengruppen-Netzwerk:</w:t>
      </w:r>
      <w:r>
        <w:t xml:space="preserve"> Die 40 Warengruppen mit den meisten Lieferanten. Eine Linie verbindet zwei Gruppen, wenn mindestens so viele Lieferanten (einstellbar) beide Gruppen liefern.</w:t>
      </w:r>
    </w:p>
    <w:p>
      <w:pPr>
        <w:pStyle w:val="ListBullet"/>
        <w:numPr>
          <w:ilvl w:val="0"/>
          <w:numId w:val="1"/>
        </w:numPr>
      </w:pPr>
      <w:r>
        <w:rPr>
          <w:b/>
        </w:rPr>
        <w:t xml:space="preserve">3D-Landschaft:</w:t>
      </w:r>
      <w:r>
        <w:t xml:space="preserve"> Säulen je Monat und Hauptwarengruppe, drehbar. Die Höhe folgt der Wurzel des Werts, damit kleine Werte sichtbar bleiben.</w:t>
      </w:r>
    </w:p>
    <w:p>
      <w:pPr>
        <w:pStyle w:val="Heading3"/>
      </w:pPr>
      <w:r>
        <w:t xml:space="preserve">Wie gerechnet wird</w:t>
      </w:r>
    </w:p>
    <w:p>
      <w:r>
        <w:t xml:space="preserve">Grundlage sind die Bestellpositionen der letzten 30 Monate aus dem Einkaufsbestand, ohne stornierte Positionen, nur echte Bestellungen, mit dem Netto-Bestellwert in CHF wie im Dashboard. Die Hauptwarengruppe ist die oberste Stufe der Warengruppe (aus «10.04.00» wird «10.00.00»). Der Rhythmus nimmt den Median der Abstände zwischen Bestelltagen. Der Datenstand wird 30 Minuten gemerkt. Die Fusszeile zeigt Anzahl Positionen und Ladezeit.</w:t>
      </w:r>
    </w:p>
    <w:p>
      <w:pPr>
        <w:pStyle w:val="Heading3"/>
      </w:pPr>
      <w:r>
        <w:t xml:space="preserve">Einsatz im Arbeitsalltag</w:t>
      </w:r>
    </w:p>
    <w:p>
      <w:r>
        <w:rPr>
          <w:b/>
        </w:rPr>
        <w:t xml:space="preserve">Einkaufsleiter:</w:t>
      </w:r>
      <w:r>
        <w:t xml:space="preserve"> Die Galaxie zeigt auf einen Blick, welche Lieferanten stark wachsen oder einbrechen. Der Bestellrhythmus zeigt auslaufende Beziehungen oder fällige Nachbestellungen.</w:t>
      </w:r>
    </w:p>
    <w:p>
      <w:r>
        <w:rPr>
          <w:b/>
        </w:rPr>
        <w:t xml:space="preserve">Controller:</w:t>
      </w:r>
      <w:r>
        <w:t xml:space="preserve"> Der Simulator liefert die Grössenordnung, wenn Preise oder Währungen sich ändern. Steigt eine Fremdwährung, wird der Einkauf teurer, deshalb gilt im Simulator ein Rückgang als gut.</w:t>
      </w:r>
    </w:p>
    <w:p>
      <w:r>
        <w:rPr>
          <w:b/>
        </w:rPr>
        <w:t xml:space="preserve">Einkäufer:</w:t>
      </w:r>
      <w:r>
        <w:t xml:space="preserve"> Das Warengruppen-Netzwerk zeigt, wo Lieferanten breit aufgestellt sind und sich Bestellungen bündeln lassen.</w:t>
      </w:r>
    </w:p>
    <w:p>
      <w:pPr>
        <w:pStyle w:val="Heading3"/>
      </w:pPr>
      <w:r>
        <w:t xml:space="preserve">Grenzen und Fallstricke</w:t>
      </w:r>
    </w:p>
    <w:p>
      <w:pPr>
        <w:pStyle w:val="ListBullet"/>
        <w:numPr>
          <w:ilvl w:val="0"/>
          <w:numId w:val="1"/>
        </w:numPr>
      </w:pPr>
      <w:r>
        <w:t xml:space="preserve">Es geht um Bestellvolumen, nicht um Wareneingang oder offene Mengen. Die Regel zu endgelieferten Positionen spielt hier keine Rolle.</w:t>
      </w:r>
    </w:p>
    <w:p>
      <w:pPr>
        <w:pStyle w:val="ListBullet"/>
        <w:numPr>
          <w:ilvl w:val="0"/>
          <w:numId w:val="1"/>
        </w:numPr>
      </w:pPr>
      <w:r>
        <w:t xml:space="preserve">Der Simulator ist eine Spielwiese und keine Planung. Der Rhythmus kennt keine Saison und keine Rahmenverträge.</w:t>
      </w:r>
    </w:p>
    <w:p>
      <w:pPr>
        <w:pStyle w:val="ListBullet"/>
        <w:numPr>
          <w:ilvl w:val="0"/>
          <w:numId w:val="1"/>
        </w:numPr>
      </w:pPr>
      <w:r>
        <w:t xml:space="preserve">Galaxie und Rhythmus brauchen Daten über mehrere Quartale. Das laufende Quartal ist als unvollständig gekennzeichnet.</w:t>
      </w:r>
    </w:p>
    <w:p>
      <w:pPr>
        <w:pStyle w:val="ListBullet"/>
        <w:numPr>
          <w:ilvl w:val="0"/>
          <w:numId w:val="1"/>
        </w:numPr>
      </w:pPr>
      <w:r>
        <w:t xml:space="preserve">Das Netzwerk ist nicht per Ziehen veränderbar.</w:t>
      </w:r>
    </w:p>
    <w:p>
      <w:pPr>
        <w:pStyle w:val="Heading2"/>
      </w:pPr>
      <w:r>
        <w:t xml:space="preserve">Datenquellen</w:t>
      </w:r>
    </w:p>
    <w:p>
      <w:pPr>
        <w:pStyle w:val="Heading3"/>
      </w:pPr>
      <w:r>
        <w:t xml:space="preserve">Wozu</w:t>
      </w:r>
    </w:p>
    <w:p>
      <w:r>
        <w:t xml:space="preserve">Die Seite pflegt die Verbindung zwischen dem Cockpit und dem SAP-System für den Einkauf und startet die Ladeläufe. Sie richtet sich an Administratoren und Key-User, nicht an Endanwender.</w:t>
      </w:r>
    </w:p>
    <w:p>
      <w:pPr>
        <w:pStyle w:val="Heading3"/>
      </w:pPr>
      <w:r>
        <w:t xml:space="preserve">Was man sieht</w:t>
      </w:r>
    </w:p>
    <w:p>
      <w:r>
        <w:t xml:space="preserve">Links stehen die Verbindungsdaten (Quellsystem, optionale abweichende Service-Adresse und Zugangsdaten, Schalter «Einkaufsquelle für Import aktivieren») mit den Knöpfen «Speichern», «Verbindung testen» und «Defaults wiederherstellen». Rechts steht eine Übersicht mit Anzahl Quellen, Verknüpfungen und Zuordnungen. Darunter starten die Knöpfe «Full Load starten» und «Delta aktualisieren» die Ladeläufe, mit Status und Zeilenzahlen. Reiter listen die SAP-Quellen, den Join-Fluss und die Zuordnungen.</w:t>
      </w:r>
    </w:p>
    <w:p>
      <w:pPr>
        <w:pStyle w:val="Heading3"/>
      </w:pPr>
      <w:r>
        <w:t xml:space="preserve">Wie gerechnet wird</w:t>
      </w:r>
    </w:p>
    <w:p>
      <w:r>
        <w:t xml:space="preserve">Hier wird nichts gerechnet. Ein Full Load ist der vollständige Neuaufbau und aufwendig, der Delta-Lauf holt nur neue und geänderte Belege. Nachts läuft automatisch ein Delta, solange die Einkaufsquelle aktiv ist.</w:t>
      </w:r>
    </w:p>
    <w:p>
      <w:pPr>
        <w:pStyle w:val="Heading3"/>
      </w:pPr>
      <w:r>
        <w:t xml:space="preserve">Einsatz im Arbeitsalltag</w:t>
      </w:r>
    </w:p>
    <w:p>
      <w:r>
        <w:rPr>
          <w:b/>
        </w:rPr>
        <w:t xml:space="preserve">Administrator:</w:t>
      </w:r>
      <w:r>
        <w:t xml:space="preserve"> Bei Störungen zuerst «Verbindung testen» ausführen und den Status des letzten Laufs prüfen. Einen Full Load nur nach Absprache mit dem Einkauf starten.</w:t>
      </w:r>
    </w:p>
    <w:p>
      <w:pPr>
        <w:pStyle w:val="Heading3"/>
      </w:pPr>
      <w:r>
        <w:t xml:space="preserve">Grenzen und Fallstricke</w:t>
      </w:r>
    </w:p>
    <w:p>
      <w:pPr>
        <w:pStyle w:val="ListBullet"/>
        <w:numPr>
          <w:ilvl w:val="0"/>
          <w:numId w:val="1"/>
        </w:numPr>
      </w:pPr>
      <w:r>
        <w:t xml:space="preserve">Leere Override-Felder bedeuten, dass die zentrale SAP-Verbindung gilt.</w:t>
      </w:r>
    </w:p>
    <w:p>
      <w:pPr>
        <w:pStyle w:val="ListBullet"/>
        <w:numPr>
          <w:ilvl w:val="0"/>
          <w:numId w:val="1"/>
        </w:numPr>
      </w:pPr>
      <w:r>
        <w:t xml:space="preserve">Fiel der nächtliche Lauf aus, bleiben die Zahlen auf dem alten Stand. Das Datum des letzten erfolgreichen Laufs steht auf dem Dashboard.</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Bestellwert / Spend</w:t>
            </w:r>
          </w:p>
        </w:tc>
        <w:tc>
          <w:tcPr>
            <w:tcW w:w="3102" w:type="dxa"/>
          </w:tcPr>
          <w:p>
            <w:pPr>
              <w:pStyle w:val="TableText"/>
            </w:pPr>
            <w:r>
              <w:t xml:space="preserve">Bestelltes Volumen im Zeitraum, kein Wareneingang und keine Rechnung</w:t>
            </w:r>
          </w:p>
        </w:tc>
        <w:tc>
          <w:tcPr>
            <w:tcW w:w="3102" w:type="dxa"/>
          </w:tcPr>
          <w:p>
            <w:pPr>
              <w:pStyle w:val="TableText"/>
            </w:pPr>
            <w:r>
              <w:t xml:space="preserve">Summe der Netto-Positionswerte aller Bestellungen mit Bestelldatum im Zeitraum, in CHF zum Belegkurs, ohne stornierte Positionen</w:t>
            </w:r>
          </w:p>
        </w:tc>
      </w:tr>
      <w:tr>
        <w:tc>
          <w:tcPr>
            <w:tcW w:w="3102" w:type="dxa"/>
          </w:tcPr>
          <w:p>
            <w:pPr>
              <w:pStyle w:val="TableText"/>
            </w:pPr>
            <w:r>
              <w:t xml:space="preserve">Bestellungen</w:t>
            </w:r>
          </w:p>
        </w:tc>
        <w:tc>
          <w:tcPr>
            <w:tcW w:w="3102" w:type="dxa"/>
          </w:tcPr>
          <w:p>
            <w:pPr>
              <w:pStyle w:val="TableText"/>
            </w:pPr>
            <w:r>
              <w:t xml:space="preserve">Anzahl Bestellbelege im Zeitraum</w:t>
            </w:r>
          </w:p>
        </w:tc>
        <w:tc>
          <w:tcPr>
            <w:tcW w:w="3102" w:type="dxa"/>
          </w:tcPr>
          <w:p>
            <w:pPr>
              <w:pStyle w:val="TableText"/>
            </w:pPr>
            <w:r>
              <w:t xml:space="preserve">Unterschiedliche Bestellnummern, eine Bestellung zählt einmal</w:t>
            </w:r>
          </w:p>
        </w:tc>
      </w:tr>
      <w:tr>
        <w:tc>
          <w:tcPr>
            <w:tcW w:w="3102" w:type="dxa"/>
          </w:tcPr>
          <w:p>
            <w:pPr>
              <w:pStyle w:val="TableText"/>
            </w:pPr>
            <w:r>
              <w:t xml:space="preserve">Aktive Lieferanten</w:t>
            </w:r>
          </w:p>
        </w:tc>
        <w:tc>
          <w:tcPr>
            <w:tcW w:w="3102" w:type="dxa"/>
          </w:tcPr>
          <w:p>
            <w:pPr>
              <w:pStyle w:val="TableText"/>
            </w:pPr>
            <w:r>
              <w:t xml:space="preserve">Lieferanten, bei denen im Zeitraum bestellt wurde</w:t>
            </w:r>
          </w:p>
        </w:tc>
        <w:tc>
          <w:tcPr>
            <w:tcW w:w="3102" w:type="dxa"/>
          </w:tcPr>
          <w:p>
            <w:pPr>
              <w:pStyle w:val="TableText"/>
            </w:pPr>
            <w:r>
              <w:t xml:space="preserve">Unterschiedliche Lieferanten mit mindestens einer Position ungleich null</w:t>
            </w:r>
          </w:p>
        </w:tc>
      </w:tr>
      <w:tr>
        <w:tc>
          <w:tcPr>
            <w:tcW w:w="3102" w:type="dxa"/>
          </w:tcPr>
          <w:p>
            <w:pPr>
              <w:pStyle w:val="TableText"/>
            </w:pPr>
            <w:r>
              <w:t xml:space="preserve">Offene Menge</w:t>
            </w:r>
          </w:p>
        </w:tc>
        <w:tc>
          <w:tcPr>
            <w:tcW w:w="3102" w:type="dxa"/>
          </w:tcPr>
          <w:p>
            <w:pPr>
              <w:pStyle w:val="TableText"/>
            </w:pPr>
            <w:r>
              <w:t xml:space="preserve">Bestellt, aber noch nicht im Wareneingang gebucht</w:t>
            </w:r>
          </w:p>
        </w:tc>
        <w:tc>
          <w:tcPr>
            <w:tcW w:w="3102" w:type="dxa"/>
          </w:tcPr>
          <w:p>
            <w:pPr>
              <w:pStyle w:val="TableText"/>
            </w:pPr>
            <w:r>
              <w:t xml:space="preserve">Je Liefereinteilung eingeplante Menge minus gebuchte Wareneingangsmenge, nie negativ</w:t>
            </w:r>
          </w:p>
        </w:tc>
      </w:tr>
      <w:tr>
        <w:tc>
          <w:tcPr>
            <w:tcW w:w="3102" w:type="dxa"/>
          </w:tcPr>
          <w:p>
            <w:pPr>
              <w:pStyle w:val="TableText"/>
            </w:pPr>
            <w:r>
              <w:t xml:space="preserve">Offener Bestellwert</w:t>
            </w:r>
          </w:p>
        </w:tc>
        <w:tc>
          <w:tcPr>
            <w:tcW w:w="3102" w:type="dxa"/>
          </w:tcPr>
          <w:p>
            <w:pPr>
              <w:pStyle w:val="TableText"/>
            </w:pPr>
            <w:r>
              <w:t xml:space="preserve">Wert des noch ausstehenden Zulaufs</w:t>
            </w:r>
          </w:p>
        </w:tc>
        <w:tc>
          <w:tcPr>
            <w:tcW w:w="3102" w:type="dxa"/>
          </w:tcPr>
          <w:p>
            <w:pPr>
              <w:pStyle w:val="TableText"/>
            </w:pPr>
            <w:r>
              <w:t xml:space="preserve">Offene Menge mal Stückwert in CHF. Zeitraumunabhängig, ohne endgelieferte, stornierte und gesperrte Positionen, nur Bestellungen</w:t>
            </w:r>
          </w:p>
        </w:tc>
      </w:tr>
      <w:tr>
        <w:tc>
          <w:tcPr>
            <w:tcW w:w="3102" w:type="dxa"/>
          </w:tcPr>
          <w:p>
            <w:pPr>
              <w:pStyle w:val="TableText"/>
            </w:pPr>
            <w:r>
              <w:t xml:space="preserve">Überfälliger Wert</w:t>
            </w:r>
          </w:p>
        </w:tc>
        <w:tc>
          <w:tcPr>
            <w:tcW w:w="3102" w:type="dxa"/>
          </w:tcPr>
          <w:p>
            <w:pPr>
              <w:pStyle w:val="TableText"/>
            </w:pPr>
            <w:r>
              <w:t xml:space="preserve">Teil des offenen Werts mit überschrittenem Plantermin</w:t>
            </w:r>
          </w:p>
        </w:tc>
        <w:tc>
          <w:tcPr>
            <w:tcW w:w="3102" w:type="dxa"/>
          </w:tcPr>
          <w:p>
            <w:pPr>
              <w:pStyle w:val="TableText"/>
            </w:pPr>
            <w:r>
              <w:t xml:space="preserve">Offener Wert der Einteilungen mit Liefertermin vor heute</w:t>
            </w:r>
          </w:p>
        </w:tc>
      </w:tr>
      <w:tr>
        <w:tc>
          <w:tcPr>
            <w:tcW w:w="3102" w:type="dxa"/>
          </w:tcPr>
          <w:p>
            <w:pPr>
              <w:pStyle w:val="TableText"/>
            </w:pPr>
            <w:r>
              <w:t xml:space="preserve">Offener Wert der Kontraktabrufe</w:t>
            </w:r>
          </w:p>
        </w:tc>
        <w:tc>
          <w:tcPr>
            <w:tcW w:w="3102" w:type="dxa"/>
          </w:tcPr>
          <w:p>
            <w:pPr>
              <w:pStyle w:val="TableText"/>
            </w:pPr>
            <w:r>
              <w:t xml:space="preserve">Näherung für offene Abrufe zu Rahmenverträgen</w:t>
            </w:r>
          </w:p>
        </w:tc>
        <w:tc>
          <w:tcPr>
            <w:tcW w:w="3102" w:type="dxa"/>
          </w:tcPr>
          <w:p>
            <w:pPr>
              <w:pStyle w:val="TableText"/>
            </w:pPr>
            <w:r>
              <w:t xml:space="preserve">Offener Wert, beschränkt auf Bestellungen mit Kontraktbezug</w:t>
            </w:r>
          </w:p>
        </w:tc>
      </w:tr>
      <w:tr>
        <w:tc>
          <w:tcPr>
            <w:tcW w:w="3102" w:type="dxa"/>
          </w:tcPr>
          <w:p>
            <w:pPr>
              <w:pStyle w:val="TableText"/>
            </w:pPr>
            <w:r>
              <w:t xml:space="preserve">Stückwert in CHF</w:t>
            </w:r>
          </w:p>
        </w:tc>
        <w:tc>
          <w:tcPr>
            <w:tcW w:w="3102" w:type="dxa"/>
          </w:tcPr>
          <w:p>
            <w:pPr>
              <w:pStyle w:val="TableText"/>
            </w:pPr>
            <w:r>
              <w:t xml:space="preserve">Preis je Einheit einer Position</w:t>
            </w:r>
          </w:p>
        </w:tc>
        <w:tc>
          <w:tcPr>
            <w:tcW w:w="3102" w:type="dxa"/>
          </w:tcPr>
          <w:p>
            <w:pPr>
              <w:pStyle w:val="TableText"/>
            </w:pPr>
            <w:r>
              <w:t xml:space="preserve">Positionswert in CHF geteilt durch Bestellmenge, null bei Menge null</w:t>
            </w:r>
          </w:p>
        </w:tc>
      </w:tr>
      <w:tr>
        <w:tc>
          <w:tcPr>
            <w:tcW w:w="3102" w:type="dxa"/>
          </w:tcPr>
          <w:p>
            <w:pPr>
              <w:pStyle w:val="TableText"/>
            </w:pPr>
            <w:r>
              <w:t xml:space="preserve">Preisindikator</w:t>
            </w:r>
          </w:p>
        </w:tc>
        <w:tc>
          <w:tcPr>
            <w:tcW w:w="3102" w:type="dxa"/>
          </w:tcPr>
          <w:p>
            <w:pPr>
              <w:pStyle w:val="TableText"/>
            </w:pPr>
            <w:r>
              <w:t xml:space="preserve">Preisniveau und Preisveränderung</w:t>
            </w:r>
          </w:p>
        </w:tc>
        <w:tc>
          <w:tcPr>
            <w:tcW w:w="3102" w:type="dxa"/>
          </w:tcPr>
          <w:p>
            <w:pPr>
              <w:pStyle w:val="TableText"/>
            </w:pPr>
            <w:r>
              <w:t xml:space="preserve">Mengengewichteter Durchschnitts-Stückpreis des jüngsten Jahres, mit Veränderung zum Vorjahr</w:t>
            </w:r>
          </w:p>
        </w:tc>
      </w:tr>
      <w:tr>
        <w:tc>
          <w:tcPr>
            <w:tcW w:w="3102" w:type="dxa"/>
          </w:tcPr>
          <w:p>
            <w:pPr>
              <w:pStyle w:val="TableText"/>
            </w:pPr>
            <w:r>
              <w:t xml:space="preserve">Top-Anteil</w:t>
            </w:r>
          </w:p>
        </w:tc>
        <w:tc>
          <w:tcPr>
            <w:tcW w:w="3102" w:type="dxa"/>
          </w:tcPr>
          <w:p>
            <w:pPr>
              <w:pStyle w:val="TableText"/>
            </w:pPr>
            <w:r>
              <w:t xml:space="preserve">Konzentration auf einen Lieferanten</w:t>
            </w:r>
          </w:p>
        </w:tc>
        <w:tc>
          <w:tcPr>
            <w:tcW w:w="3102" w:type="dxa"/>
          </w:tcPr>
          <w:p>
            <w:pPr>
              <w:pStyle w:val="TableText"/>
            </w:pPr>
            <w:r>
              <w:t xml:space="preserve">Anteil des grössten Lieferanten am Spend des Materials oder am Gesamtspend</w:t>
            </w:r>
          </w:p>
        </w:tc>
      </w:tr>
      <w:tr>
        <w:tc>
          <w:tcPr>
            <w:tcW w:w="3102" w:type="dxa"/>
          </w:tcPr>
          <w:p>
            <w:pPr>
              <w:pStyle w:val="TableText"/>
            </w:pPr>
            <w:r>
              <w:t xml:space="preserve">Lagerwert Einkaufsteile</w:t>
            </w:r>
          </w:p>
        </w:tc>
        <w:tc>
          <w:tcPr>
            <w:tcW w:w="3102" w:type="dxa"/>
          </w:tcPr>
          <w:p>
            <w:pPr>
              <w:pStyle w:val="TableText"/>
            </w:pPr>
            <w:r>
              <w:t xml:space="preserve">Gebundenes Kapital in Einkaufsteilen</w:t>
            </w:r>
          </w:p>
        </w:tc>
        <w:tc>
          <w:tcPr>
            <w:tcW w:w="3102" w:type="dxa"/>
          </w:tcPr>
          <w:p>
            <w:pPr>
              <w:pStyle w:val="TableText"/>
            </w:pPr>
            <w:r>
              <w:t xml:space="preserve">Bewerteter Gesamtbestand der Materialien der Disponenten 001 bis 005 im Bewertungskreis 1100, Stand des letzten Abrufs</w:t>
            </w:r>
          </w:p>
        </w:tc>
      </w:tr>
      <w:tr>
        <w:tc>
          <w:tcPr>
            <w:tcW w:w="3102" w:type="dxa"/>
          </w:tcPr>
          <w:p>
            <w:pPr>
              <w:pStyle w:val="TableText"/>
            </w:pPr>
            <w:r>
              <w:t xml:space="preserve">Endbestand</w:t>
            </w:r>
          </w:p>
        </w:tc>
        <w:tc>
          <w:tcPr>
            <w:tcW w:w="3102" w:type="dxa"/>
          </w:tcPr>
          <w:p>
            <w:pPr>
              <w:pStyle w:val="TableText"/>
            </w:pPr>
            <w:r>
              <w:t xml:space="preserve">Voraussichtlicher Bestand nach Zu- und Abgängen</w:t>
            </w:r>
          </w:p>
        </w:tc>
        <w:tc>
          <w:tcPr>
            <w:tcW w:w="3102" w:type="dxa"/>
          </w:tcPr>
          <w:p>
            <w:pPr>
              <w:pStyle w:val="TableText"/>
            </w:pPr>
            <w:r>
              <w:t xml:space="preserve">Wert aus der SAP-Disposition, nicht durch Bestellzugänge ergänzt</w:t>
            </w:r>
          </w:p>
        </w:tc>
      </w:tr>
      <w:tr>
        <w:tc>
          <w:tcPr>
            <w:tcW w:w="3102" w:type="dxa"/>
          </w:tcPr>
          <w:p>
            <w:pPr>
              <w:pStyle w:val="TableText"/>
            </w:pPr>
            <w:r>
              <w:t xml:space="preserve">Fehlmenge / Fehlwert</w:t>
            </w:r>
          </w:p>
        </w:tc>
        <w:tc>
          <w:tcPr>
            <w:tcW w:w="3102" w:type="dxa"/>
          </w:tcPr>
          <w:p>
            <w:pPr>
              <w:pStyle w:val="TableText"/>
            </w:pPr>
            <w:r>
              <w:t xml:space="preserve">Unterdeckung bei negativem Endbestand</w:t>
            </w:r>
          </w:p>
        </w:tc>
        <w:tc>
          <w:tcPr>
            <w:tcW w:w="3102" w:type="dxa"/>
          </w:tcPr>
          <w:p>
            <w:pPr>
              <w:pStyle w:val="TableText"/>
            </w:pPr>
            <w:r>
              <w:t xml:space="preserve">Fehlmenge ist der negative Endbestand, Fehlwert Fehlmenge mal Stückkosten. Fehlen die Stückkosten, wird nicht bewertet</w:t>
            </w:r>
          </w:p>
        </w:tc>
      </w:tr>
      <w:tr>
        <w:tc>
          <w:tcPr>
            <w:tcW w:w="3102" w:type="dxa"/>
          </w:tcPr>
          <w:p>
            <w:pPr>
              <w:pStyle w:val="TableText"/>
            </w:pPr>
            <w:r>
              <w:t xml:space="preserve">P1 / P2 / P3</w:t>
            </w:r>
          </w:p>
        </w:tc>
        <w:tc>
          <w:tcPr>
            <w:tcW w:w="3102" w:type="dxa"/>
          </w:tcPr>
          <w:p>
            <w:pPr>
              <w:pStyle w:val="TableText"/>
            </w:pPr>
            <w:r>
              <w:t xml:space="preserve">Prioritätsstufen der Versorgungsseiten</w:t>
            </w:r>
          </w:p>
        </w:tc>
        <w:tc>
          <w:tcPr>
            <w:tcW w:w="3102" w:type="dxa"/>
          </w:tcPr>
          <w:p>
            <w:pPr>
              <w:pStyle w:val="TableText"/>
            </w:pPr>
            <w:r>
              <w:t xml:space="preserve">P1 sofort, P2 hoch, P3 prüfen, die Regeln stehen je Seite</w:t>
            </w:r>
          </w:p>
        </w:tc>
      </w:tr>
      <w:tr>
        <w:tc>
          <w:tcPr>
            <w:tcW w:w="3102" w:type="dxa"/>
          </w:tcPr>
          <w:p>
            <w:pPr>
              <w:pStyle w:val="TableText"/>
            </w:pPr>
            <w:r>
              <w:t xml:space="preserve">Ist-Termin-Abdeckung</w:t>
            </w:r>
          </w:p>
        </w:tc>
        <w:tc>
          <w:tcPr>
            <w:tcW w:w="3102" w:type="dxa"/>
          </w:tcPr>
          <w:p>
            <w:pPr>
              <w:pStyle w:val="TableText"/>
            </w:pPr>
            <w:r>
              <w:t xml:space="preserve">Anteil der Lieferungen mit bekanntem tatsächlichen Wareneingangsdatum</w:t>
            </w:r>
          </w:p>
        </w:tc>
        <w:tc>
          <w:tcPr>
            <w:tcW w:w="3102" w:type="dxa"/>
          </w:tcPr>
          <w:p>
            <w:pPr>
              <w:pStyle w:val="TableText"/>
            </w:pPr>
            <w:r>
              <w:t xml:space="preserve">Heute 0 %, weil die Quelle fehlt</w:t>
            </w:r>
          </w:p>
        </w:tc>
      </w:tr>
    </w:tbl>
    <w:p>
      <w:pPr>
        <w:spacing w:before="0" w:after="80"/>
      </w:pPr>
    </w:p>
    <w:p>
      <w:r>
        <w:br w:type="page"/>
      </w:r>
    </w:p>
    <w:p>
      <w:pPr>
        <w:pStyle w:val="Heading1"/>
      </w:pPr>
      <w:r>
        <w:t xml:space="preserve">Verkauf</w:t>
      </w:r>
    </w:p>
    <w:p>
      <w:r>
        <w:t xml:space="preserve">Das Modul Verkauf beantwortet alle Fragen rund um die Kunden und den Umsatz der Trafag-Gruppe. Es richtet sich an Vertriebsleiter, Verkäufer, Controller und die Geschäftsleitung. Im Menü liegt es als eigener Reiter </w:t>
      </w:r>
      <w:r>
        <w:rPr>
          <w:b/>
        </w:rPr>
        <w:t xml:space="preserve">Verkauf</w:t>
      </w:r>
      <w:r>
        <w:t xml:space="preserve"> mit neun Unterreitern: Kunden, Rückgang, Neue und verlorene Kunden, Konzentration, Cross-Selling, Preisstreuung, Saison und Prognose, Weltkarte und Interaktiv. Der Unterreiter Interaktiv enthält wiederum neun animierte Ansichten mit eigener Reiterleiste.</w:t>
      </w:r>
    </w:p>
    <w:p>
      <w:r>
        <w:t xml:space="preserve">Die Daten stammen aus derselben Quelle wie das Finance-Cockpit, nämlich aus den verarbeiteten Verkaufsdaten aller Trafag-Standorte. Es gelten dieselben Finance-Regeln für den Einschluss einer Rechnungszeile und für den Nettoumsatz, Gutschriften zählen also negativ. Alle Beträge sind in CHF zum Kurs des Belegdatums. Konzernkunden, also andere Gesellschaften der Trafag-Gruppe, sind ausgeschlossen, damit nur der Umsatz mit externen Kunden erscheint. Fehlt für eine Zeile der Wechselkurs, wird sie weggelassen und am Seitenende gezählt.</w:t>
      </w:r>
    </w:p>
    <w:p>
      <w:r>
        <w:t xml:space="preserve">Die Zeitfenster enden immer mit dem letzten vollständigen Monat. Ein Monat gilt als vollständig, sobald die jüngste Rechnung im Datenbestand den letzten Werktag (Montag bis Freitag) dieses Monats erreicht hat. Ein angebrochener Monat verzerrt damit keine Vergleiche. Alle Standorte liefern Daten ab Januar 2025. Vergleiche mit dem Vorjahr laufen deshalb über gleich lange Zeiträume, die ganz in den vorhandenen Daten liegen. Die Berechnung wird bis zu einem neuen Quellstand, höchstens aber zwei Stunden lang, zwischengespeichert. Der erste Aufruf kann bis zu einer Minute dauern. Auf jeder Seite stehen unten der Datenstand, die Zahl der Positionen, die Zahl der ohne Kurs weggelassenen Zeilen und die Zahl der ausgeschlossenen Konzernkunden-Positionen.</w:t>
      </w:r>
    </w:p>
    <w:p>
      <w:r>
        <w:t xml:space="preserve">Zwei Regeln gelten für alle Seiten. Erstens werden Kunden über alle Gesellschaften hinweg zusammengefasst, und zwar über den Namen ohne Rechtsform (AG, GmbH, Ltd und ähnliche), ohne Satzzeichen und ohne Akzente. Zwei verschiedene Firmen mit gleichem Namen können dabei zusammenfallen, und dieselbe Firma mit abweichender Schreibweise kann getrennt erscheinen. Kunden ohne Namen erscheinen mit Gesellschaft und Kundennummer. Zweitens zählen Leistungen, Platzhalter-Nummern und Versandpauschalen (zum Beispiel „Versand bis 2,9 kg“) nicht als Artikel. Das wirkt auf die Preisstreuung und das Artikel-Netzwerk.</w:t>
      </w:r>
    </w:p>
    <w:p>
      <w:r>
        <w:t xml:space="preserve">Der Reiter ist ohne Finance-Passwort zugänglich. Wer das Cockpit öffnet, sieht also Kundenumsätze. Die meisten Seiten haben einen Excel-Export.</w:t>
      </w:r>
    </w:p>
    <w:p>
      <w:pPr>
        <w:pStyle w:val="Heading2"/>
      </w:pPr>
      <w:r>
        <w:t xml:space="preserve">Kunden</w:t>
      </w:r>
    </w:p>
    <w:p>
      <w:pPr>
        <w:pStyle w:val="Heading3"/>
      </w:pPr>
      <w:r>
        <w:t xml:space="preserve">Wozu</w:t>
      </w:r>
    </w:p>
    <w:p>
      <w:r>
        <w:t xml:space="preserve">Die Seite ist der Einstieg in den Kundenumsatz der Gruppe. Sie zeigt, welche Kunden wie viel Umsatz bringen, wie sich dieser gegenüber dem Vorjahr verändert hat und bei welchen Kunden mehrere Gesellschaften beteiligt sind.</w:t>
      </w:r>
    </w:p>
    <w:p>
      <w:pPr>
        <w:pStyle w:val="Heading3"/>
      </w:pPr>
      <w:r>
        <w:t xml:space="preserve">Was man sieht</w:t>
      </w:r>
    </w:p>
    <w:p>
      <w:r>
        <w:t xml:space="preserve">Oben stehen Kennzahlen: Umsatz der letzten 12 Monate, Umsatz im Vergleichszeitraum, derselbe Zeitraum im Vorjahr, die prozentuale Veränderung, die Zahl der Kunden mit Umsatz und die Zahl der Kunden, die bei mehreren Gesellschaften kaufen. Darunter folgt die Veränderung je Gesellschaft. Ein extremer Wert bei einer einzelnen Gesellschaft deutet laut Hinweis auf der Seite eher auf einen Datenfehler als auf echtes Wachstum.</w:t>
      </w:r>
    </w:p>
    <w:p>
      <w:r>
        <w:t xml:space="preserve">Links steht die durchsuchbare Kundenliste mit Land, beteiligten Gesellschaften, Umsatz der letzten 12 Monate, Veränderung in Prozent und einer kleinen Verlaufslinie. Daneben stehen die zehn grössten Kunden als animierte Balken. Ein Klick auf einen Kunden öffnet seine Details: erste und letzte Rechnung, Zahl der Rechnungen, Umsatz je Monat über 36 Monate, Sparten der letzten 24 Monate und Top-Artikel der letzten 12 Monate.</w:t>
      </w:r>
    </w:p>
    <w:p>
      <w:pPr>
        <w:pStyle w:val="Heading3"/>
      </w:pPr>
      <w:r>
        <w:t xml:space="preserve">Wie gerechnet wird</w:t>
      </w:r>
    </w:p>
    <w:p>
      <w:r>
        <w:t xml:space="preserve">Der Umsatz der letzten 12 Monate ist die Summe aller Nettoumsätze eines Kunden in den 12 vollständigen Monaten vor dem Stichtag. Der Vergleichszeitraum umfasst höchstens 12 Monate und ist so gewählt, dass der gleiche Zeitraum im Vorjahr vollständig in den Daten liegt. Die Veränderung ist die Differenz zwischen aktuellem Zeitraum und Vorjahreszeitraum, geteilt durch den Vorjahreswert. Erste und letzte Rechnung berücksichtigen nur Zeilen mit positivem Umsatz, Gutschriften gelten nicht als Kauf. Als Hauptland eines Kunden gilt das Land mit dem grössten Umsatz.</w:t>
      </w:r>
    </w:p>
    <w:p>
      <w:pPr>
        <w:pStyle w:val="Heading3"/>
      </w:pPr>
      <w:r>
        <w:t xml:space="preserve">Einsatz im Arbeitsalltag</w:t>
      </w:r>
    </w:p>
    <w:p>
      <w:r>
        <w:rPr>
          <w:b/>
        </w:rPr>
        <w:t xml:space="preserve">Vertriebsleiter:</w:t>
      </w:r>
      <w:r>
        <w:t xml:space="preserve"> Man sieht auf einen Blick, ob der Gesamtumsatz gegenüber dem Vorjahr wächst und welche Gesellschaft dazu beiträgt. Typische Frage: Wie viel Umsatz macht ein bestimmter Kunde gruppenweit, nicht nur bei einer Gesellschaft?</w:t>
      </w:r>
    </w:p>
    <w:p>
      <w:r>
        <w:rPr>
          <w:b/>
        </w:rPr>
        <w:t xml:space="preserve">Verkäufer:</w:t>
      </w:r>
      <w:r>
        <w:t xml:space="preserve"> Vor einem Kundengespräch lässt sich der Kunde suchen und sein Verlauf, seine Sparten und seine wichtigsten Artikel ansehen.</w:t>
      </w:r>
    </w:p>
    <w:p>
      <w:r>
        <w:rPr>
          <w:b/>
        </w:rPr>
        <w:t xml:space="preserve">Controller:</w:t>
      </w:r>
      <w:r>
        <w:t xml:space="preserve"> Die Veränderung je Gesellschaft dient als erste Plausibilitätsprüfung der Verkaufsdaten.</w:t>
      </w:r>
    </w:p>
    <w:p>
      <w:pPr>
        <w:pStyle w:val="Heading3"/>
      </w:pPr>
      <w:r>
        <w:t xml:space="preserve">Grenzen und Fallstricke</w:t>
      </w:r>
    </w:p>
    <w:p>
      <w:r>
        <w:t xml:space="preserve">Die Summen können von Finance abweichen, weil Finance teils in Hauswährung oder mit dem Kurs vom 31.12. rechnet und Konzernkunden dort enthalten sind. Die Zusammenfassung über den Namen ist nicht fehlerfrei (siehe Einleitung). Eine Marge zeigt der Reiter nicht, sie gehört zur Gruppenmarge in Finance. Es gibt auch keine Auswertung nach Verkäufern.</w:t>
      </w:r>
    </w:p>
    <w:p>
      <w:pPr>
        <w:pStyle w:val="Heading2"/>
      </w:pPr>
      <w:r>
        <w:t xml:space="preserve">Rückgang</w:t>
      </w:r>
    </w:p>
    <w:p>
      <w:pPr>
        <w:pStyle w:val="Heading3"/>
      </w:pPr>
      <w:r>
        <w:t xml:space="preserve">Wozu</w:t>
      </w:r>
    </w:p>
    <w:p>
      <w:r>
        <w:t xml:space="preserve">Die Seite zeigt Kunden, deren Umsatz deutlich gesunken ist oder die gar nichts mehr bestellen, damit der Vertrieb rechtzeitig nachfassen kann.</w:t>
      </w:r>
    </w:p>
    <w:p>
      <w:pPr>
        <w:pStyle w:val="Heading3"/>
      </w:pPr>
      <w:r>
        <w:t xml:space="preserve">Was man sieht</w:t>
      </w:r>
    </w:p>
    <w:p>
      <w:r>
        <w:t xml:space="preserve">Oben stehen die Zahl der Kunden mit Rückgang, davon die Zahl der Kunden ohne Umsatz seit 6 Monaten und der gesamte fehlende Umsatz gegenüber dem Vorjahr. Darunter steht die Liste, sortiert nach fehlendem Umsatz, mit Land, Gesellschaften und einem roten Kennzeichen „eingeschlafen“ bei Kunden ohne Rechnung seit 6 Monaten. Es werden höchstens 150 Kunden angezeigt. Über die Auswahl „Vorjahreszeitraum mindestens CHF“ lässt sich die Mindestgrösse einstellen (1'000, 5'000, 10'000, 25'000, 50'000 oder 100'000 CHF, Standard 10'000).</w:t>
      </w:r>
    </w:p>
    <w:p>
      <w:pPr>
        <w:pStyle w:val="Heading3"/>
      </w:pPr>
      <w:r>
        <w:t xml:space="preserve">Wie gerechnet wird</w:t>
      </w:r>
    </w:p>
    <w:p>
      <w:r>
        <w:t xml:space="preserve">Aufgenommen wird, wer im Vorjahreszeitraum mindestens den eingestellten Betrag umgesetzt hat. Ein Kunde gilt als „eingeschlafen“, wenn er in den letzten 6 Monaten keinen Umsatz hatte und der aktuelle Zeitraum unter dem Vorjahr liegt. Alle anderen erscheinen, wenn ihr Umsatz im Vergleichszeitraum um mindestens 30 Prozent unter dem gleichen Zeitraum des Vorjahres liegt. Der fehlende Umsatz ist Vorjahreswert minus aktueller Wert.</w:t>
      </w:r>
    </w:p>
    <w:p>
      <w:pPr>
        <w:pStyle w:val="Heading3"/>
      </w:pPr>
      <w:r>
        <w:t xml:space="preserve">Einsatz im Arbeitsalltag</w:t>
      </w:r>
    </w:p>
    <w:p>
      <w:r>
        <w:rPr>
          <w:b/>
        </w:rPr>
        <w:t xml:space="preserve">Vertriebsleiter:</w:t>
      </w:r>
      <w:r>
        <w:t xml:space="preserve"> Die Liste ist eine Nachfassliste. Typische Frage: Welche grossen Kunden haben wir stillschweigend verloren, und wie viel Umsatz fehlt dadurch?</w:t>
      </w:r>
    </w:p>
    <w:p>
      <w:r>
        <w:rPr>
          <w:b/>
        </w:rPr>
        <w:t xml:space="preserve">Verkäufer:</w:t>
      </w:r>
      <w:r>
        <w:t xml:space="preserve"> Man prüft bei den eigenen Kunden, ob der Rückgang bekannt ist (Projektende, Lagerabbau, Wechsel zum Mitbewerber) und plant einen Anruf.</w:t>
      </w:r>
    </w:p>
    <w:p>
      <w:r>
        <w:rPr>
          <w:b/>
        </w:rPr>
        <w:t xml:space="preserve">Geschäftsleitung:</w:t>
      </w:r>
      <w:r>
        <w:t xml:space="preserve"> Die Summe des fehlenden Umsatzes zeigt, wie viel Geschäft im Bestand gefährdet ist.</w:t>
      </w:r>
    </w:p>
    <w:p>
      <w:pPr>
        <w:pStyle w:val="Heading3"/>
      </w:pPr>
      <w:r>
        <w:t xml:space="preserve">Grenzen und Fallstricke</w:t>
      </w:r>
    </w:p>
    <w:p>
      <w:r>
        <w:t xml:space="preserve">Ein Rückgang kann auch eine verschobene Bestellung oder ein einmaliges Grossprojekt im Vorjahr sein. Kunden mit seltenen, grossen Bestellungen erscheinen leicht zu Unrecht. Wegen des Datenbeginns im Januar 2025 sind Vergleiche erst nach und nach über längere Zeiträume möglich.</w:t>
      </w:r>
    </w:p>
    <w:p>
      <w:pPr>
        <w:pStyle w:val="Heading2"/>
      </w:pPr>
      <w:r>
        <w:t xml:space="preserve">Neue und verlorene Kunden</w:t>
      </w:r>
    </w:p>
    <w:p>
      <w:pPr>
        <w:pStyle w:val="Heading3"/>
      </w:pPr>
      <w:r>
        <w:t xml:space="preserve">Wozu</w:t>
      </w:r>
    </w:p>
    <w:p>
      <w:r>
        <w:t xml:space="preserve">Die Seite zeigt, ob die Gruppe mehr Kunden gewinnt als verliert. Sie macht die Neukundengewinnung und die Abwanderung je Quartal sichtbar.</w:t>
      </w:r>
    </w:p>
    <w:p>
      <w:pPr>
        <w:pStyle w:val="Heading3"/>
      </w:pPr>
      <w:r>
        <w:t xml:space="preserve">Was man sieht</w:t>
      </w:r>
    </w:p>
    <w:p>
      <w:r>
        <w:t xml:space="preserve">Ein Balkendiagramm zeigt die letzten 12 vollständigen Quartale. Grüne Balken nach oben stehen für neue Kunden, rote Balken nach unten für verlorene. Mit den Schaltern „Anzahl“ und „Umsatz CHF“ wechselt man zwischen der Zahl der Kunden und ihrem Umsatz. Schraffierte Balken sind noch nicht endgültig, graue Balken stammen aus dem ersten Datenjahr und sind nicht belastbar. Darunter stehen die Namen der wichtigsten neuen und verlorenen Kunden der letzten vier Quartale.</w:t>
      </w:r>
    </w:p>
    <w:p>
      <w:pPr>
        <w:pStyle w:val="Heading3"/>
      </w:pPr>
      <w:r>
        <w:t xml:space="preserve">Wie gerechnet wird</w:t>
      </w:r>
    </w:p>
    <w:p>
      <w:r>
        <w:t xml:space="preserve">Ein Kunde ist in dem Quartal „neu“, in dem sein erster Kauf im Datenbestand liegt. Als Umsatz zählen seine ersten 12 Monate. Ein Kunde ist in dem Quartal „verloren“, in dem sein letzter Kauf liegt und seither nichts mehr folgte. Als Umsatz zählen die 12 Monate vor dem letzten Kauf. Verluste werden erst 6 Monate nach Quartalsende angezeigt, vorher steht „noch offen“, weil die meisten Kunden einfach noch nicht wieder bestellt haben. Endgültig gilt ein Verlust erst, wenn nach dem Quartal 12 Monate vergangen sind, bis dahin ist der Balken schraffiert, und der Kunde kann zurückkommen. „Neu“ ist erst belastbar, wenn davor mindestens 12 Monate Daten liegen, sonst wirkt jeder bestehende Kunde neu. Nur Zeilen mit positivem Umsatz zählen als Kauf.</w:t>
      </w:r>
    </w:p>
    <w:p>
      <w:pPr>
        <w:pStyle w:val="Heading3"/>
      </w:pPr>
      <w:r>
        <w:t xml:space="preserve">Einsatz im Arbeitsalltag</w:t>
      </w:r>
    </w:p>
    <w:p>
      <w:r>
        <w:rPr>
          <w:b/>
        </w:rPr>
        <w:t xml:space="preserve">Vertriebsleiter:</w:t>
      </w:r>
      <w:r>
        <w:t xml:space="preserve"> Man vergleicht Gewinn und Verlust und sieht, ob das Wachstum auf neuen Kunden oder auf höherem Umsatz bei bestehenden beruht.</w:t>
      </w:r>
    </w:p>
    <w:p>
      <w:r>
        <w:rPr>
          <w:b/>
        </w:rPr>
        <w:t xml:space="preserve">Verkäufer:</w:t>
      </w:r>
      <w:r>
        <w:t xml:space="preserve"> Die Namenslisten zeigen, welche Neukunden nach dem Erstauftrag weiter betreut werden sollten und welche verlorenen Kunden eine Rückgewinnung lohnen.</w:t>
      </w:r>
    </w:p>
    <w:p>
      <w:r>
        <w:rPr>
          <w:b/>
        </w:rPr>
        <w:t xml:space="preserve">Geschäftsleitung:</w:t>
      </w:r>
      <w:r>
        <w:t xml:space="preserve"> Eine anhaltend negative Bilanz in Anzahl und Umsatz ist ein Warnsignal für die Marktbearbeitung.</w:t>
      </w:r>
    </w:p>
    <w:p>
      <w:pPr>
        <w:pStyle w:val="Heading3"/>
      </w:pPr>
      <w:r>
        <w:t xml:space="preserve">Grenzen und Fallstricke</w:t>
      </w:r>
    </w:p>
    <w:p>
      <w:r>
        <w:t xml:space="preserve">Bei Kunden mit seltenen Bestellungen ist die Unterscheidung „verloren“ und „bestellt noch nicht wieder“ unscharf. Im ersten Datenjahr (2025) ist die Zahl der Neukunden nicht aussagekräftig. Ein Kunde, der unter anderem Namen auftritt, kann als neu und gleichzeitig als verloren erscheinen.</w:t>
      </w:r>
    </w:p>
    <w:p>
      <w:pPr>
        <w:pStyle w:val="Heading2"/>
      </w:pPr>
      <w:r>
        <w:t xml:space="preserve">Konzentration</w:t>
      </w:r>
    </w:p>
    <w:p>
      <w:pPr>
        <w:pStyle w:val="Heading3"/>
      </w:pPr>
      <w:r>
        <w:t xml:space="preserve">Wozu</w:t>
      </w:r>
    </w:p>
    <w:p>
      <w:r>
        <w:t xml:space="preserve">Die Seite zeigt, wie stark der Umsatz von wenigen Kunden abhängt. Das ist eine Frage des Klumpenrisikos.</w:t>
      </w:r>
    </w:p>
    <w:p>
      <w:pPr>
        <w:pStyle w:val="Heading3"/>
      </w:pPr>
      <w:r>
        <w:t xml:space="preserve">Was man sieht</w:t>
      </w:r>
    </w:p>
    <w:p>
      <w:r>
        <w:t xml:space="preserve">Sechs Kennzahlen stehen oben: Anteil des grössten Kunden, Anteil der Top 5, Top 10 und Top 20 sowie die Zahl der Kunden, die zusammen 80 Prozent des Umsatzes machen. Dazu kommt der HHI, der unter 1500 als breit gestreut gilt und darüber rot erscheint. Die Pareto-Kurve zeigt die Kunden nach Umsatz sortiert und den kumulierten Anteil am Gesamtumsatz. Je steiler der Anfang, desto abhängiger ist die Gruppe von wenigen Kunden. Die Kundenachse ist logarithmisch. Eine zweite Grafik zeigt den Anteil der zehn grössten Kunden je Gesellschaft.</w:t>
      </w:r>
    </w:p>
    <w:p>
      <w:pPr>
        <w:pStyle w:val="Heading3"/>
      </w:pPr>
      <w:r>
        <w:t xml:space="preserve">Wie gerechnet wird</w:t>
      </w:r>
    </w:p>
    <w:p>
      <w:r>
        <w:t xml:space="preserve">Grundlage ist der Umsatz der letzten 12 Monate je Kunde, nur Kunden mit positivem Umsatz. Der Anteil der Top n ist die Summe der n grössten Kundenumsätze geteilt durch den Gesamtumsatz. Der HHI (Herfindahl-Hirschman-Index) ist die Summe der quadrierten Prozentanteile aller Kunden. Ein einziger Kunde mit 100 Prozent ergäbe 10'000, viele gleich kleine Kunden ergeben einen Wert nahe null.</w:t>
      </w:r>
    </w:p>
    <w:p>
      <w:pPr>
        <w:pStyle w:val="Heading3"/>
      </w:pPr>
      <w:r>
        <w:t xml:space="preserve">Einsatz im Arbeitsalltag</w:t>
      </w:r>
    </w:p>
    <w:p>
      <w:r>
        <w:rPr>
          <w:b/>
        </w:rPr>
        <w:t xml:space="preserve">Geschäftsleitung:</w:t>
      </w:r>
      <w:r>
        <w:t xml:space="preserve"> Vor strategischen Entscheiden oder Kreditgesprächen zeigt die Seite die Abhängigkeit von Grosskunden. Typische Frage: Wie viele Kunden brauchen wir für 80 Prozent des Umsatzes?</w:t>
      </w:r>
    </w:p>
    <w:p>
      <w:r>
        <w:rPr>
          <w:b/>
        </w:rPr>
        <w:t xml:space="preserve">Controller:</w:t>
      </w:r>
      <w:r>
        <w:t xml:space="preserve"> Der Vergleich der Gesellschaften zeigt, welche Gesellschaft besonders an wenigen Kunden hängt.</w:t>
      </w:r>
    </w:p>
    <w:p>
      <w:r>
        <w:rPr>
          <w:b/>
        </w:rPr>
        <w:t xml:space="preserve">Vertriebsleiter:</w:t>
      </w:r>
      <w:r>
        <w:t xml:space="preserve"> Die Kunden hinter den obersten Anteilen sind die Schlüsselkunden, die besonders betreut werden sollten.</w:t>
      </w:r>
    </w:p>
    <w:p>
      <w:pPr>
        <w:pStyle w:val="Heading3"/>
      </w:pPr>
      <w:r>
        <w:t xml:space="preserve">Grenzen und Fallstricke</w:t>
      </w:r>
    </w:p>
    <w:p>
      <w:r>
        <w:t xml:space="preserve">Weil Kunden über den Namen zusammengefasst werden, kann ein Konzern mit mehreren Gesellschaften als ein Kunde erscheinen, oder ein Kunde mit abweichender Schreibweise als mehrere. Das verändert die Anteile.</w:t>
      </w:r>
    </w:p>
    <w:p>
      <w:pPr>
        <w:pStyle w:val="Heading2"/>
      </w:pPr>
      <w:r>
        <w:t xml:space="preserve">Cross-Selling</w:t>
      </w:r>
    </w:p>
    <w:p>
      <w:pPr>
        <w:pStyle w:val="Heading3"/>
      </w:pPr>
      <w:r>
        <w:t xml:space="preserve">Wozu</w:t>
      </w:r>
    </w:p>
    <w:p>
      <w:r>
        <w:t xml:space="preserve">Die Seite zeigt, welche Produktsparten Kunden zusammen kaufen, und leitet daraus Verkaufschancen ab: Kunden, die eine Sparte nicht kaufen, obwohl vergleichbare Kunden es tun.</w:t>
      </w:r>
    </w:p>
    <w:p>
      <w:pPr>
        <w:pStyle w:val="Heading3"/>
      </w:pPr>
      <w:r>
        <w:t xml:space="preserve">Was man sieht</w:t>
      </w:r>
    </w:p>
    <w:p>
      <w:r>
        <w:t xml:space="preserve">Eine Heatmap „Wer A kauft, kauft auch B“ zeigt in Zeile A und Spalte B den Anteil der Kunden mit Sparte A, die auch B kaufen. Darunter steht die Liste „Ansätze je Kunde“ mit dem Kunden, der fehlenden Sparte, der Sparte, aus der der Hinweis stammt, der Wahrscheinlichkeit in Prozent und dem typischen Umsatz der Käufer dieser Sparte.</w:t>
      </w:r>
    </w:p>
    <w:p>
      <w:pPr>
        <w:pStyle w:val="Heading3"/>
      </w:pPr>
      <w:r>
        <w:t xml:space="preserve">Wie gerechnet wird</w:t>
      </w:r>
    </w:p>
    <w:p>
      <w:r>
        <w:t xml:space="preserve">Betrachtet werden die letzten 24 Monate und nur Zeilen mit positivem Umsatz. Jeder Kunde hat einen Warenkorb aus den Sparten, die er gekauft hat. Ein Paar A und B erscheint nur, wenn mindestens 5 Kunden beide kaufen. Der Anteil in der Heatmap (Konfidenz) ist die Zahl der Kunden mit A und B geteilt durch die Zahl der Kunden mit A. Ein Ansatz erscheint, wenn die Konfidenz mindestens 40 Prozent beträgt und B bei A-Käufern häufiger vorkommt als im Durchschnitt aller Kunden (Lift über 1). Die Liste ist nach Kundenumsatz mal Wahrscheinlichkeit sortiert. „Typisch“ ist der mittlere Umsatz der Käufer der fehlenden Sparte. Nicht zugeordnete Sparten, „Others“ und reine Nummern bleiben weg.</w:t>
      </w:r>
    </w:p>
    <w:p>
      <w:pPr>
        <w:pStyle w:val="Heading3"/>
      </w:pPr>
      <w:r>
        <w:t xml:space="preserve">Einsatz im Arbeitsalltag</w:t>
      </w:r>
    </w:p>
    <w:p>
      <w:r>
        <w:rPr>
          <w:b/>
        </w:rPr>
        <w:t xml:space="preserve">Vertriebsleiter:</w:t>
      </w:r>
      <w:r>
        <w:t xml:space="preserve"> Man gewinnt Argumente für Zusatzverkäufe und kann Verkäufer gezielt auf Kunden ansetzen. Typische Frage: Welchem Kunden mit Sparte A lässt sich zusätzlich Sparte B anbieten?</w:t>
      </w:r>
    </w:p>
    <w:p>
      <w:r>
        <w:rPr>
          <w:b/>
        </w:rPr>
        <w:t xml:space="preserve">Verkäufer:</w:t>
      </w:r>
      <w:r>
        <w:t xml:space="preserve"> Die Ansatzliste dient als Gesprächsvorbereitung. Der typische Umsatz zeigt die Grössenordnung des möglichen Zusatzgeschäfts.</w:t>
      </w:r>
    </w:p>
    <w:p>
      <w:pPr>
        <w:pStyle w:val="Heading3"/>
      </w:pPr>
      <w:r>
        <w:t xml:space="preserve">Grenzen und Fallstricke</w:t>
      </w:r>
    </w:p>
    <w:p>
      <w:r>
        <w:t xml:space="preserve">Die Sparte ist für einen grossen Teil der Zeilen ausserhalb der Schweiz leer. Cross-Selling ist deshalb vor allem für die Schweiz aussagekräftig. Ein Ansatz ist ein statistischer Hinweis, kein Beweis für Bedarf. Der Kunde kann die Sparte bei einem Mitbewerber oder über eine andere Gesellschaft decken.</w:t>
      </w:r>
    </w:p>
    <w:p>
      <w:pPr>
        <w:pStyle w:val="Heading2"/>
      </w:pPr>
      <w:r>
        <w:t xml:space="preserve">Preisstreuung</w:t>
      </w:r>
    </w:p>
    <w:p>
      <w:pPr>
        <w:pStyle w:val="Heading3"/>
      </w:pPr>
      <w:r>
        <w:t xml:space="preserve">Wozu</w:t>
      </w:r>
    </w:p>
    <w:p>
      <w:r>
        <w:t xml:space="preserve">Die Seite zeigt, bei welchen Artikeln verschiedene Kunden sehr unterschiedliche Stückpreise bezahlen. Sie dient als Grundlage für Preisdisziplin und Konditionsgespräche.</w:t>
      </w:r>
    </w:p>
    <w:p>
      <w:pPr>
        <w:pStyle w:val="Heading3"/>
      </w:pPr>
      <w:r>
        <w:t xml:space="preserve">Was man sieht</w:t>
      </w:r>
    </w:p>
    <w:p>
      <w:r>
        <w:t xml:space="preserve">Links steht die Liste der Artikel mit grosser Preisstreuung. Pro Artikel stehen die Zahl der Kunden, der Umsatz und der Faktor. Rechts erscheint nach Auswahl eines Artikels ein Streudiagramm. Jeder Punkt ist ein Kunde, seine Grösse zeigt die Menge. Die Achse ist logarithmisch. Ein Band zeigt den Bereich von 10 bis 90 Prozent, eine Linie den Median. Darüber stehen Median, P10 und P90 in CHF.</w:t>
      </w:r>
    </w:p>
    <w:p>
      <w:pPr>
        <w:pStyle w:val="Heading3"/>
      </w:pPr>
      <w:r>
        <w:t xml:space="preserve">Wie gerechnet wird</w:t>
      </w:r>
    </w:p>
    <w:p>
      <w:r>
        <w:t xml:space="preserve">Je Artikel und Kunde wird der durchschnittliche Stückpreis in CHF der letzten 12 Monate berechnet, also Umsatz geteilt durch Menge, nur für Zeilen mit positiver Menge und positivem Wert. Der Faktor ist der Preis, unter dem 90 Prozent der Kunden liegen, geteilt durch den Preis, unter dem 10 Prozent liegen. So zählen einzelne Ausreisser nicht. Berücksichtigt werden Artikel mit mindestens 5 Kunden. Platzhalter-Nummern und Leistungen wie Zertifikate, Bearbeitung, Fracht oder Versand sind ausgeschlossen. Die Liste ist nach Faktor und Umsatz geordnet.</w:t>
      </w:r>
    </w:p>
    <w:p>
      <w:pPr>
        <w:pStyle w:val="Heading3"/>
      </w:pPr>
      <w:r>
        <w:t xml:space="preserve">Einsatz im Arbeitsalltag</w:t>
      </w:r>
    </w:p>
    <w:p>
      <w:r>
        <w:rPr>
          <w:b/>
        </w:rPr>
        <w:t xml:space="preserve">Vertriebsleiter:</w:t>
      </w:r>
      <w:r>
        <w:t xml:space="preserve"> Vor Preisrunden zeigt die Seite, wo Preise auseinanderlaufen. Typische Frage: Zahlt ein Grosskunde für denselben Artikel deutlich weniger als ein Kleinkunde?</w:t>
      </w:r>
    </w:p>
    <w:p>
      <w:r>
        <w:rPr>
          <w:b/>
        </w:rPr>
        <w:t xml:space="preserve">Verkäufer:</w:t>
      </w:r>
      <w:r>
        <w:t xml:space="preserve"> Vor einer Offerte vergleicht man den eigenen Preis mit Median und Band.</w:t>
      </w:r>
    </w:p>
    <w:p>
      <w:r>
        <w:rPr>
          <w:b/>
        </w:rPr>
        <w:t xml:space="preserve">Controller:</w:t>
      </w:r>
      <w:r>
        <w:t xml:space="preserve"> Auffällige Streuungen können auf Preislistenfehler oder Währungseffekte hindeuten.</w:t>
      </w:r>
    </w:p>
    <w:p>
      <w:pPr>
        <w:pStyle w:val="Heading3"/>
      </w:pPr>
      <w:r>
        <w:t xml:space="preserve">Grenzen und Fallstricke</w:t>
      </w:r>
    </w:p>
    <w:p>
      <w:r>
        <w:t xml:space="preserve">Verschiedene Mengen, Länder, Währungen und Rabattstufen erklären einen Teil der Streuung legitim. Ein hoher Faktor ist daher ein Anlass zur Prüfung und kein Beleg für falsche Preise. Der Preis wird zum Kurs des Belegdatums umgerechnet, Kursschwankungen fliessen also ein.</w:t>
      </w:r>
    </w:p>
    <w:p>
      <w:pPr>
        <w:pStyle w:val="Heading2"/>
      </w:pPr>
      <w:r>
        <w:t xml:space="preserve">Saison und Prognose</w:t>
      </w:r>
    </w:p>
    <w:p>
      <w:pPr>
        <w:pStyle w:val="Heading3"/>
      </w:pPr>
      <w:r>
        <w:t xml:space="preserve">Wozu</w:t>
      </w:r>
    </w:p>
    <w:p>
      <w:r>
        <w:t xml:space="preserve">Die Seite zeigt den Umsatzverlauf, das typische Saisonmuster und eine einfache Prognose für die nächsten 12 Monate. Sie ist bewusst nachvollziehbar gehalten und ersetzt keine Planung.</w:t>
      </w:r>
    </w:p>
    <w:p>
      <w:pPr>
        <w:pStyle w:val="Heading3"/>
      </w:pPr>
      <w:r>
        <w:t xml:space="preserve">Was man sieht</w:t>
      </w:r>
    </w:p>
    <w:p>
      <w:r>
        <w:t xml:space="preserve">Über eine Auswahl „Sicht“ wählt man Gesamt, eine der grössten zehn Sparten oder eine Gesellschaft. Oben stehen der Umsatz der letzten 12 Monate, das Wachstum zum Vorjahr, die Prognose der nächsten 12 Monate und die typische Abweichung der Rückrechnung. Das Diagramm zeigt den Ist-Verlauf ab Datenbeginn (höchstens 36 Monate), danach die Prognose mit einem Unsicherheitsband. Das Saisonrad zeigt den Anteil jedes Monats am Monatsmittel. Ein Monat über dem Kreis ist stärker als der Durchschnitt.</w:t>
      </w:r>
    </w:p>
    <w:p>
      <w:pPr>
        <w:pStyle w:val="Heading3"/>
      </w:pPr>
      <w:r>
        <w:t xml:space="preserve">Wie gerechnet wird</w:t>
      </w:r>
    </w:p>
    <w:p>
      <w:r>
        <w:t xml:space="preserve">Die Prognose eines Monats ist der Umsatz des gleichen Monats im Vorjahr mal dem Wachstum. Das Wachstum ist der Umsatz des aktuellen Vergleichszeitraums geteilt durch den gleichen Zeitraum des Vorjahres und auf den Bereich 0.5 bis 2 begrenzt. Das Saisonmuster ist der Durchschnitt der Monatsanteile aus bis zu drei vollen Jahren. Mit weniger als drei Jahren Daten ist es noch unsicher. Das Band beruht auf einer Rückrechnung: Das Verfahren wird auf das letzte Jahr angewendet und mit dem tatsächlichen Umsatz verglichen. Die mittlere prozentuale Abweichung je Monat steht als „±“ Wert da. Die Rückrechnung braucht drei Jahre Daten und fehlt vorerst, wenn diese nicht vorliegen.</w:t>
      </w:r>
    </w:p>
    <w:p>
      <w:pPr>
        <w:pStyle w:val="Heading3"/>
      </w:pPr>
      <w:r>
        <w:t xml:space="preserve">Einsatz im Arbeitsalltag</w:t>
      </w:r>
    </w:p>
    <w:p>
      <w:r>
        <w:rPr>
          <w:b/>
        </w:rPr>
        <w:t xml:space="preserve">Controller:</w:t>
      </w:r>
      <w:r>
        <w:t xml:space="preserve"> Die Prognose liefert einen schnellen Richtwert für den Jahresausblick. Typische Frage: In welchen Monaten ist mit schwachem oder starkem Umsatz zu rechnen?</w:t>
      </w:r>
    </w:p>
    <w:p>
      <w:r>
        <w:rPr>
          <w:b/>
        </w:rPr>
        <w:t xml:space="preserve">Vertriebsleiter:</w:t>
      </w:r>
      <w:r>
        <w:t xml:space="preserve"> Das Saisonrad hilft bei der Ferien- und Aktionsplanung.</w:t>
      </w:r>
    </w:p>
    <w:p>
      <w:r>
        <w:rPr>
          <w:b/>
        </w:rPr>
        <w:t xml:space="preserve">Geschäftsleitung:</w:t>
      </w:r>
      <w:r>
        <w:t xml:space="preserve"> Man vergleicht die Prognose mit dem Budget, um die Zielerreichung früh einzuschätzen.</w:t>
      </w:r>
    </w:p>
    <w:p>
      <w:pPr>
        <w:pStyle w:val="Heading3"/>
      </w:pPr>
      <w:r>
        <w:t xml:space="preserve">Grenzen und Fallstricke</w:t>
      </w:r>
    </w:p>
    <w:p>
      <w:r>
        <w:t xml:space="preserve">Die Prognose schreibt das Vorjahr fort. Sie kennt weder Aufträge im Bestand noch Preisänderungen, Projekte oder Wechselkurse. Ein starkes Wachstum der letzten Monate wird auf alle 12 Monate übertragen und ist deshalb eher optimistisch. Weil die Begrenzung des Wachstums je Sicht gilt, ist die Summe der Prognosen der Gesellschaften oder Sparten nicht gleich der Prognose der Sicht Gesamt.</w:t>
      </w:r>
    </w:p>
    <w:p>
      <w:pPr>
        <w:pStyle w:val="Heading2"/>
      </w:pPr>
      <w:r>
        <w:t xml:space="preserve">Weltkarte</w:t>
      </w:r>
    </w:p>
    <w:p>
      <w:pPr>
        <w:pStyle w:val="Heading3"/>
      </w:pPr>
      <w:r>
        <w:t xml:space="preserve">Wozu</w:t>
      </w:r>
    </w:p>
    <w:p>
      <w:r>
        <w:t xml:space="preserve">Die Seite zeigt, in welchen Ländern die Kunden sitzen und wohin die Gesellschaften der Gruppe liefern.</w:t>
      </w:r>
    </w:p>
    <w:p>
      <w:pPr>
        <w:pStyle w:val="Heading3"/>
      </w:pPr>
      <w:r>
        <w:t xml:space="preserve">Was man sieht</w:t>
      </w:r>
    </w:p>
    <w:p>
      <w:r>
        <w:t xml:space="preserve">Eine stilisierte Weltkarte mit angedeuteten Grenzen zeigt Blasen, deren Fläche dem Umsatz im jeweiligen Kundenland entspricht. Mit dem Schalter „Warenfluss“ erscheinen Bögen vom Land der verkaufenden Gesellschaft zum Kundenland (die 25 grössten Verbindungen). Mit ▶ laufen die Monate ab Datenbeginn ab (höchstens 24), ein Regler wählt einen einzelnen Monat. Rechts steht die Länderliste mit Umsatz und Zahl der Kunden. Darunter steht der Umsatz ohne Kundenland.</w:t>
      </w:r>
    </w:p>
    <w:p>
      <w:pPr>
        <w:pStyle w:val="Heading3"/>
      </w:pPr>
      <w:r>
        <w:t xml:space="preserve">Wie gerechnet wird</w:t>
      </w:r>
    </w:p>
    <w:p>
      <w:r>
        <w:t xml:space="preserve">Der Umsatz je Kundenland ist die Summe der letzten 12 Monate (oder des gewählten Monats). Die Zahl der Kunden zählt die verschiedenen Kunden mit Umsatz im Land. Die Bögen fassen den Umsatz je Paar aus Land der verkaufenden Gesellschaft und Kundenland zusammen. Lieferungen im eigenen Land erscheinen nicht als Bogen. Das Kundenland stammt aus den Rechnungsdaten.</w:t>
      </w:r>
    </w:p>
    <w:p>
      <w:pPr>
        <w:pStyle w:val="Heading3"/>
      </w:pPr>
      <w:r>
        <w:t xml:space="preserve">Einsatz im Arbeitsalltag</w:t>
      </w:r>
    </w:p>
    <w:p>
      <w:r>
        <w:rPr>
          <w:b/>
        </w:rPr>
        <w:t xml:space="preserve">Vertriebsleiter:</w:t>
      </w:r>
      <w:r>
        <w:t xml:space="preserve"> Man erkennt Schwerpunktmärkte und Länder, in denen die Gruppe Potenzial hat. Typische Frage: Welche Gesellschaft bedient welche Märkte?</w:t>
      </w:r>
    </w:p>
    <w:p>
      <w:r>
        <w:rPr>
          <w:b/>
        </w:rPr>
        <w:t xml:space="preserve">Geschäftsleitung:</w:t>
      </w:r>
      <w:r>
        <w:t xml:space="preserve"> Die Karte eignet sich als anschauliche Übersicht für Gespräche über Marktstrategie.</w:t>
      </w:r>
    </w:p>
    <w:p>
      <w:r>
        <w:rPr>
          <w:b/>
        </w:rPr>
        <w:t xml:space="preserve">Controller:</w:t>
      </w:r>
      <w:r>
        <w:t xml:space="preserve"> Der Umsatz ohne Kundenland zeigt die Datenqualität.</w:t>
      </w:r>
    </w:p>
    <w:p>
      <w:pPr>
        <w:pStyle w:val="Heading3"/>
      </w:pPr>
      <w:r>
        <w:t xml:space="preserve">Grenzen und Fallstricke</w:t>
      </w:r>
    </w:p>
    <w:p>
      <w:r>
        <w:t xml:space="preserve">Das Kundenland fehlt bei rund 8 Prozent der Zeilen (Stichprobe aus einer früheren Auswertung). Dieser Umsatz erscheint nur in der Zeile „ohne Kundenland“. Die Karte ist eine Skizze, Grenzen sind nur angedeutet, Kleinstaaten sind kaum sichtbar.</w:t>
      </w:r>
    </w:p>
    <w:p>
      <w:pPr>
        <w:pStyle w:val="Heading2"/>
      </w:pPr>
      <w:r>
        <w:t xml:space="preserve">Interaktiv</w:t>
      </w:r>
    </w:p>
    <w:p>
      <w:pPr>
        <w:pStyle w:val="Heading3"/>
      </w:pPr>
      <w:r>
        <w:t xml:space="preserve">Wozu</w:t>
      </w:r>
    </w:p>
    <w:p>
      <w:r>
        <w:t xml:space="preserve">Der Unterreiter Interaktiv ergänzt die acht klassischen Seiten um neun animierte Ansichten. Sie sollen Zusammenhänge im Kundenumsatz erlebbar machen, etwa Entwicklungen über die Zeit, Flüsse zwischen Gesellschaften, Sparten und Ländern oder die Wirkung von Preisänderungen. Sie ergänzen die übrigen Seiten und ersetzen keine davon.</w:t>
      </w:r>
    </w:p>
    <w:p>
      <w:pPr>
        <w:pStyle w:val="Heading3"/>
      </w:pPr>
      <w:r>
        <w:t xml:space="preserve">Was man sieht</w:t>
      </w:r>
    </w:p>
    <w:p>
      <w:r>
        <w:t xml:space="preserve">Eine eigene Reiterleiste wechselt zwischen den neun Ansichten: Kunden-Galaxie, Rennen, Umsatzfluss, Sonnenstrahl, Was wäre wenn, Bestellrhythmus, Kalender, Artikel-Netzwerk und 3D-Landschaft. Die Ansichten verwenden dieselben Verkaufsdaten und Regeln wie der übrige Reiter (Finance-Regeln, ohne Konzernkunden, CHF). Die Folgeabschnitte beschreiben jede Ansicht.</w:t>
      </w:r>
    </w:p>
    <w:p>
      <w:pPr>
        <w:pStyle w:val="Heading3"/>
      </w:pPr>
      <w:r>
        <w:t xml:space="preserve">Wie gerechnet wird</w:t>
      </w:r>
    </w:p>
    <w:p>
      <w:r>
        <w:t xml:space="preserve">Die Rechnung steht bei jeder Ansicht einzeln. Gemeinsam ist der Stichtag: Zeitfenster enden mit dem letzten vollständigen Monat, und die Animationen laufen ab dem Datenbeginn (Januar 2025).</w:t>
      </w:r>
    </w:p>
    <w:p>
      <w:pPr>
        <w:pStyle w:val="Heading3"/>
      </w:pPr>
      <w:r>
        <w:t xml:space="preserve">Einsatz im Arbeitsalltag</w:t>
      </w:r>
    </w:p>
    <w:p>
      <w:r>
        <w:rPr>
          <w:b/>
        </w:rPr>
        <w:t xml:space="preserve">Vertriebsleiter und Geschäftsleitung:</w:t>
      </w:r>
      <w:r>
        <w:t xml:space="preserve"> Die Ansichten eignen sich für Besprechungen, weil sie sich vorführen und anklicken lassen.</w:t>
      </w:r>
    </w:p>
    <w:p>
      <w:r>
        <w:rPr>
          <w:b/>
        </w:rPr>
        <w:t xml:space="preserve">Controller:</w:t>
      </w:r>
      <w:r>
        <w:t xml:space="preserve"> Die Zahlen hinter den Grafiken erscheinen beim Darüberfahren mit der Maus.</w:t>
      </w:r>
    </w:p>
    <w:p>
      <w:pPr>
        <w:pStyle w:val="Heading3"/>
      </w:pPr>
      <w:r>
        <w:t xml:space="preserve">Grenzen und Fallstricke</w:t>
      </w:r>
    </w:p>
    <w:p>
      <w:r>
        <w:t xml:space="preserve">Einige Ansichten brauchen Daten über mehrere Quartale (Galaxie, Rhythmus). Die Animationen sind für den Bildschirm gedacht, für Berichte sind die klassischen Seiten mit Excel-Export besser geeignet.</w:t>
      </w:r>
    </w:p>
    <w:p>
      <w:pPr>
        <w:pStyle w:val="Heading2"/>
      </w:pPr>
      <w:r>
        <w:t xml:space="preserve">Kunden-Galaxie</w:t>
      </w:r>
    </w:p>
    <w:p>
      <w:pPr>
        <w:pStyle w:val="Heading3"/>
      </w:pPr>
      <w:r>
        <w:t xml:space="preserve">Wozu</w:t>
      </w:r>
    </w:p>
    <w:p>
      <w:r>
        <w:t xml:space="preserve">Die Ansicht zeigt für die 60 grössten Kunden, wie sich Umsatz und Wachstum von Quartal zu Quartal verändern. Man sieht, welche Kunden aufsteigen und welche absteigen.</w:t>
      </w:r>
    </w:p>
    <w:p>
      <w:pPr>
        <w:pStyle w:val="Heading3"/>
      </w:pPr>
      <w:r>
        <w:t xml:space="preserve">Was man sieht</w:t>
      </w:r>
    </w:p>
    <w:p>
      <w:r>
        <w:t xml:space="preserve">Jede Blase ist ein Kunde unter den 60 grössten der letzten 12 Monate. Waagrecht steht der Umsatz im Quartal (logarithmisch), senkrecht die Veränderung zum Vorquartal. Die Grösse der Blase zeigt die Zahl der Rechnungen, die Farbe das Land. Mit ▶ laufen die Quartale ab Datenbeginn ab, ein Regler wählt ein Quartal. Ein Klick auf eine Blase hebt den Kunden hervor, der Schalter „Spuren“ zeigt seinen Weg. Beschriftet werden nur die acht grössten Kunden je Quartal.</w:t>
      </w:r>
    </w:p>
    <w:p>
      <w:pPr>
        <w:pStyle w:val="Heading3"/>
      </w:pPr>
      <w:r>
        <w:t xml:space="preserve">Wie gerechnet wird</w:t>
      </w:r>
    </w:p>
    <w:p>
      <w:r>
        <w:t xml:space="preserve">Der Umsatz ist die Quartalssumme des Kunden in CHF. Die Veränderung ist (Quartalsumsatz minus Vorquartal) geteilt durch Vorquartal, begrenzt auf den Bereich von minus 100 bis plus 300 Prozent. Sie fehlt, wenn es kein vollständiges Vorquartal mit Umsatz gibt oder das Quartal unvollständig ist. Ein unvollständiges Quartal ist als solches gekennzeichnet.</w:t>
      </w:r>
    </w:p>
    <w:p>
      <w:pPr>
        <w:pStyle w:val="Heading3"/>
      </w:pPr>
      <w:r>
        <w:t xml:space="preserve">Einsatz im Arbeitsalltag</w:t>
      </w:r>
    </w:p>
    <w:p>
      <w:r>
        <w:rPr>
          <w:b/>
        </w:rPr>
        <w:t xml:space="preserve">Vertriebsleiter:</w:t>
      </w:r>
      <w:r>
        <w:t xml:space="preserve"> Typische Frage: Welche Grosskunden wachsen stark, welche schrumpfen? Blasen weit oben und rechts sind Wachstumskunden, Blasen unten Kunden mit Einbruch.</w:t>
      </w:r>
    </w:p>
    <w:p>
      <w:r>
        <w:rPr>
          <w:b/>
        </w:rPr>
        <w:t xml:space="preserve">Verkäufer:</w:t>
      </w:r>
      <w:r>
        <w:t xml:space="preserve"> Mit den Spuren sieht man, ob ein Kunde nur ein schwaches Quartal hatte oder langfristig abwandert.</w:t>
      </w:r>
    </w:p>
    <w:p>
      <w:pPr>
        <w:pStyle w:val="Heading3"/>
      </w:pPr>
      <w:r>
        <w:t xml:space="preserve">Grenzen und Fallstricke</w:t>
      </w:r>
    </w:p>
    <w:p>
      <w:r>
        <w:t xml:space="preserve">Die Auswahl der 60 Kunden beruht auf den letzten 12 Monaten. Früher grosse, inzwischen abgewanderte Kunden fehlen. Die Veränderung zum Vorquartal ist bei Kunden mit saisonalem oder projektbezogenem Geschäft stark schwankend. Die Ansicht braucht Daten über mehrere Quartale.</w:t>
      </w:r>
    </w:p>
    <w:p>
      <w:pPr>
        <w:pStyle w:val="Heading2"/>
      </w:pPr>
      <w:r>
        <w:t xml:space="preserve">Rennen</w:t>
      </w:r>
    </w:p>
    <w:p>
      <w:pPr>
        <w:pStyle w:val="Heading3"/>
      </w:pPr>
      <w:r>
        <w:t xml:space="preserve">Wozu</w:t>
      </w:r>
    </w:p>
    <w:p>
      <w:r>
        <w:t xml:space="preserve">Die Ansicht zeigt als „Bar Chart Race“, wie sich die Rangfolge der grössten Kunden, Artikel oder Länder über die Zeit verändert.</w:t>
      </w:r>
    </w:p>
    <w:p>
      <w:pPr>
        <w:pStyle w:val="Heading3"/>
      </w:pPr>
      <w:r>
        <w:t xml:space="preserve">Was man sieht</w:t>
      </w:r>
    </w:p>
    <w:p>
      <w:r>
        <w:t xml:space="preserve">Die 15 grössten Einträge erscheinen als Balken, die beim Abspielen mit ▶ im Monatstakt auf ihre neue Rangposition gleiten und sich überholen. Über eine Auswahl wechselt man zwischen Kunden, Artikeln und Ländern. Ein Regler wählt einen bestimmten Monat.</w:t>
      </w:r>
    </w:p>
    <w:p>
      <w:pPr>
        <w:pStyle w:val="Heading3"/>
      </w:pPr>
      <w:r>
        <w:t xml:space="preserve">Wie gerechnet wird</w:t>
      </w:r>
    </w:p>
    <w:p>
      <w:r>
        <w:t xml:space="preserve">Für jeden Monat ab dem dritten Datenmonat wird die Summe der letzten drei Monate berechnet (gleitende 3-Monats-Summe). Daraus werden die 15 grössten Werte gezeigt. Die Glättung über drei Monate verhindert, dass ein einzelner Grossauftrag die Rangfolge allein bestimmt.</w:t>
      </w:r>
    </w:p>
    <w:p>
      <w:pPr>
        <w:pStyle w:val="Heading3"/>
      </w:pPr>
      <w:r>
        <w:t xml:space="preserve">Einsatz im Arbeitsalltag</w:t>
      </w:r>
    </w:p>
    <w:p>
      <w:r>
        <w:rPr>
          <w:b/>
        </w:rPr>
        <w:t xml:space="preserve">Geschäftsleitung:</w:t>
      </w:r>
      <w:r>
        <w:t xml:space="preserve"> Die Ansicht eignet sich für Präsentationen, um zu zeigen, wie sich das Kundenportfolio verschoben hat.</w:t>
      </w:r>
    </w:p>
    <w:p>
      <w:r>
        <w:rPr>
          <w:b/>
        </w:rPr>
        <w:t xml:space="preserve">Vertriebsleiter:</w:t>
      </w:r>
      <w:r>
        <w:t xml:space="preserve"> Typische Frage: Seit wann ist Kunde X unter den Grössten, und wer ist abgestiegen?</w:t>
      </w:r>
    </w:p>
    <w:p>
      <w:pPr>
        <w:pStyle w:val="Heading3"/>
      </w:pPr>
      <w:r>
        <w:t xml:space="preserve">Grenzen und Fallstricke</w:t>
      </w:r>
    </w:p>
    <w:p>
      <w:r>
        <w:t xml:space="preserve">Das Rennen zeigt Rangfolgen, keine Anteile: Ein Balken auf Platz 3 kann sehr nah oder weit hinter Platz 1 liegen, das zeigt nur die Balkenlänge. Bei den Artikeln gelten dieselben Namen wie in den Rechnungen, ohne Bereinigung von Leistungen.</w:t>
      </w:r>
    </w:p>
    <w:p>
      <w:pPr>
        <w:pStyle w:val="Heading2"/>
      </w:pPr>
      <w:r>
        <w:t xml:space="preserve">Umsatzfluss</w:t>
      </w:r>
    </w:p>
    <w:p>
      <w:pPr>
        <w:pStyle w:val="Heading3"/>
      </w:pPr>
      <w:r>
        <w:t xml:space="preserve">Wozu</w:t>
      </w:r>
    </w:p>
    <w:p>
      <w:r>
        <w:t xml:space="preserve">Die Ansicht zeigt als Sankey-Diagramm, wie der Umsatz von den Gesellschaften über die Sparten zu den Kundenländern fliesst.</w:t>
      </w:r>
    </w:p>
    <w:p>
      <w:pPr>
        <w:pStyle w:val="Heading3"/>
      </w:pPr>
      <w:r>
        <w:t xml:space="preserve">Was man sieht</w:t>
      </w:r>
    </w:p>
    <w:p>
      <w:r>
        <w:t xml:space="preserve">Drei Spalten: links die Gesellschaften, in der Mitte die Sparten, rechts die Kundenländer (die 12 grössten, der Rest als „Übrige“). Die Breite der Ströme entspricht dem Umsatz der letzten 12 Monate. Bewegung in den Strömen zeigt die Richtung. Ein Klick auf einen Knoten zeigt nur dessen Ströme.</w:t>
      </w:r>
    </w:p>
    <w:p>
      <w:pPr>
        <w:pStyle w:val="Heading3"/>
      </w:pPr>
      <w:r>
        <w:t xml:space="preserve">Wie gerechnet wird</w:t>
      </w:r>
    </w:p>
    <w:p>
      <w:r>
        <w:t xml:space="preserve">Es zählen nur Zeilen mit positivem Umsatz der letzten 12 Monate. Die Ströme summieren den Umsatz je Gesellschaft und Sparte sowie je Sparte und Kundenland. Zeilen ohne Sparte erscheinen als „Nicht zugeordnet“, Zeilen ohne Kundenland nur bei den „Übrigen“ bzw. mit „–“.</w:t>
      </w:r>
    </w:p>
    <w:p>
      <w:pPr>
        <w:pStyle w:val="Heading3"/>
      </w:pPr>
      <w:r>
        <w:t xml:space="preserve">Einsatz im Arbeitsalltag</w:t>
      </w:r>
    </w:p>
    <w:p>
      <w:r>
        <w:rPr>
          <w:b/>
        </w:rPr>
        <w:t xml:space="preserve">Vertriebsleiter:</w:t>
      </w:r>
      <w:r>
        <w:t xml:space="preserve"> Typische Frage: Welche Sparte einer Gesellschaft liefert in welche Länder? Ein Klick auf eine Gesellschaft zeigt ihr Produktmix und ihre Märkte.</w:t>
      </w:r>
    </w:p>
    <w:p>
      <w:r>
        <w:rPr>
          <w:b/>
        </w:rPr>
        <w:t xml:space="preserve">Controller:</w:t>
      </w:r>
      <w:r>
        <w:t xml:space="preserve"> Der grosse Block „Nicht zugeordnet“ zeigt, wie unvollständig die Sparten in den Quelldaten gepflegt sind.</w:t>
      </w:r>
    </w:p>
    <w:p>
      <w:pPr>
        <w:pStyle w:val="Heading3"/>
      </w:pPr>
      <w:r>
        <w:t xml:space="preserve">Grenzen und Fallstricke</w:t>
      </w:r>
    </w:p>
    <w:p>
      <w:r>
        <w:t xml:space="preserve">Gutschriften sind ausgeblendet, die Summen können deshalb unter dem Nettoumsatz der anderen Seiten liegen. Die Sparte fehlt bei vielen Zeilen ausserhalb der Schweiz.</w:t>
      </w:r>
    </w:p>
    <w:p>
      <w:pPr>
        <w:pStyle w:val="Heading2"/>
      </w:pPr>
      <w:r>
        <w:t xml:space="preserve">Sonnenstrahl</w:t>
      </w:r>
    </w:p>
    <w:p>
      <w:pPr>
        <w:pStyle w:val="Heading3"/>
      </w:pPr>
      <w:r>
        <w:t xml:space="preserve">Wozu</w:t>
      </w:r>
    </w:p>
    <w:p>
      <w:r>
        <w:t xml:space="preserve">Die Ansicht zeigt den Umsatz als kreisförmige Hierarchie von der Gesellschaft über die Sparte bis zum einzelnen Kunden. Man kann stufenweise hineinzoomen.</w:t>
      </w:r>
    </w:p>
    <w:p>
      <w:pPr>
        <w:pStyle w:val="Heading3"/>
      </w:pPr>
      <w:r>
        <w:t xml:space="preserve">Was man sieht</w:t>
      </w:r>
    </w:p>
    <w:p>
      <w:r>
        <w:t xml:space="preserve">Innen liegen die Gesellschaften, in der Mitte die Sparten, aussen die Kunden (je Sparte die acht grössten, der Rest als „Übrige“). Ein Klick auf ein Stück zoomt hinein, ein Klick in die Mitte führt zurück. Eine Navigationsleiste oben zeigt den Pfad, eine Liste daneben die Werte und den Anteil vom Total. Beim Darüberfahren erscheint der Betrag in CHF.</w:t>
      </w:r>
    </w:p>
    <w:p>
      <w:pPr>
        <w:pStyle w:val="Heading3"/>
      </w:pPr>
      <w:r>
        <w:t xml:space="preserve">Wie gerechnet wird</w:t>
      </w:r>
    </w:p>
    <w:p>
      <w:r>
        <w:t xml:space="preserve">Der Umsatz der letzten 12 Monate wird für jede Ebene summiert, nur Zeilen mit positivem Umsatz. Der Anteil vom Total ist der Wert des Stücks geteilt durch den Gesamtumsatz.</w:t>
      </w:r>
    </w:p>
    <w:p>
      <w:pPr>
        <w:pStyle w:val="Heading3"/>
      </w:pPr>
      <w:r>
        <w:t xml:space="preserve">Einsatz im Arbeitsalltag</w:t>
      </w:r>
    </w:p>
    <w:p>
      <w:r>
        <w:rPr>
          <w:b/>
        </w:rPr>
        <w:t xml:space="preserve">Vertriebsleiter:</w:t>
      </w:r>
      <w:r>
        <w:t xml:space="preserve"> Typische Frage: Welche Kunden tragen die Sparte X der Gesellschaft Y? Man zoomt von der Gesellschaft bis zum Kunden.</w:t>
      </w:r>
    </w:p>
    <w:p>
      <w:r>
        <w:rPr>
          <w:b/>
        </w:rPr>
        <w:t xml:space="preserve">Controller:</w:t>
      </w:r>
      <w:r>
        <w:t xml:space="preserve"> Ein schneller Weg, um Umsätze nach drei Ebenen zu prüfen, ohne Excel-Tabellen zu filtern.</w:t>
      </w:r>
    </w:p>
    <w:p>
      <w:pPr>
        <w:pStyle w:val="Heading3"/>
      </w:pPr>
      <w:r>
        <w:t xml:space="preserve">Grenzen und Fallstricke</w:t>
      </w:r>
    </w:p>
    <w:p>
      <w:r>
        <w:t xml:space="preserve">Ein Kunde, der bei mehreren Gesellschaften kauft, erscheint mehrfach. Dieselbe Firma wird in jeder Gesellschaft und Sparte eigens ausgewiesen. Gutschriften sind ausgeblendet.</w:t>
      </w:r>
    </w:p>
    <w:p>
      <w:pPr>
        <w:pStyle w:val="Heading2"/>
      </w:pPr>
      <w:r>
        <w:t xml:space="preserve">Was wäre wenn</w:t>
      </w:r>
    </w:p>
    <w:p>
      <w:pPr>
        <w:pStyle w:val="Heading3"/>
      </w:pPr>
      <w:r>
        <w:t xml:space="preserve">Wozu</w:t>
      </w:r>
    </w:p>
    <w:p>
      <w:r>
        <w:t xml:space="preserve">Die Ansicht ist ein Simulator. Man verändert Preis, Menge und Wechselkurs und sieht sofort, wie sich die Jahreshochrechnung verschiebt. Sie ist eine Spielwiese und keine Planung.</w:t>
      </w:r>
    </w:p>
    <w:p>
      <w:pPr>
        <w:pStyle w:val="Heading3"/>
      </w:pPr>
      <w:r>
        <w:t xml:space="preserve">Was man sieht</w:t>
      </w:r>
    </w:p>
    <w:p>
      <w:r>
        <w:t xml:space="preserve">Links stehen Regler für Preis (minus 20 bis plus 20 Prozent), Menge (minus 30 bis plus 30 Prozent) und Fremdwährungen gegen CHF (minus 15 bis plus 15 Prozent), jeweils für alle Sparten gemeinsam. Darunter lässt sich je Sparte (die acht grössten) ein eigener Preis- und Mengenhebel einstellen, der den allgemeinen überschreibt. Rechts steht die Hochrechnung des laufenden Jahres: Wert ohne Hebel, Wert mit Hebeln, Unterschied und Veränderung gegenüber dem Vorjahr. Ein Balken zeigt Ist seit Jahresbeginn, Rest ohne Hebel und Rest mit Hebeln. Eine Tabelle listet die Wirkung je Sparte und den Währungseffekt.</w:t>
      </w:r>
    </w:p>
    <w:p>
      <w:pPr>
        <w:pStyle w:val="Heading3"/>
      </w:pPr>
      <w:r>
        <w:t xml:space="preserve">Wie gerechnet wird</w:t>
      </w:r>
    </w:p>
    <w:p>
      <w:r>
        <w:t xml:space="preserve">Grundlage ist die Hochrechnung aus dem Controlling: Ist bis zum letzten vollständigen Monat plus die Restmonate des Jahres. Jeder Restmonat entspricht dem gleichen Monat im Vorjahr mal dem Wachstum seit Jahresbeginn (begrenzt auf 0.5 bis 2). Preis und Menge wirken multiplikativ auf die Restmonate der Sparte, der Faktor ist also (1 plus Preis) mal (1 plus Menge). Der Währungshebel wirkt auf den Teil der simulierten Restmonate, der in Fremdwährung fakturiert wird. Das bereits fakturierte Ist bleibt unverändert.</w:t>
      </w:r>
    </w:p>
    <w:p>
      <w:pPr>
        <w:pStyle w:val="Heading3"/>
      </w:pPr>
      <w:r>
        <w:t xml:space="preserve">Einsatz im Arbeitsalltag</w:t>
      </w:r>
    </w:p>
    <w:p>
      <w:r>
        <w:rPr>
          <w:b/>
        </w:rPr>
        <w:t xml:space="preserve">Controller:</w:t>
      </w:r>
      <w:r>
        <w:t xml:space="preserve"> Man schätzt ab, was eine Preiserhöhung von 2 Prozent oder ein schwächerer Euro für das Jahresergebnis bedeutet. Typische Frage: Wie viel Umsatz bringt ein Prozentpunkt Preis in der grössten Sparte?</w:t>
      </w:r>
    </w:p>
    <w:p>
      <w:r>
        <w:rPr>
          <w:b/>
        </w:rPr>
        <w:t xml:space="preserve">Vertriebsleiter:</w:t>
      </w:r>
      <w:r>
        <w:t xml:space="preserve"> Vor Preisrunden lässt sich die Wirkung gegen einen möglichen Mengenverlust abwägen.</w:t>
      </w:r>
    </w:p>
    <w:p>
      <w:r>
        <w:rPr>
          <w:b/>
        </w:rPr>
        <w:t xml:space="preserve">Geschäftsleitung:</w:t>
      </w:r>
      <w:r>
        <w:t xml:space="preserve"> Der Simulator zeigt die Empfindlichkeit des Jahresumsatzes auf Preis, Menge und Währung.</w:t>
      </w:r>
    </w:p>
    <w:p>
      <w:pPr>
        <w:pStyle w:val="Heading3"/>
      </w:pPr>
      <w:r>
        <w:t xml:space="preserve">Grenzen und Fallstricke</w:t>
      </w:r>
    </w:p>
    <w:p>
      <w:r>
        <w:t xml:space="preserve">Der Simulator rechnet keine Reaktion der Kunden: Eine Preiserhöhung senkt die Menge nicht von selbst. Er rechnet mit Umsatz, nicht mit Marge. Die Basis ist eine einfache Fortschreibung und keine Planung. Der Währungshebel gilt pauschal für alle Fremdwährungen zugleich.</w:t>
      </w:r>
    </w:p>
    <w:p>
      <w:pPr>
        <w:pStyle w:val="Heading2"/>
      </w:pPr>
      <w:r>
        <w:t xml:space="preserve">Bestellrhythmus</w:t>
      </w:r>
    </w:p>
    <w:p>
      <w:pPr>
        <w:pStyle w:val="Heading3"/>
      </w:pPr>
      <w:r>
        <w:t xml:space="preserve">Wozu</w:t>
      </w:r>
    </w:p>
    <w:p>
      <w:r>
        <w:t xml:space="preserve">Die Ansicht erkennt, welche Kunden nach ihrem üblichen Rhythmus eigentlich schon wieder hätten bestellen sollen. Das ist ein Frühwarnsystem für ausbleibende Folgeaufträge.</w:t>
      </w:r>
    </w:p>
    <w:p>
      <w:pPr>
        <w:pStyle w:val="Heading3"/>
      </w:pPr>
      <w:r>
        <w:t xml:space="preserve">Was man sieht</w:t>
      </w:r>
    </w:p>
    <w:p>
      <w:r>
        <w:t xml:space="preserve">Links steht die Liste „Sollte eigentlich bestellt haben“ mit dem Kunden und der Überfälligkeit in Tagen („+33 Tage“ oder „im Takt“). Rot bedeutet mehr als ein üblicher Abstand überfällig, orange leicht überfällig. Ein Schalter blendet nur überfällige Kunden ein, eine Suche findet einen Kunden. Rechts steht für den gewählten Kunden die Lebenslinie: jeder Punkt ist ein Tag mit Rechnung, ein Balken zeigt den üblichen Abstand ab der letzten Bestellung, eine Linie das erwartete Datum, eine weitere den Datenstand. Dazu stehen Land, üblicher Abstand, letzte Bestellung und erwartetes Datum.</w:t>
      </w:r>
    </w:p>
    <w:p>
      <w:pPr>
        <w:pStyle w:val="Heading3"/>
      </w:pPr>
      <w:r>
        <w:t xml:space="preserve">Wie gerechnet wird</w:t>
      </w:r>
    </w:p>
    <w:p>
      <w:r>
        <w:t xml:space="preserve">Berücksichtigt werden Kunden mit mindestens vier Bestelltagen. Der übliche Abstand ist der Median der Abstände zwischen aufeinanderfolgenden Bestelltagen, auf ganze Tage gerundet. Das erwartete Datum ist die letzte Bestellung plus dieser Abstand. Überfällig sind die Tage zwischen dem erwarteten Datum und dem Stichtag, also dem jüngsten Tag in den Verkaufsdaten. Die Sortierung folgt der Zahl der überfälligen Abstände mal dem Umsatz der letzten 12 Monate, damit grosse Kunden oben stehen.</w:t>
      </w:r>
    </w:p>
    <w:p>
      <w:pPr>
        <w:pStyle w:val="Heading3"/>
      </w:pPr>
      <w:r>
        <w:t xml:space="preserve">Einsatz im Arbeitsalltag</w:t>
      </w:r>
    </w:p>
    <w:p>
      <w:r>
        <w:rPr>
          <w:b/>
        </w:rPr>
        <w:t xml:space="preserve">Verkäufer:</w:t>
      </w:r>
      <w:r>
        <w:t xml:space="preserve"> Die Liste ist eine tägliche Anrufliste. Typische Frage: Welcher regelmässige Kunde hat sich länger als üblich nicht gemeldet?</w:t>
      </w:r>
    </w:p>
    <w:p>
      <w:r>
        <w:rPr>
          <w:b/>
        </w:rPr>
        <w:t xml:space="preserve">Vertriebsleiter:</w:t>
      </w:r>
      <w:r>
        <w:t xml:space="preserve"> Eine Häufung roter Einträge bei einer Gesellschaft kann auf ein Lieferproblem oder einen Marktwechsel deuten.</w:t>
      </w:r>
    </w:p>
    <w:p>
      <w:pPr>
        <w:pStyle w:val="Heading3"/>
      </w:pPr>
      <w:r>
        <w:t xml:space="preserve">Grenzen und Fallstricke</w:t>
      </w:r>
    </w:p>
    <w:p>
      <w:r>
        <w:t xml:space="preserve">Der Rhythmus kennt keine Saison und keine Rahmenverträge. Ein Kunde mit Abrufen aus einem Rahmenvertrag oder mit Projektgeschäft hat keinen echten Takt, die Überfälligkeit ist dann kein Alarm. Die Ansicht braucht mehrere Bestelltage und damit eine genügende Datenhistorie.</w:t>
      </w:r>
    </w:p>
    <w:p>
      <w:pPr>
        <w:pStyle w:val="Heading2"/>
      </w:pPr>
      <w:r>
        <w:t xml:space="preserve">Kalender</w:t>
      </w:r>
    </w:p>
    <w:p>
      <w:pPr>
        <w:pStyle w:val="Heading3"/>
      </w:pPr>
      <w:r>
        <w:t xml:space="preserve">Wozu</w:t>
      </w:r>
    </w:p>
    <w:p>
      <w:r>
        <w:t xml:space="preserve">Die Ansicht zeigt den Umsatz je Tag eines Jahres als Wärmebild. Man erkennt Wochenmuster, Monatsenden und Ausreisser auf einen Blick.</w:t>
      </w:r>
    </w:p>
    <w:p>
      <w:pPr>
        <w:pStyle w:val="Heading3"/>
      </w:pPr>
      <w:r>
        <w:t xml:space="preserve">Was man sieht</w:t>
      </w:r>
    </w:p>
    <w:p>
      <w:r>
        <w:t xml:space="preserve">Ein Kästchen steht für jeden Tag des gewählten Jahres. Je dunkler die Farbe, desto höher der Umsatz. Das Jahr wird über Schaltflächen gewählt. Beim Darüberfahren erscheinen Datum, Umsatz und Zahl der Rechnungen, ein Klick listet die Rechnungen des Tages. Eine Legende von „wenig“ bis „viel“ und der beste Tag des Jahres stehen darunter.</w:t>
      </w:r>
    </w:p>
    <w:p>
      <w:pPr>
        <w:pStyle w:val="Heading3"/>
      </w:pPr>
      <w:r>
        <w:t xml:space="preserve">Wie gerechnet wird</w:t>
      </w:r>
    </w:p>
    <w:p>
      <w:r>
        <w:t xml:space="preserve">Je Tag wird der Nettoumsatz in CHF aller Rechnungen mit diesem Belegdatum summiert, dazu die Zahl der verschiedenen Rechnungen. Die Farbskala endet beim 95-Prozent-Wert aller Tage, damit einzelne Rekordtage die Farben nicht flach drücken.</w:t>
      </w:r>
    </w:p>
    <w:p>
      <w:pPr>
        <w:pStyle w:val="Heading3"/>
      </w:pPr>
      <w:r>
        <w:t xml:space="preserve">Einsatz im Arbeitsalltag</w:t>
      </w:r>
    </w:p>
    <w:p>
      <w:r>
        <w:rPr>
          <w:b/>
        </w:rPr>
        <w:t xml:space="preserve">Controller:</w:t>
      </w:r>
      <w:r>
        <w:t xml:space="preserve"> Typische Frage: Wann fallen die grossen Rechnungen an, und gibt es ein Muster zum Monatsende? Ein Monatsende-Stau kann für die Abschlussplanung wichtig sein.</w:t>
      </w:r>
    </w:p>
    <w:p>
      <w:r>
        <w:rPr>
          <w:b/>
        </w:rPr>
        <w:t xml:space="preserve">Vertriebsleiter:</w:t>
      </w:r>
      <w:r>
        <w:t xml:space="preserve"> Der Kalender zeigt Lücken ohne Fakturierung und Spitzentage.</w:t>
      </w:r>
    </w:p>
    <w:p>
      <w:pPr>
        <w:pStyle w:val="Heading3"/>
      </w:pPr>
      <w:r>
        <w:t xml:space="preserve">Grenzen und Fallstricke</w:t>
      </w:r>
    </w:p>
    <w:p>
      <w:r>
        <w:t xml:space="preserve">Das Datum richtet sich nach den Finance-Regeln, bei Spanien ist es das Rechnungsdatum. Es entspricht nicht dem Bestelleingang. Im laufenden, noch nicht vollständigen Monat zeigt der Kalender die bisher vorhandenen Tage, die letzten Tage können fehlen.</w:t>
      </w:r>
    </w:p>
    <w:p>
      <w:pPr>
        <w:pStyle w:val="Heading2"/>
      </w:pPr>
      <w:r>
        <w:t xml:space="preserve">Artikel-Netzwerk</w:t>
      </w:r>
    </w:p>
    <w:p>
      <w:pPr>
        <w:pStyle w:val="Heading3"/>
      </w:pPr>
      <w:r>
        <w:t xml:space="preserve">Wozu</w:t>
      </w:r>
    </w:p>
    <w:p>
      <w:r>
        <w:t xml:space="preserve">Die Ansicht zeigt, welche Artikel von denselben Kunden gekauft werden. So lassen sich Produktfamilien und Zusatzverkäufe auf Artikelebene erkennen.</w:t>
      </w:r>
    </w:p>
    <w:p>
      <w:pPr>
        <w:pStyle w:val="Heading3"/>
      </w:pPr>
      <w:r>
        <w:t xml:space="preserve">Was man sieht</w:t>
      </w:r>
    </w:p>
    <w:p>
      <w:r>
        <w:t xml:space="preserve">Jeder Punkt ist einer der 40 Artikel mit den meisten Kunden der letzten 12 Monate. Eine Linie verbindet zwei Artikel, wenn sie von mindestens so vielen gemeinsamen Kunden gekauft wurden, wie der Regler vorgibt (zwischen 2 und 15). Dickere Linien bedeuten engere Verbindungen. Die Farbe bezeichnet eine zusammenhängende Gruppe. Fährt man mit der Maus über einen Artikel, werden die Nachbarn hervorgehoben, ein Klick hält die Auswahl und zeigt rechts die Kundenzahl, den Umsatz und die Artikel, die oft zusammen gekauft werden.</w:t>
      </w:r>
    </w:p>
    <w:p>
      <w:pPr>
        <w:pStyle w:val="Heading3"/>
      </w:pPr>
      <w:r>
        <w:t xml:space="preserve">Wie gerechnet wird</w:t>
      </w:r>
    </w:p>
    <w:p>
      <w:r>
        <w:t xml:space="preserve">Berücksichtigt werden Zeilen mit positivem Umsatz der letzten 12 Monate, ohne Leistungen und Platzhalter-Nummern (Versandpauschalen eingeschlossen). Die Verbindungsstärke ist die Zahl der gemeinsamen Kunden geteilt durch die Kundenzahl des kleineren Artikels. Die Lage der Punkte ergibt sich aus einem Kräfteverfahren, bei dem sich Punkte abstossen und Linien sie zusammenziehen. Die Lage ist auf dem Server berechnet und fest, ein Verschieben mit der Maus ist nicht möglich.</w:t>
      </w:r>
    </w:p>
    <w:p>
      <w:pPr>
        <w:pStyle w:val="Heading3"/>
      </w:pPr>
      <w:r>
        <w:t xml:space="preserve">Einsatz im Arbeitsalltag</w:t>
      </w:r>
    </w:p>
    <w:p>
      <w:r>
        <w:rPr>
          <w:b/>
        </w:rPr>
        <w:t xml:space="preserve">Verkäufer:</w:t>
      </w:r>
      <w:r>
        <w:t xml:space="preserve"> Typische Frage: Welche Artikel verkauft man zusammen mit Artikel X? Das hilft beim Zusatzangebot.</w:t>
      </w:r>
    </w:p>
    <w:p>
      <w:r>
        <w:rPr>
          <w:b/>
        </w:rPr>
        <w:t xml:space="preserve">Vertriebsleiter:</w:t>
      </w:r>
      <w:r>
        <w:t xml:space="preserve"> Zusammenhängende Gruppen deuten auf Produktfamilien oder Branchenlösungen hin, die sich gemeinsam vermarkten lassen.</w:t>
      </w:r>
    </w:p>
    <w:p>
      <w:pPr>
        <w:pStyle w:val="Heading3"/>
      </w:pPr>
      <w:r>
        <w:t xml:space="preserve">Grenzen und Fallstricke</w:t>
      </w:r>
    </w:p>
    <w:p>
      <w:r>
        <w:t xml:space="preserve">Die Ansicht ist auf 40 Artikel begrenzt. Seltene Artikel mit wenigen Kunden erscheinen nicht. Gemeinsames Kaufen bedeutet nicht, dass ein Artikel den anderen bedingt. Beide können einfach beliebt sein. Die Abstände auf der Karte sind nur ein Hinweis auf Nähe und kein Mass.</w:t>
      </w:r>
    </w:p>
    <w:p>
      <w:pPr>
        <w:pStyle w:val="Heading2"/>
      </w:pPr>
      <w:r>
        <w:t xml:space="preserve">3D-Landschaft</w:t>
      </w:r>
    </w:p>
    <w:p>
      <w:pPr>
        <w:pStyle w:val="Heading3"/>
      </w:pPr>
      <w:r>
        <w:t xml:space="preserve">Wozu</w:t>
      </w:r>
    </w:p>
    <w:p>
      <w:r>
        <w:t xml:space="preserve">Die Ansicht stellt den Umsatz nach Monat und Sparte als räumliche Säulenlandschaft dar. Man sieht Entwicklung und Verteilung auf einmal.</w:t>
      </w:r>
    </w:p>
    <w:p>
      <w:pPr>
        <w:pStyle w:val="Heading3"/>
      </w:pPr>
      <w:r>
        <w:t xml:space="preserve">Was man sieht</w:t>
      </w:r>
    </w:p>
    <w:p>
      <w:r>
        <w:t xml:space="preserve">Jede Säule steht für einen Monat einer Sparte (die acht grössten Sparten, alle Monate ab Datenbeginn). Die Höhe zeigt den Umsatz. Die Landschaft lässt sich automatisch drehen oder mit Reglern für Blickwinkel und Neigung einstellen. Ein Klick auf eine Säule zeigt den Wert in CHF und den Vergleich mit dem gleichen Monat des Vorjahres in Prozent.</w:t>
      </w:r>
    </w:p>
    <w:p>
      <w:pPr>
        <w:pStyle w:val="Heading3"/>
      </w:pPr>
      <w:r>
        <w:t xml:space="preserve">Wie gerechnet wird</w:t>
      </w:r>
    </w:p>
    <w:p>
      <w:r>
        <w:t xml:space="preserve">Der Umsatz je Monat und Sparte wird summiert. Die Säulenhöhe ist proportional zur Wurzel des Anteils am grössten Wert. So bleiben kleine Werte sichtbar, grosse Säulen werden aber optisch gestaucht. Negative Werte (zum Beispiel durch Gutschriften) und Null erhalten eine Mindesthöhe. Der Vorjahresvergleich ist der Wert geteilt durch den gleichen Monat des Vorjahres, minus eins.</w:t>
      </w:r>
    </w:p>
    <w:p>
      <w:pPr>
        <w:pStyle w:val="Heading3"/>
      </w:pPr>
      <w:r>
        <w:t xml:space="preserve">Einsatz im Arbeitsalltag</w:t>
      </w:r>
    </w:p>
    <w:p>
      <w:r>
        <w:rPr>
          <w:b/>
        </w:rPr>
        <w:t xml:space="preserve">Geschäftsleitung:</w:t>
      </w:r>
      <w:r>
        <w:t xml:space="preserve"> Die Ansicht eignet sich für Präsentationen, um die Entwicklung der Sparten eindrücklich zu zeigen.</w:t>
      </w:r>
    </w:p>
    <w:p>
      <w:r>
        <w:rPr>
          <w:b/>
        </w:rPr>
        <w:t xml:space="preserve">Vertriebsleiter:</w:t>
      </w:r>
      <w:r>
        <w:t xml:space="preserve"> Typische Frage: Welche Sparte ist saisonal, welche wächst stetig? Der Klick liefert den genauen Wert.</w:t>
      </w:r>
    </w:p>
    <w:p>
      <w:pPr>
        <w:pStyle w:val="Heading3"/>
      </w:pPr>
      <w:r>
        <w:t xml:space="preserve">Grenzen und Fallstricke</w:t>
      </w:r>
    </w:p>
    <w:p>
      <w:r>
        <w:t xml:space="preserve">Durch die Wurzelskala sind Höhenverhältnisse nicht proportional: Eine doppelt so hohe Säule bedeutet nicht doppelten Umsatz. Für genaue Werte ist der Klick auf die Säule oder die Seite Saison und Prognose besser geeignet. Zeilen ohne Sparte erscheinen als „Nicht zugeordnet“.</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Umsatz CHF, 12 Monate</w:t>
            </w:r>
          </w:p>
        </w:tc>
        <w:tc>
          <w:tcPr>
            <w:tcW w:w="3102" w:type="dxa"/>
          </w:tcPr>
          <w:p>
            <w:pPr>
              <w:pStyle w:val="TableText"/>
            </w:pPr>
            <w:r>
              <w:t xml:space="preserve">Nettoumsatz der letzten 12 vollständigen Monate</w:t>
            </w:r>
          </w:p>
        </w:tc>
        <w:tc>
          <w:tcPr>
            <w:tcW w:w="3102" w:type="dxa"/>
          </w:tcPr>
          <w:p>
            <w:pPr>
              <w:pStyle w:val="TableText"/>
            </w:pPr>
            <w:r>
              <w:t xml:space="preserve">Summe aller Rechnungszeilen nach Finance-Regeln, ohne Konzernkunden, in CHF zum Kurs des Belegdatums, Gutschriften negativ</w:t>
            </w:r>
          </w:p>
        </w:tc>
      </w:tr>
      <w:tr>
        <w:tc>
          <w:tcPr>
            <w:tcW w:w="3102" w:type="dxa"/>
          </w:tcPr>
          <w:p>
            <w:pPr>
              <w:pStyle w:val="TableText"/>
            </w:pPr>
            <w:r>
              <w:t xml:space="preserve">Vergleichszeitraum</w:t>
            </w:r>
          </w:p>
        </w:tc>
        <w:tc>
          <w:tcPr>
            <w:tcW w:w="3102" w:type="dxa"/>
          </w:tcPr>
          <w:p>
            <w:pPr>
              <w:pStyle w:val="TableText"/>
            </w:pPr>
            <w:r>
              <w:t xml:space="preserve">Zeitraum für den Vorjahresvergleich</w:t>
            </w:r>
          </w:p>
        </w:tc>
        <w:tc>
          <w:tcPr>
            <w:tcW w:w="3102" w:type="dxa"/>
          </w:tcPr>
          <w:p>
            <w:pPr>
              <w:pStyle w:val="TableText"/>
            </w:pPr>
            <w:r>
              <w:t xml:space="preserve">Höchstens 12 Monate, so gewählt, dass der Vorjahreszeitraum ganz in den Daten liegt</w:t>
            </w:r>
          </w:p>
        </w:tc>
      </w:tr>
      <w:tr>
        <w:tc>
          <w:tcPr>
            <w:tcW w:w="3102" w:type="dxa"/>
          </w:tcPr>
          <w:p>
            <w:pPr>
              <w:pStyle w:val="TableText"/>
            </w:pPr>
            <w:r>
              <w:t xml:space="preserve">Veränderung</w:t>
            </w:r>
          </w:p>
        </w:tc>
        <w:tc>
          <w:tcPr>
            <w:tcW w:w="3102" w:type="dxa"/>
          </w:tcPr>
          <w:p>
            <w:pPr>
              <w:pStyle w:val="TableText"/>
            </w:pPr>
            <w:r>
              <w:t xml:space="preserve">Wachstum gegenüber dem Vorjahr</w:t>
            </w:r>
          </w:p>
        </w:tc>
        <w:tc>
          <w:tcPr>
            <w:tcW w:w="3102" w:type="dxa"/>
          </w:tcPr>
          <w:p>
            <w:pPr>
              <w:pStyle w:val="TableText"/>
            </w:pPr>
            <w:r>
              <w:t xml:space="preserve">(aktueller Zeitraum minus gleicher Zeitraum im Vorjahr) geteilt durch den Vorjahreswert</w:t>
            </w:r>
          </w:p>
        </w:tc>
      </w:tr>
      <w:tr>
        <w:tc>
          <w:tcPr>
            <w:tcW w:w="3102" w:type="dxa"/>
          </w:tcPr>
          <w:p>
            <w:pPr>
              <w:pStyle w:val="TableText"/>
            </w:pPr>
            <w:r>
              <w:t xml:space="preserve">Eingeschlafen</w:t>
            </w:r>
          </w:p>
        </w:tc>
        <w:tc>
          <w:tcPr>
            <w:tcW w:w="3102" w:type="dxa"/>
          </w:tcPr>
          <w:p>
            <w:pPr>
              <w:pStyle w:val="TableText"/>
            </w:pPr>
            <w:r>
              <w:t xml:space="preserve">Kunde ohne Umsatz seit 6 Monaten</w:t>
            </w:r>
          </w:p>
        </w:tc>
        <w:tc>
          <w:tcPr>
            <w:tcW w:w="3102" w:type="dxa"/>
          </w:tcPr>
          <w:p>
            <w:pPr>
              <w:pStyle w:val="TableText"/>
            </w:pPr>
            <w:r>
              <w:t xml:space="preserve">Kein Umsatz in den letzten 6 Monaten und aktueller Zeitraum unter Vorjahr</w:t>
            </w:r>
          </w:p>
        </w:tc>
      </w:tr>
      <w:tr>
        <w:tc>
          <w:tcPr>
            <w:tcW w:w="3102" w:type="dxa"/>
          </w:tcPr>
          <w:p>
            <w:pPr>
              <w:pStyle w:val="TableText"/>
            </w:pPr>
            <w:r>
              <w:t xml:space="preserve">Fehlender Umsatz</w:t>
            </w:r>
          </w:p>
        </w:tc>
        <w:tc>
          <w:tcPr>
            <w:tcW w:w="3102" w:type="dxa"/>
          </w:tcPr>
          <w:p>
            <w:pPr>
              <w:pStyle w:val="TableText"/>
            </w:pPr>
            <w:r>
              <w:t xml:space="preserve">Umsatzverlust eines Kunden gegenüber dem Vorjahr</w:t>
            </w:r>
          </w:p>
        </w:tc>
        <w:tc>
          <w:tcPr>
            <w:tcW w:w="3102" w:type="dxa"/>
          </w:tcPr>
          <w:p>
            <w:pPr>
              <w:pStyle w:val="TableText"/>
            </w:pPr>
            <w:r>
              <w:t xml:space="preserve">Vorjahreswert minus aktueller Wert</w:t>
            </w:r>
          </w:p>
        </w:tc>
      </w:tr>
      <w:tr>
        <w:tc>
          <w:tcPr>
            <w:tcW w:w="3102" w:type="dxa"/>
          </w:tcPr>
          <w:p>
            <w:pPr>
              <w:pStyle w:val="TableText"/>
            </w:pPr>
            <w:r>
              <w:t xml:space="preserve">Neuer Kunde</w:t>
            </w:r>
          </w:p>
        </w:tc>
        <w:tc>
          <w:tcPr>
            <w:tcW w:w="3102" w:type="dxa"/>
          </w:tcPr>
          <w:p>
            <w:pPr>
              <w:pStyle w:val="TableText"/>
            </w:pPr>
            <w:r>
              <w:t xml:space="preserve">Kunde mit erstem Kauf im Quartal</w:t>
            </w:r>
          </w:p>
        </w:tc>
        <w:tc>
          <w:tcPr>
            <w:tcW w:w="3102" w:type="dxa"/>
          </w:tcPr>
          <w:p>
            <w:pPr>
              <w:pStyle w:val="TableText"/>
            </w:pPr>
            <w:r>
              <w:t xml:space="preserve">Erster Kauf mit positivem Umsatz im Datenbestand liegt im Quartal</w:t>
            </w:r>
          </w:p>
        </w:tc>
      </w:tr>
      <w:tr>
        <w:tc>
          <w:tcPr>
            <w:tcW w:w="3102" w:type="dxa"/>
          </w:tcPr>
          <w:p>
            <w:pPr>
              <w:pStyle w:val="TableText"/>
            </w:pPr>
            <w:r>
              <w:t xml:space="preserve">Verlorener Kunde</w:t>
            </w:r>
          </w:p>
        </w:tc>
        <w:tc>
          <w:tcPr>
            <w:tcW w:w="3102" w:type="dxa"/>
          </w:tcPr>
          <w:p>
            <w:pPr>
              <w:pStyle w:val="TableText"/>
            </w:pPr>
            <w:r>
              <w:t xml:space="preserve">Kunde ohne Kauf nach einem Quartal</w:t>
            </w:r>
          </w:p>
        </w:tc>
        <w:tc>
          <w:tcPr>
            <w:tcW w:w="3102" w:type="dxa"/>
          </w:tcPr>
          <w:p>
            <w:pPr>
              <w:pStyle w:val="TableText"/>
            </w:pPr>
            <w:r>
              <w:t xml:space="preserve">Letzter Kauf liegt im Quartal, seither nichts; angezeigt ab 6 Monaten, endgültig nach 12 Monaten</w:t>
            </w:r>
          </w:p>
        </w:tc>
      </w:tr>
      <w:tr>
        <w:tc>
          <w:tcPr>
            <w:tcW w:w="3102" w:type="dxa"/>
          </w:tcPr>
          <w:p>
            <w:pPr>
              <w:pStyle w:val="TableText"/>
            </w:pPr>
            <w:r>
              <w:t xml:space="preserve">Top-n-Anteil</w:t>
            </w:r>
          </w:p>
        </w:tc>
        <w:tc>
          <w:tcPr>
            <w:tcW w:w="3102" w:type="dxa"/>
          </w:tcPr>
          <w:p>
            <w:pPr>
              <w:pStyle w:val="TableText"/>
            </w:pPr>
            <w:r>
              <w:t xml:space="preserve">Anteil der n grössten Kunden am Umsatz</w:t>
            </w:r>
          </w:p>
        </w:tc>
        <w:tc>
          <w:tcPr>
            <w:tcW w:w="3102" w:type="dxa"/>
          </w:tcPr>
          <w:p>
            <w:pPr>
              <w:pStyle w:val="TableText"/>
            </w:pPr>
            <w:r>
              <w:t xml:space="preserve">Summe der n grössten Kundenumsätze geteilt durch den Gesamtumsatz der letzten 12 Monate</w:t>
            </w:r>
          </w:p>
        </w:tc>
      </w:tr>
      <w:tr>
        <w:tc>
          <w:tcPr>
            <w:tcW w:w="3102" w:type="dxa"/>
          </w:tcPr>
          <w:p>
            <w:pPr>
              <w:pStyle w:val="TableText"/>
            </w:pPr>
            <w:r>
              <w:t xml:space="preserve">HHI</w:t>
            </w:r>
          </w:p>
        </w:tc>
        <w:tc>
          <w:tcPr>
            <w:tcW w:w="3102" w:type="dxa"/>
          </w:tcPr>
          <w:p>
            <w:pPr>
              <w:pStyle w:val="TableText"/>
            </w:pPr>
            <w:r>
              <w:t xml:space="preserve">Mass für die Konzentration der Kundenumsätze</w:t>
            </w:r>
          </w:p>
        </w:tc>
        <w:tc>
          <w:tcPr>
            <w:tcW w:w="3102" w:type="dxa"/>
          </w:tcPr>
          <w:p>
            <w:pPr>
              <w:pStyle w:val="TableText"/>
            </w:pPr>
            <w:r>
              <w:t xml:space="preserve">Summe der quadrierten Prozentanteile aller Kunden, unter 1500 breit gestreut</w:t>
            </w:r>
          </w:p>
        </w:tc>
      </w:tr>
      <w:tr>
        <w:tc>
          <w:tcPr>
            <w:tcW w:w="3102" w:type="dxa"/>
          </w:tcPr>
          <w:p>
            <w:pPr>
              <w:pStyle w:val="TableText"/>
            </w:pPr>
            <w:r>
              <w:t xml:space="preserve">Konfidenz (Cross-Selling)</w:t>
            </w:r>
          </w:p>
        </w:tc>
        <w:tc>
          <w:tcPr>
            <w:tcW w:w="3102" w:type="dxa"/>
          </w:tcPr>
          <w:p>
            <w:pPr>
              <w:pStyle w:val="TableText"/>
            </w:pPr>
            <w:r>
              <w:t xml:space="preserve">Wahrscheinlichkeit, dass ein Kunde mit Sparte A auch B kauft</w:t>
            </w:r>
          </w:p>
        </w:tc>
        <w:tc>
          <w:tcPr>
            <w:tcW w:w="3102" w:type="dxa"/>
          </w:tcPr>
          <w:p>
            <w:pPr>
              <w:pStyle w:val="TableText"/>
            </w:pPr>
            <w:r>
              <w:t xml:space="preserve">Kunden mit A und B geteilt durch Kunden mit A, über 24 Monate</w:t>
            </w:r>
          </w:p>
        </w:tc>
      </w:tr>
      <w:tr>
        <w:tc>
          <w:tcPr>
            <w:tcW w:w="3102" w:type="dxa"/>
          </w:tcPr>
          <w:p>
            <w:pPr>
              <w:pStyle w:val="TableText"/>
            </w:pPr>
            <w:r>
              <w:t xml:space="preserve">Lift</w:t>
            </w:r>
          </w:p>
        </w:tc>
        <w:tc>
          <w:tcPr>
            <w:tcW w:w="3102" w:type="dxa"/>
          </w:tcPr>
          <w:p>
            <w:pPr>
              <w:pStyle w:val="TableText"/>
            </w:pPr>
            <w:r>
              <w:t xml:space="preserve">Verhältnis der Konfidenz zur allgemeinen Häufigkeit von B</w:t>
            </w:r>
          </w:p>
        </w:tc>
        <w:tc>
          <w:tcPr>
            <w:tcW w:w="3102" w:type="dxa"/>
          </w:tcPr>
          <w:p>
            <w:pPr>
              <w:pStyle w:val="TableText"/>
            </w:pPr>
            <w:r>
              <w:t xml:space="preserve">Konfidenz geteilt durch den Anteil aller Kunden, die B kaufen; über 1 heisst überdurchschnittlich</w:t>
            </w:r>
          </w:p>
        </w:tc>
      </w:tr>
      <w:tr>
        <w:tc>
          <w:tcPr>
            <w:tcW w:w="3102" w:type="dxa"/>
          </w:tcPr>
          <w:p>
            <w:pPr>
              <w:pStyle w:val="TableText"/>
            </w:pPr>
            <w:r>
              <w:t xml:space="preserve">Faktor (Preisstreuung)</w:t>
            </w:r>
          </w:p>
        </w:tc>
        <w:tc>
          <w:tcPr>
            <w:tcW w:w="3102" w:type="dxa"/>
          </w:tcPr>
          <w:p>
            <w:pPr>
              <w:pStyle w:val="TableText"/>
            </w:pPr>
            <w:r>
              <w:t xml:space="preserve">Breite der Preisspanne eines Artikels</w:t>
            </w:r>
          </w:p>
        </w:tc>
        <w:tc>
          <w:tcPr>
            <w:tcW w:w="3102" w:type="dxa"/>
          </w:tcPr>
          <w:p>
            <w:pPr>
              <w:pStyle w:val="TableText"/>
            </w:pPr>
            <w:r>
              <w:t xml:space="preserve">90-%-Wert des Stückpreises geteilt durch den 10-%-Wert, je Kunde</w:t>
            </w:r>
          </w:p>
        </w:tc>
      </w:tr>
      <w:tr>
        <w:tc>
          <w:tcPr>
            <w:tcW w:w="3102" w:type="dxa"/>
          </w:tcPr>
          <w:p>
            <w:pPr>
              <w:pStyle w:val="TableText"/>
            </w:pPr>
            <w:r>
              <w:t xml:space="preserve">Prognose</w:t>
            </w:r>
          </w:p>
        </w:tc>
        <w:tc>
          <w:tcPr>
            <w:tcW w:w="3102" w:type="dxa"/>
          </w:tcPr>
          <w:p>
            <w:pPr>
              <w:pStyle w:val="TableText"/>
            </w:pPr>
            <w:r>
              <w:t xml:space="preserve">Erwarteter Umsatz der nächsten 12 Monate</w:t>
            </w:r>
          </w:p>
        </w:tc>
        <w:tc>
          <w:tcPr>
            <w:tcW w:w="3102" w:type="dxa"/>
          </w:tcPr>
          <w:p>
            <w:pPr>
              <w:pStyle w:val="TableText"/>
            </w:pPr>
            <w:r>
              <w:t xml:space="preserve">Gleicher Monat im Vorjahr mal Wachstum (begrenzt auf 0.5 bis 2)</w:t>
            </w:r>
          </w:p>
        </w:tc>
      </w:tr>
      <w:tr>
        <w:tc>
          <w:tcPr>
            <w:tcW w:w="3102" w:type="dxa"/>
          </w:tcPr>
          <w:p>
            <w:pPr>
              <w:pStyle w:val="TableText"/>
            </w:pPr>
            <w:r>
              <w:t xml:space="preserve">Rückrechnung (MAPE)</w:t>
            </w:r>
          </w:p>
        </w:tc>
        <w:tc>
          <w:tcPr>
            <w:tcW w:w="3102" w:type="dxa"/>
          </w:tcPr>
          <w:p>
            <w:pPr>
              <w:pStyle w:val="TableText"/>
            </w:pPr>
            <w:r>
              <w:t xml:space="preserve">Typische Abweichung der Prognose</w:t>
            </w:r>
          </w:p>
        </w:tc>
        <w:tc>
          <w:tcPr>
            <w:tcW w:w="3102" w:type="dxa"/>
          </w:tcPr>
          <w:p>
            <w:pPr>
              <w:pStyle w:val="TableText"/>
            </w:pPr>
            <w:r>
              <w:t xml:space="preserve">Mittlere prozentuale Abweichung bei Anwendung des Verfahrens auf das letzte Jahr, erst ab drei Jahren Daten</w:t>
            </w:r>
          </w:p>
        </w:tc>
      </w:tr>
      <w:tr>
        <w:tc>
          <w:tcPr>
            <w:tcW w:w="3102" w:type="dxa"/>
          </w:tcPr>
          <w:p>
            <w:pPr>
              <w:pStyle w:val="TableText"/>
            </w:pPr>
            <w:r>
              <w:t xml:space="preserve">Saisonindex</w:t>
            </w:r>
          </w:p>
        </w:tc>
        <w:tc>
          <w:tcPr>
            <w:tcW w:w="3102" w:type="dxa"/>
          </w:tcPr>
          <w:p>
            <w:pPr>
              <w:pStyle w:val="TableText"/>
            </w:pPr>
            <w:r>
              <w:t xml:space="preserve">Stärke eines Monats gegenüber dem Durchschnitt</w:t>
            </w:r>
          </w:p>
        </w:tc>
        <w:tc>
          <w:tcPr>
            <w:tcW w:w="3102" w:type="dxa"/>
          </w:tcPr>
          <w:p>
            <w:pPr>
              <w:pStyle w:val="TableText"/>
            </w:pPr>
            <w:r>
              <w:t xml:space="preserve">Monatsumsatz geteilt durch das Monatsmittel, gemittelt über bis zu drei Jahre</w:t>
            </w:r>
          </w:p>
        </w:tc>
      </w:tr>
      <w:tr>
        <w:tc>
          <w:tcPr>
            <w:tcW w:w="3102" w:type="dxa"/>
          </w:tcPr>
          <w:p>
            <w:pPr>
              <w:pStyle w:val="TableText"/>
            </w:pPr>
            <w:r>
              <w:t xml:space="preserve">Üblicher Abstand</w:t>
            </w:r>
          </w:p>
        </w:tc>
        <w:tc>
          <w:tcPr>
            <w:tcW w:w="3102" w:type="dxa"/>
          </w:tcPr>
          <w:p>
            <w:pPr>
              <w:pStyle w:val="TableText"/>
            </w:pPr>
            <w:r>
              <w:t xml:space="preserve">Typischer Zeitraum zwischen zwei Bestellungen eines Kunden</w:t>
            </w:r>
          </w:p>
        </w:tc>
        <w:tc>
          <w:tcPr>
            <w:tcW w:w="3102" w:type="dxa"/>
          </w:tcPr>
          <w:p>
            <w:pPr>
              <w:pStyle w:val="TableText"/>
            </w:pPr>
            <w:r>
              <w:t xml:space="preserve">Median der Abstände zwischen den Bestelltagen, ab vier Bestelltagen</w:t>
            </w:r>
          </w:p>
        </w:tc>
      </w:tr>
      <w:tr>
        <w:tc>
          <w:tcPr>
            <w:tcW w:w="3102" w:type="dxa"/>
          </w:tcPr>
          <w:p>
            <w:pPr>
              <w:pStyle w:val="TableText"/>
            </w:pPr>
            <w:r>
              <w:t xml:space="preserve">Überfällig (Tage)</w:t>
            </w:r>
          </w:p>
        </w:tc>
        <w:tc>
          <w:tcPr>
            <w:tcW w:w="3102" w:type="dxa"/>
          </w:tcPr>
          <w:p>
            <w:pPr>
              <w:pStyle w:val="TableText"/>
            </w:pPr>
            <w:r>
              <w:t xml:space="preserve">Verspätung gegenüber dem Rhythmus</w:t>
            </w:r>
          </w:p>
        </w:tc>
        <w:tc>
          <w:tcPr>
            <w:tcW w:w="3102" w:type="dxa"/>
          </w:tcPr>
          <w:p>
            <w:pPr>
              <w:pStyle w:val="TableText"/>
            </w:pPr>
            <w:r>
              <w:t xml:space="preserve">Stichtag minus (letzte Bestellung plus üblicher Abstand)</w:t>
            </w:r>
          </w:p>
        </w:tc>
      </w:tr>
      <w:tr>
        <w:tc>
          <w:tcPr>
            <w:tcW w:w="3102" w:type="dxa"/>
          </w:tcPr>
          <w:p>
            <w:pPr>
              <w:pStyle w:val="TableText"/>
            </w:pPr>
            <w:r>
              <w:t xml:space="preserve">Gleitende 3-Monats-Summe</w:t>
            </w:r>
          </w:p>
        </w:tc>
        <w:tc>
          <w:tcPr>
            <w:tcW w:w="3102" w:type="dxa"/>
          </w:tcPr>
          <w:p>
            <w:pPr>
              <w:pStyle w:val="TableText"/>
            </w:pPr>
            <w:r>
              <w:t xml:space="preserve">Glättung für das Rennen</w:t>
            </w:r>
          </w:p>
        </w:tc>
        <w:tc>
          <w:tcPr>
            <w:tcW w:w="3102" w:type="dxa"/>
          </w:tcPr>
          <w:p>
            <w:pPr>
              <w:pStyle w:val="TableText"/>
            </w:pPr>
            <w:r>
              <w:t xml:space="preserve">Umsatz des Monats plus der beiden Vormonate</w:t>
            </w:r>
          </w:p>
        </w:tc>
      </w:tr>
    </w:tbl>
    <w:p>
      <w:pPr>
        <w:spacing w:before="0" w:after="80"/>
      </w:pPr>
    </w:p>
    <w:p>
      <w:r>
        <w:br w:type="page"/>
      </w:r>
    </w:p>
    <w:p>
      <w:pPr>
        <w:pStyle w:val="Heading1"/>
      </w:pPr>
      <w:r>
        <w:t xml:space="preserve">Logistik</w:t>
      </w:r>
    </w:p>
    <w:p>
      <w:r>
        <w:t xml:space="preserve">Das Modul Logistik unterstützt Disponenten, Logistiker, Arbeitsvorbereitung und Einkauf bei drei Fragen: Woraus besteht ein Produkt und wo wird ein Bauteil verwendet, wo fehlt Material, und wie läuft die Kommissionierung und Produktion gerade jetzt. Die Seiten liegen im Menü unter Logistik. Es sind fünf Seiten: Stücklistenanalyse, Materialdisposition und Fehlteile, Logistik live, Verwendung und Risiko sowie Dispositionsprüfung.</w:t>
      </w:r>
    </w:p>
    <w:p>
      <w:r>
        <w:t xml:space="preserve">Die Daten kommen aus SAP, aber nicht alle gleich aktuell. Die Stücklisten-, Dispositions- und Verwendungsseiten arbeiten mit einem lokal zwischengespeicherten Datenstand, der bei einem SAP-Ladevorgang oder dem Einkaufsabgleich erneuert wird. Der Stand wird auf den Seiten angezeigt und sollte vor jeder Entscheidung geprüft werden. Logistik live dagegen liest SAP (Produktivsystem) etwa alle 30 Sekunden, solange jemand die Seite geöffnet hat. Keine dieser Seiten schreibt etwas nach SAP zurück.</w:t>
      </w:r>
    </w:p>
    <w:p>
      <w:pPr>
        <w:pStyle w:val="Heading2"/>
      </w:pPr>
      <w:r>
        <w:t xml:space="preserve">Stücklistenanalyse</w:t>
      </w:r>
    </w:p>
    <w:p>
      <w:pPr>
        <w:pStyle w:val="Heading3"/>
      </w:pPr>
      <w:r>
        <w:t xml:space="preserve">Wozu</w:t>
      </w:r>
    </w:p>
    <w:p>
      <w:r>
        <w:t xml:space="preserve">Die Seite beantwortet zwei Fragen aus dem SAP-Stücklistenbericht der Logistik (LZ-Code-Auswertung): Aus welchen Komponenten besteht ein Kopfmaterial (Top-Down), und in welchen Elternmaterialien steckt eine Komponente (Bottom-Up). Damit lässt sich einschätzen, wie breit eine Änderung oder ein Lieferausfall wirkt und welche Bauteile besonders abhängig sind.</w:t>
      </w:r>
    </w:p>
    <w:p>
      <w:pPr>
        <w:pStyle w:val="Heading3"/>
      </w:pPr>
      <w:r>
        <w:t xml:space="preserve">Was man sieht</w:t>
      </w:r>
    </w:p>
    <w:p>
      <w:r>
        <w:t xml:space="preserve">Oben steht ein Kopfbereich, der die gewählte Richtung beschreibt. Darunter folgen die Eingabe der Materialnummern (aus Excel einfügbar, auch Bereiche wie 35-40), der Umschalter zwischen Top-Down und Bottom-Up, die Option „Auch gelöschte Materialien“ und die Schaltfläche „Von SAP laden“. Ein Statusfeld zeigt den letzten Lauf mit Uhrzeit und Zeilenzahl. Ein Lauf, der zwar erfolgreich endet, aber keine einzige Zeile findet, wird gelb statt grün gezeigt, weil er fachlich kein Erfolg ist.</w:t>
      </w:r>
    </w:p>
    <w:p>
      <w:r>
        <w:t xml:space="preserve">Vier Kennzahlenkacheln hängen von der Richtung ab. Top-Down: Kopfmaterialien, unterschiedliche Komponenten, Kopf-Komponenten-Beziehungen und exklusive Komponenten. Bottom-Up: geladene Komponenten, gefundene Elternmaterialien, mehrfach verwendete Komponenten und nur einmal verwendete Komponenten. Dazu kommen ein Balkendiagramm der zwölf Positionen mit der grössten Breite, die Bestandslage der Komponenten (positiver Endbestand, Endbestand null, negativer Endbestand, Bestand nicht geliefert), die Verteilung der LZ-Codes und eine Detailtabelle mit Richtung, Kopfmaterial, Komponente, Bezeichnung, Menge, Exklusivität, Bestand, Endbestand, Stückkosten, Wert Endbestand, Materialstatus und LZ-Code.</w:t>
      </w:r>
    </w:p>
    <w:p>
      <w:pPr>
        <w:pStyle w:val="Heading3"/>
      </w:pPr>
      <w:r>
        <w:t xml:space="preserve">Wie gerechnet wird</w:t>
      </w:r>
    </w:p>
    <w:p>
      <w:r>
        <w:t xml:space="preserve">Die Kennzahlen und Grafiken werden aus dem gesamten geladenen und gefilterten Datenstand gezählt. Nur die Detailtabelle ist auf 200 Zeilen begrenzt. Jede Komponente wird genau einer Bestandsklasse zugeordnet. Bestandswerte werden bewusst nicht über mehrere Stücklisten addiert, weil eine gemeinsam verwendete Komponente sonst mehrfach bewertet würde; deshalb gibt es auch keine Gesamtsumme in CHF. Das Kennzeichen „exklusiv“ liefert der SAP-Bericht mit; seine genaue fachliche Definition ist hier nicht näher beschrieben (Hinweis: nicht geprüft). Die Detailsuche arbeitet mit Teilzeichenfolgen auf Kopf- und Komponentennummer.</w:t>
      </w:r>
    </w:p>
    <w:p>
      <w:pPr>
        <w:pStyle w:val="Heading3"/>
      </w:pPr>
      <w:r>
        <w:t xml:space="preserve">Einsatz im Arbeitsalltag</w:t>
      </w:r>
    </w:p>
    <w:p>
      <w:r>
        <w:rPr>
          <w:b/>
        </w:rPr>
        <w:t xml:space="preserve">Disponent:</w:t>
      </w:r>
      <w:r>
        <w:t xml:space="preserve"> Vor einer Stücklistenänderung die Komponente Bottom-Up laden und prüfen, in wie vielen Elternmaterialien sie steckt. Hohe Balken bedeuten breite Wirkung.</w:t>
      </w:r>
    </w:p>
    <w:p>
      <w:r>
        <w:rPr>
          <w:b/>
        </w:rPr>
        <w:t xml:space="preserve">Einkäufer:</w:t>
      </w:r>
      <w:r>
        <w:t xml:space="preserve"> Vor einer Lieferantenverhandlung die Komponenten eines Produkts Top-Down ansehen. Exklusive Komponenten mit Endbestand null oder negativem Endbestand zuerst klären.</w:t>
      </w:r>
    </w:p>
    <w:p>
      <w:r>
        <w:rPr>
          <w:b/>
        </w:rPr>
        <w:t xml:space="preserve">Arbeitsvorbereitung:</w:t>
      </w:r>
      <w:r>
        <w:t xml:space="preserve"> Bei der Frage „wird dieses Teil noch irgendwo verbaut?“ Bottom-Up laden. Vor dem Schluss „nirgends verbaut“ zusätzlich „Auch gelöschte Materialien“ aktivieren.</w:t>
      </w:r>
    </w:p>
    <w:p>
      <w:pPr>
        <w:pStyle w:val="Heading3"/>
      </w:pPr>
      <w:r>
        <w:t xml:space="preserve">Grenzen und Fallstricke</w:t>
      </w:r>
    </w:p>
    <w:p>
      <w:r>
        <w:t xml:space="preserve">Ein SAP-Ladevorgang ersetzt den Datenstand der gewählten Richtung vollständig; ein Delta gibt es nicht. Ohne Materialeingabe wird bewusst alles geladen, was entsprechend lange dauern kann. Die Seite zeigt flache Paare aus Kopf und Komponente und keinen aufklappbaren Baum über mehrere Baugruppenebenen; dafür dient die Seite „Verwendung und Risiko“. Mehrfach oder nur einmal verwendet gilt nur für das, was geladen wurde. Gegen das SAP-Testsystem bleibt der Datenstand leer. Hinweis: Wie viele Materialien aktuell im produktiven Datenstand liegen, wurde nicht geprüft; der dokumentierte Stand vom 2. September war sehr klein (Teilmenge).</w:t>
      </w:r>
    </w:p>
    <w:p>
      <w:pPr>
        <w:pStyle w:val="Heading2"/>
      </w:pPr>
      <w:r>
        <w:t xml:space="preserve">Materialdisposition &amp; Fehlteile</w:t>
      </w:r>
    </w:p>
    <w:p>
      <w:pPr>
        <w:pStyle w:val="Heading3"/>
      </w:pPr>
      <w:r>
        <w:t xml:space="preserve">Wozu</w:t>
      </w:r>
    </w:p>
    <w:p>
      <w:r>
        <w:t xml:space="preserve">Die Seite priorisiert Materialien, bei denen die Deckung nicht reicht, und zeigt, wie viele Elternmaterialien davon betroffen sind. Sie ersetzt keine Disposition in SAP, sondern liefert die Arbeitsliste für den Disponenten.</w:t>
      </w:r>
    </w:p>
    <w:p>
      <w:pPr>
        <w:pStyle w:val="Heading3"/>
      </w:pPr>
      <w:r>
        <w:t xml:space="preserve">Was man sieht</w:t>
      </w:r>
    </w:p>
    <w:p>
      <w:r>
        <w:t xml:space="preserve">Oben ein Filterbereich mit Suche (Material, Text oder Lieferant), Disponent, Produktgruppe und dem Schalter „Nur Handlungsbedarf“, der standardmässig eingeschaltet ist. Vier Kacheln: Kritische Materialien, Fehlmenge, Fehlwert in CHF und Datenumfang (Materialien im Datenstand). Daneben ein Balkenpanel mit den Prioritäten P1 (sofort), P2 (hoch), P3 (prüfen) und „Ohne akuten Hinweis“, sowie ein Feld „Datenstand und Abgrenzung“ mit den Zeitstempeln der Stücklistendaten und des Einkaufsabgleichs.</w:t>
      </w:r>
    </w:p>
    <w:p>
      <w:r>
        <w:t xml:space="preserve">Die Tabelle zeigt je Material: Priorität, Nummer, Bezeichnung, Disponent und Produktgruppe, Bestand und Verbrauch, Endbestand, Sicherheits- und Meldebestand, feste und geplante Zugänge, Fehlmenge und Fehlwert, die Wirkung (Anzahl Elternmaterialien, gegebenenfalls „exklusiv“) und die Quelle.</w:t>
      </w:r>
    </w:p>
    <w:p>
      <w:pPr>
        <w:pStyle w:val="Heading3"/>
      </w:pPr>
      <w:r>
        <w:t xml:space="preserve">Wie gerechnet wird</w:t>
      </w:r>
    </w:p>
    <w:p>
      <w:r>
        <w:t xml:space="preserve">Der Endbestand stammt aus der SAP-Dispositionsrechnung. Offene Bestellungen dienen nur als Beleg; sie werden nicht noch einmal zum Endbestand addiert, damit nichts doppelt zählt. Die Prioritäten:</w:t>
      </w:r>
    </w:p>
    <w:p>
      <w:pPr>
        <w:pStyle w:val="ListBullet"/>
        <w:numPr>
          <w:ilvl w:val="0"/>
          <w:numId w:val="1"/>
        </w:numPr>
      </w:pPr>
      <w:r>
        <w:t xml:space="preserve">P1: negativer Endbestand ohne festen Zugang.</w:t>
      </w:r>
    </w:p>
    <w:p>
      <w:pPr>
        <w:pStyle w:val="ListBullet"/>
        <w:numPr>
          <w:ilvl w:val="0"/>
          <w:numId w:val="1"/>
        </w:numPr>
      </w:pPr>
      <w:r>
        <w:t xml:space="preserve">P2: negativer Endbestand, aber mit festem Zugang.</w:t>
      </w:r>
    </w:p>
    <w:p>
      <w:pPr>
        <w:pStyle w:val="ListBullet"/>
        <w:numPr>
          <w:ilvl w:val="0"/>
          <w:numId w:val="1"/>
        </w:numPr>
      </w:pPr>
      <w:r>
        <w:t xml:space="preserve">P3: Endbestand unter Sicherheits- oder Meldebestand, eine exklusive Komponente ohne positive Deckung, oder ein von SAP nicht geliefertes Endbestandsfeld.</w:t>
      </w:r>
    </w:p>
    <w:p>
      <w:r>
        <w:t xml:space="preserve">Die Fehlmenge ist der negative Endbestand als positive Zahl, der Fehlwert die Fehlmenge mal Stückkosten. Fehlen die Stückkosten, ist der Fehlwert unbekannt; die Tabelle zeigt dann einen Strich statt einer 0, und die Kachel nennt die Anzahl nicht bewerteter Fälle. Ein leerer Endbestand ist eine Datenlücke, kein Nullbestand. Die Sortierung läuft nach Priorität, dann nach Wert.</w:t>
      </w:r>
    </w:p>
    <w:p>
      <w:pPr>
        <w:pStyle w:val="Heading3"/>
      </w:pPr>
      <w:r>
        <w:t xml:space="preserve">Einsatz im Arbeitsalltag</w:t>
      </w:r>
    </w:p>
    <w:p>
      <w:r>
        <w:rPr>
          <w:b/>
        </w:rPr>
        <w:t xml:space="preserve">Disponent:</w:t>
      </w:r>
      <w:r>
        <w:t xml:space="preserve"> Morgens nach dem eigenen Disponentenkürzel filtern und die P1-Zeilen abarbeiten. Die Spalte „Wirkung“ zeigt, wie viele Elternmaterialien an einem Fehlteil hängen.</w:t>
      </w:r>
    </w:p>
    <w:p>
      <w:r>
        <w:rPr>
          <w:b/>
        </w:rPr>
        <w:t xml:space="preserve">Logistikleiter:</w:t>
      </w:r>
      <w:r>
        <w:t xml:space="preserve"> Die Kachel Fehlwert gibt eine Grössenordnung des Problems, sofern die Stückkosten gepflegt sind.</w:t>
      </w:r>
    </w:p>
    <w:p>
      <w:r>
        <w:rPr>
          <w:b/>
        </w:rPr>
        <w:t xml:space="preserve">Einkäufer:</w:t>
      </w:r>
      <w:r>
        <w:t xml:space="preserve"> Bei P1-Teilen im Einkauf prüfen, ob eine Bestellung unterwegs ist und wann sie fällig wird.</w:t>
      </w:r>
    </w:p>
    <w:p>
      <w:pPr>
        <w:pStyle w:val="Heading3"/>
      </w:pPr>
      <w:r>
        <w:t xml:space="preserve">Grenzen und Fallstricke</w:t>
      </w:r>
    </w:p>
    <w:p>
      <w:r>
        <w:t xml:space="preserve">Die Aussage gilt nur für Materialien im Datenstand. Nach der Dokumentation lagen zuletzt nur wenige Materialien mit Disponent vor; für eine Gesamtaussage wäre ein vollständiger Ladevorgang nötig (Hinweis: aktueller Umfang nicht geprüft, er steht in der Kachel Datenumfang). Die Tabelle zeigt höchstens die 1'000 wichtigsten Treffer, Kachelzahlen und Balken gelten für den ganzen Filter. Der Schalter „Nur Handlungsbedarf“ wirkt auf Kacheln und Tabelle, nicht auf die Prioritätsbalken; der grüne Balken bleibt deshalb sichtbar. Die Disponentennamen stammen aus den SAP-Zuordnungen des Einkaufs; fehlt ein Name, steht „Disponent“ mit Code.</w:t>
      </w:r>
    </w:p>
    <w:p>
      <w:pPr>
        <w:pStyle w:val="Heading2"/>
      </w:pPr>
      <w:r>
        <w:t xml:space="preserve">Logistik live</w:t>
      </w:r>
    </w:p>
    <w:p>
      <w:pPr>
        <w:pStyle w:val="Heading3"/>
      </w:pPr>
      <w:r>
        <w:t xml:space="preserve">Wozu</w:t>
      </w:r>
    </w:p>
    <w:p>
      <w:r>
        <w:t xml:space="preserve">Die Seite zeigt Kommissionierung und Produktion so zeitnah wie möglich. Wer im Lager oder in der Fertigung arbeitet, sieht auf einen Blick, was erledigt ist, was offen ist und wo etwas steht. Sie entstand aus dem Wunsch der Logistik, „Echtzeit“ zu sehen.</w:t>
      </w:r>
    </w:p>
    <w:p>
      <w:pPr>
        <w:pStyle w:val="Heading3"/>
      </w:pPr>
      <w:r>
        <w:t xml:space="preserve">Was man sieht</w:t>
      </w:r>
    </w:p>
    <w:p>
      <w:r>
        <w:t xml:space="preserve">Die Seite hat oben einen Statusstreifen mit „live“ oder „pausiert“, der Uhrzeit des letzten Abrufs und einen Umschalter mit vier Ansichten: Original, 3D-Lager, Produktivität und Kapazität. Fünf Kacheln stehen über allen Ansichten: Lagerpositionen quittiert gegenüber total, Lagerpositionen offen, Lieferungen fertig kommissioniert, Rückmeldungen heute und aktive Arbeitsplätze (Rückmeldung innerhalb von 15 Minuten).</w:t>
      </w:r>
    </w:p>
    <w:p>
      <w:r>
        <w:t xml:space="preserve">Die Daten kommen direkt aus dem produktiven SAP: Transportaufträge der Lagerverwaltung, Lieferungen mit Warenausgang des Tages und Rückmeldungen der Fertigungsaufträge. Der Abruf erfolgt alle 30 Sekunden und nur, solange mindestens eine Person die Seite offen hat; alle Betrachter teilen sich denselben Abruf. Nach einem Fehler oder einer sehr langsamen Antwort pausiert der Abruf fünf Minuten, was als „pausiert“ erscheint. Um Mitternacht beginnt ein neuer Tag mit leerem Stand.</w:t>
      </w:r>
    </w:p>
    <w:p>
      <w:pPr>
        <w:pStyle w:val="Heading3"/>
      </w:pPr>
      <w:r>
        <w:t xml:space="preserve">Wie gerechnet wird</w:t>
      </w:r>
    </w:p>
    <w:p>
      <w:r>
        <w:t xml:space="preserve">Gezählt wird immer ein einzelner Tag. Eine Lagerposition gilt als quittiert, wenn sie in SAP quittiert wurde, sonst ist sie offen. Eine Lieferung gilt als fertig kommissioniert, wenn alle ihre Positionen kommissioniert sind; Lieferungen ohne Positionen werden nicht mitgezählt. Aktive Arbeitsplätze sind solche mit Rückmeldung in den letzten 15 Minuten.</w:t>
      </w:r>
    </w:p>
    <w:p>
      <w:pPr>
        <w:pStyle w:val="Heading3"/>
      </w:pPr>
      <w:r>
        <w:t xml:space="preserve">Einsatz im Arbeitsalltag</w:t>
      </w:r>
    </w:p>
    <w:p>
      <w:r>
        <w:rPr>
          <w:b/>
        </w:rPr>
        <w:t xml:space="preserve">Lagerleiter:</w:t>
      </w:r>
      <w:r>
        <w:t xml:space="preserve"> Auf dem Bildschirm im Lager die Seite offen lassen und den Fortschritt der Lieferungen verfolgen.</w:t>
      </w:r>
    </w:p>
    <w:p>
      <w:r>
        <w:rPr>
          <w:b/>
        </w:rPr>
        <w:t xml:space="preserve">Produktionsleiter:</w:t>
      </w:r>
      <w:r>
        <w:t xml:space="preserve"> Arbeitsplätze, die längere Zeit nicht zurückgemeldet haben, fallen ruhig auf.</w:t>
      </w:r>
    </w:p>
    <w:p>
      <w:r>
        <w:rPr>
          <w:b/>
        </w:rPr>
        <w:t xml:space="preserve">Controller und Geschäftsleitung:</w:t>
      </w:r>
      <w:r>
        <w:t xml:space="preserve"> Ein Blick vor Besprechungen genügt, um den Tag einzuordnen.</w:t>
      </w:r>
    </w:p>
    <w:p>
      <w:pPr>
        <w:pStyle w:val="Heading3"/>
      </w:pPr>
      <w:r>
        <w:t xml:space="preserve">Grenzen und Fallstricke</w:t>
      </w:r>
    </w:p>
    <w:p>
      <w:r>
        <w:t xml:space="preserve">Ein Wert wird erst sichtbar, wenn SAP ihn gebucht hat; Arbeit, die nicht quittiert oder zurückgemeldet wird, fehlt. Die Werte wurden noch nicht Zeile für Zeile gegen SAP abgeglichen (Stand der Dokumentation). Die Seite ist nur lesend und belastet SAP bewusst gering: Pro Abruf ein Tag, nur die jüngsten Änderungen, mit festen Obergrenzen.</w:t>
      </w:r>
    </w:p>
    <w:p>
      <w:pPr>
        <w:pStyle w:val="Heading2"/>
      </w:pPr>
      <w:r>
        <w:t xml:space="preserve">Original- und Live-Übersicht</w:t>
      </w:r>
    </w:p>
    <w:p>
      <w:pPr>
        <w:pStyle w:val="Heading3"/>
      </w:pPr>
      <w:r>
        <w:t xml:space="preserve">Wozu</w:t>
      </w:r>
    </w:p>
    <w:p>
      <w:r>
        <w:t xml:space="preserve">Die Originalansicht ist die Betriebsübersicht: links Kommissionierung, rechts Produktion.</w:t>
      </w:r>
    </w:p>
    <w:p>
      <w:pPr>
        <w:pStyle w:val="Heading3"/>
      </w:pPr>
      <w:r>
        <w:t xml:space="preserve">Was man sieht</w:t>
      </w:r>
    </w:p>
    <w:p>
      <w:r>
        <w:t xml:space="preserve">Links die Lagerpositionen je Stunde als Säulen (angelegt und quittiert), darunter Lieferungen mit Warenausgang heute mit Fortschrittsbalken und einem Lieferwagen-Symbol, sobald der Warenausgang gebucht ist, und ein Laufband „Zuletzt quittiert“ mit Uhrzeit, Transportauftrag, Material, Lagertyp von nach und Lieferung. Rechts die Produktion: alle Arbeitsplätze, eingefärbt nach der letzten Rückmeldung (bis 15 Minuten aktiv, bis 60 Minuten etwas ruhiger, sonst ruhig), danach die Aufträge mit Gutmenge gegen Sollmenge und ein Laufband der letzten Rückmeldungen mit Gut- und Ausschussmenge.</w:t>
      </w:r>
    </w:p>
    <w:p>
      <w:pPr>
        <w:pStyle w:val="Heading3"/>
      </w:pPr>
      <w:r>
        <w:t xml:space="preserve">Wie gerechnet wird</w:t>
      </w:r>
    </w:p>
    <w:p>
      <w:r>
        <w:t xml:space="preserve">Die Säulen zählen angelegte und quittierte Positionen je Stunde. Die Lieferungen werden so sortiert, dass nicht fertige zuerst stehen, höchstens 25 Zeilen. Die Gutmenge je Auftrag stammt aus der letzten Rückmeldung des Auftrags; stornierte Rückmeldungen werden entwertet.</w:t>
      </w:r>
    </w:p>
    <w:p>
      <w:pPr>
        <w:pStyle w:val="Heading3"/>
      </w:pPr>
      <w:r>
        <w:t xml:space="preserve">Einsatz im Arbeitsalltag</w:t>
      </w:r>
    </w:p>
    <w:p>
      <w:r>
        <w:rPr>
          <w:b/>
        </w:rPr>
        <w:t xml:space="preserve">Schichtleiter Lager:</w:t>
      </w:r>
      <w:r>
        <w:t xml:space="preserve"> Zeigt, ob die Stunden-Spitzen abgearbeitet werden. </w:t>
      </w:r>
      <w:r>
        <w:rPr>
          <w:b/>
        </w:rPr>
        <w:t xml:space="preserve">Schichtleiter Produktion:</w:t>
      </w:r>
      <w:r>
        <w:t xml:space="preserve"> Ein dauerhaft ruhiger Arbeitsplatz mitten in der Schicht ist ein Anlass nachzufragen.</w:t>
      </w:r>
    </w:p>
    <w:p>
      <w:pPr>
        <w:pStyle w:val="Heading3"/>
      </w:pPr>
      <w:r>
        <w:t xml:space="preserve">Grenzen und Fallstricke</w:t>
      </w:r>
    </w:p>
    <w:p>
      <w:r>
        <w:t xml:space="preserve">Die Rückmeldezeit ist der Zeitpunkt der SAP-Buchung, nicht der Zeitpunkt der tatsächlichen Arbeit. Ruhig heisst nur „keine Rückmeldung“, nicht „steht still“.</w:t>
      </w:r>
    </w:p>
    <w:p>
      <w:pPr>
        <w:pStyle w:val="Heading2"/>
      </w:pPr>
      <w:r>
        <w:t xml:space="preserve">3D-Lager</w:t>
      </w:r>
    </w:p>
    <w:p>
      <w:pPr>
        <w:pStyle w:val="Heading3"/>
      </w:pPr>
      <w:r>
        <w:t xml:space="preserve">Wozu</w:t>
      </w:r>
    </w:p>
    <w:p>
      <w:r>
        <w:t xml:space="preserve">Die 3D-Ansicht zeigt die Lagerplätze so, wie man sie sich im Lager vorstellt: als Regale mit Paletten. Man sieht, wo heute Bewegung war und wo noch Positionen offen sind. Die Originalsicht bleibt jederzeit über den Umschalter erreichbar.</w:t>
      </w:r>
    </w:p>
    <w:p>
      <w:pPr>
        <w:pStyle w:val="Heading3"/>
      </w:pPr>
      <w:r>
        <w:t xml:space="preserve">Was man sieht</w:t>
      </w:r>
    </w:p>
    <w:p>
      <w:r>
        <w:t xml:space="preserve">Jede Zeile ist ein Regalgang, jedes Feld ein Platz, an dem seit Tagesbeginn etwas bewegt wurde. Eine Palette mit Kiste je Platz: orange blinkend bedeutet offene Position, grün quittiert; die Höhe richtet sich nach der Zahl der Bewegungen. Der Blickwinkel ist per Regler oder durch Drehen einstellbar. Ein Klick auf eine Palette öffnet den Platz gross mit den letzten 15 Bewegungen (Material, Menge, Richtung, Status). Darunter stehen die Zonen (Lagertypen der Reihe 9xx wie Versand, Wareneingang und Schnittstellen) mit Plätzen und Bewegungen sowie die aktivsten Plätze.</w:t>
      </w:r>
    </w:p>
    <w:p>
      <w:pPr>
        <w:pStyle w:val="Heading3"/>
      </w:pPr>
      <w:r>
        <w:t xml:space="preserve">Wie gerechnet wird</w:t>
      </w:r>
    </w:p>
    <w:p>
      <w:r>
        <w:t xml:space="preserve">Die Daten sind dieselben Transportauftragspositionen wie auf der übrigen Seite. Gang, Feld und Ebene werden aus dem Platznamen abgeleitet. Plätze, deren Namen keinem erkennbaren Muster folgen, stehen der Reihe nach im Gang „~“. Dargestellt werden höchstens 24 Gänge, die aktivsten, in bis zu vier Spalten; weitere werden als Hinweis genannt.</w:t>
      </w:r>
    </w:p>
    <w:p>
      <w:pPr>
        <w:pStyle w:val="Heading3"/>
      </w:pPr>
      <w:r>
        <w:t xml:space="preserve">Einsatz im Arbeitsalltag</w:t>
      </w:r>
    </w:p>
    <w:p>
      <w:r>
        <w:rPr>
          <w:b/>
        </w:rPr>
        <w:t xml:space="preserve">Lagerleiter:</w:t>
      </w:r>
      <w:r>
        <w:t xml:space="preserve"> Ballungen und offene Positionen in einzelnen Gängen erkennen. </w:t>
      </w:r>
      <w:r>
        <w:rPr>
          <w:b/>
        </w:rPr>
        <w:t xml:space="preserve">Lagermitarbeiter:</w:t>
      </w:r>
      <w:r>
        <w:t xml:space="preserve"> Einen Platz anklicken und sehen, was dort zuletzt gebucht wurde.</w:t>
      </w:r>
    </w:p>
    <w:p>
      <w:pPr>
        <w:pStyle w:val="Heading3"/>
      </w:pPr>
      <w:r>
        <w:t xml:space="preserve">Grenzen und Fallstricke</w:t>
      </w:r>
    </w:p>
    <w:p>
      <w:r>
        <w:t xml:space="preserve">Die Lage im Regal ist eine Ableitung aus dem Platznamen und kann bei unüblichen Namen vom wirklichen Standort abweichen. Die Ansicht zeigt nur Bewegungen seit Tagesbeginn, keinen Lagerbestand.</w:t>
      </w:r>
    </w:p>
    <w:p>
      <w:pPr>
        <w:pStyle w:val="Heading2"/>
      </w:pPr>
      <w:r>
        <w:t xml:space="preserve">Produktivität</w:t>
      </w:r>
    </w:p>
    <w:p>
      <w:pPr>
        <w:pStyle w:val="Heading3"/>
      </w:pPr>
      <w:r>
        <w:t xml:space="preserve">Wozu</w:t>
      </w:r>
    </w:p>
    <w:p>
      <w:r>
        <w:t xml:space="preserve">Die Ansicht misst, wie lange das Rüsten einer Lieferung dauert und wie viel pro Stunde quittiert wird. Der Wunsch der Logistik war eine Produktivitätssicht vom Rüsten bis zum Warenausgang, ohne Personenbezug.</w:t>
      </w:r>
    </w:p>
    <w:p>
      <w:pPr>
        <w:pStyle w:val="Heading3"/>
      </w:pPr>
      <w:r>
        <w:t xml:space="preserve">Was man sieht</w:t>
      </w:r>
    </w:p>
    <w:p>
      <w:r>
        <w:t xml:space="preserve">Kacheln: Lieferungen fertig gerüstet gegenüber allen mit Transportauftrag, Durchlaufzeit je Lieferung (Median), Durchlaufzeit, unter der acht von zehn Lieferungen liegen, Zeit bis Warenausgang (Median), Anzahl Lieferungen ohne Uhrzeit des Warenausgangs oder mit widersprüchlichen Zeiten (nicht gerechnet) und Positionen je aktive Stunde. Darunter: quittierte Positionen je Stunde und Lagernummer sowie die offenen Rüstvorgänge, die ältesten zuerst; rot gilt, was länger offen ist als 80 Prozent der fertigen Rüstvorgänge.</w:t>
      </w:r>
    </w:p>
    <w:p>
      <w:pPr>
        <w:pStyle w:val="Heading3"/>
      </w:pPr>
      <w:r>
        <w:t xml:space="preserve">Wie gerechnet wird</w:t>
      </w:r>
    </w:p>
    <w:p>
      <w:r>
        <w:t xml:space="preserve">Die Durchlaufzeit einer Lieferung läuft vom Anlegen des ersten Transportauftrags bis zur Quittierung der letzten Position. Der Median ist der mittlere Wert; die Kachel „8 von 10 darunter“ zeigt die Zeit, die vier von fünf Lieferungen unterschreiten. Die Zeit bis zum Warenausgang läuft vom ersten angelegten Transportauftrag bis zur Warenbewegung; sie wird nur gerechnet, wenn SAP die Uhrzeit des Warenausgangs liefert und der Warenausgang nicht vor dem ersten Transportauftrag liegt. Positionen je aktive Stunde sind die quittierten Positionen geteilt durch die Stunden mit mindestens einer Quittierung.</w:t>
      </w:r>
    </w:p>
    <w:p>
      <w:pPr>
        <w:pStyle w:val="Heading3"/>
      </w:pPr>
      <w:r>
        <w:t xml:space="preserve">Einsatz im Arbeitsalltag</w:t>
      </w:r>
    </w:p>
    <w:p>
      <w:r>
        <w:rPr>
          <w:b/>
        </w:rPr>
        <w:t xml:space="preserve">Logistikleiter:</w:t>
      </w:r>
      <w:r>
        <w:t xml:space="preserve"> Die Mediane im Wochenvergleich beobachten und lange offene Rüstvorgänge nachverfolgen. </w:t>
      </w:r>
      <w:r>
        <w:rPr>
          <w:b/>
        </w:rPr>
        <w:t xml:space="preserve">Disponent:</w:t>
      </w:r>
      <w:r>
        <w:t xml:space="preserve"> Zeitpunkte erkennen, an denen Lieferungen zu lange im Rüsten stehen.</w:t>
      </w:r>
    </w:p>
    <w:p>
      <w:pPr>
        <w:pStyle w:val="Heading3"/>
      </w:pPr>
      <w:r>
        <w:t xml:space="preserve">Grenzen und Fallstricke</w:t>
      </w:r>
    </w:p>
    <w:p>
      <w:r>
        <w:t xml:space="preserve">Die Durchlaufzeit ist keine Arbeitszeit. Wartezeiten zählen mit, mehrere Personen an einer Lieferung sind nicht berücksichtigt. Echte Personenzeit würde eine Zeiterfassung brauchen (WM-Zeiterfassung, Fiori-App oder MES). Diese Zeitfelder sind in SAP derzeit nicht gefüllt. Die Seite sagt dies auch selbst. Früher hiess die Kennzahl „Rüstzeit“, was missverständlich war.</w:t>
      </w:r>
    </w:p>
    <w:p>
      <w:pPr>
        <w:pStyle w:val="Heading2"/>
      </w:pPr>
      <w:r>
        <w:t xml:space="preserve">Leistung je Person (nur nach Anmeldung)</w:t>
      </w:r>
    </w:p>
    <w:p>
      <w:pPr>
        <w:pStyle w:val="Heading3"/>
      </w:pPr>
      <w:r>
        <w:t xml:space="preserve">Wozu</w:t>
      </w:r>
    </w:p>
    <w:p>
      <w:r>
        <w:t xml:space="preserve">Unter der Produktivität steht ein Abschnitt „Leistung je Person“. Er ist nur sichtbar, wenn man sich eigens anmeldet. Ohne Anmeldung bleibt die ganze Seite anonym, auch in allen anderen Ansichten. Die Freigabe durch HR liegt nach Angabe des Projektverantwortlichen vom 5. Oktober 2026 vor (Hinweis: schriftlicher Nachweis nicht geprüft).</w:t>
      </w:r>
    </w:p>
    <w:p>
      <w:pPr>
        <w:pStyle w:val="Heading3"/>
      </w:pPr>
      <w:r>
        <w:t xml:space="preserve">Was man sieht</w:t>
      </w:r>
    </w:p>
    <w:p>
      <w:r>
        <w:t xml:space="preserve">Nach Anmeldung (Benutzer und eigenes Passwort, ähnlich wie bei HR KPI) zeigt die Tabelle je SAP-Benutzer: quittierte Positionen, angelegte Transportaufträge, erste und letzte Quittierung, geschätzte Stunden und Positionen je Stunde. Ein Schalter blendet die Namen wieder aus. Ist die Anmeldung noch nicht eingerichtet, sagt die Seite das; liefert SAP noch keine Benutzer, erscheint ebenfalls ein Hinweis.</w:t>
      </w:r>
    </w:p>
    <w:p>
      <w:pPr>
        <w:pStyle w:val="Heading3"/>
      </w:pPr>
      <w:r>
        <w:t xml:space="preserve">Wie gerechnet wird</w:t>
      </w:r>
    </w:p>
    <w:p>
      <w:r>
        <w:t xml:space="preserve">Geschätzte Stunden: Aufeinanderfolgende Quittierungen mit höchstens 15 Minuten Abstand gelten als ein Arbeitsabschnitt; eine einzelne Quittierung zählt als zwei Minuten. Positionen je Stunde sind quittierte Positionen geteilt durch diese geschätzten Stunden.</w:t>
      </w:r>
    </w:p>
    <w:p>
      <w:pPr>
        <w:pStyle w:val="Heading3"/>
      </w:pPr>
      <w:r>
        <w:t xml:space="preserve">Einsatz im Arbeitsalltag</w:t>
      </w:r>
    </w:p>
    <w:p>
      <w:r>
        <w:rPr>
          <w:b/>
        </w:rPr>
        <w:t xml:space="preserve">Logistikleiter:</w:t>
      </w:r>
      <w:r>
        <w:t xml:space="preserve"> Zur Einsatzplanung und für das Gespräch im Team, nicht für Einzelvergleiche ohne Kontext. </w:t>
      </w:r>
      <w:r>
        <w:rPr>
          <w:b/>
        </w:rPr>
        <w:t xml:space="preserve">HR:</w:t>
      </w:r>
      <w:r>
        <w:t xml:space="preserve"> Darf zur Kontrolle die Darstellung einsehen.</w:t>
      </w:r>
    </w:p>
    <w:p>
      <w:pPr>
        <w:pStyle w:val="Heading3"/>
      </w:pPr>
      <w:r>
        <w:t xml:space="preserve">Grenzen und Fallstricke</w:t>
      </w:r>
    </w:p>
    <w:p>
      <w:r>
        <w:t xml:space="preserve">Die Zahlen sind eine Schätzung und keine Zeiterfassung. Sie liegen nur im Arbeitsspeicher für den laufenden Tag; es gibt keine Speicherung und keinen Export. Wer eine Position für jemand anderen quittiert, verzerrt den Wert. Die Kennzahl ist in Bezug auf Leistungs- und Verhaltenskontrolle sensibel; sie sollte nur im Rahmen der mit HR vereinbarten Verwendung eingesetzt werden und ist allein kein Urteil über Leistung.</w:t>
      </w:r>
    </w:p>
    <w:p>
      <w:pPr>
        <w:pStyle w:val="Heading2"/>
      </w:pPr>
      <w:r>
        <w:t xml:space="preserve">Kapazität</w:t>
      </w:r>
    </w:p>
    <w:p>
      <w:pPr>
        <w:pStyle w:val="Heading3"/>
      </w:pPr>
      <w:r>
        <w:t xml:space="preserve">Wozu</w:t>
      </w:r>
    </w:p>
    <w:p>
      <w:r>
        <w:t xml:space="preserve">Die Ansicht beantwortet die Frage der Kapazitätsplanung: Wie viel Arbeit steht an, und reichen Personen und Maschinen dafür? Sie umfasst vier Teile: die Erfassung je Bereich, den Arbeitsvorrat der Kommissionierung, die Belastung der Arbeitsplätze in der Produktion und die Vorschau auf den Warenausgang.</w:t>
      </w:r>
    </w:p>
    <w:p>
      <w:pPr>
        <w:pStyle w:val="Heading3"/>
      </w:pPr>
      <w:r>
        <w:t xml:space="preserve">Was man sieht</w:t>
      </w:r>
    </w:p>
    <w:p>
      <w:r>
        <w:rPr>
          <w:b/>
        </w:rPr>
        <w:t xml:space="preserve">Warenausgang nach Termin, nächste 14 Tage:</w:t>
      </w:r>
      <w:r>
        <w:t xml:space="preserve"> Säulen mit den offenen kommissionierrelevanten Positionen je geplantem Warenausgangstag. Der erste Balken ist der laufende Tag. Ein Ausrufezeichen steht für überfällige Lieferungen (Termin vorbei, Warenausgang nicht gebucht). Lieferungen stehen im Tooltip. Lieferungen ohne Kommissionierpositionen werden separat genannt. Die Abfrage läuft höchstens alle 15 Minuten.</w:t>
      </w:r>
    </w:p>
    <w:p>
      <w:r>
        <w:rPr>
          <w:b/>
        </w:rPr>
        <w:t xml:space="preserve">Kapazität Produktion aus SAP, nächste 14 Tage:</w:t>
      </w:r>
      <w:r>
        <w:t xml:space="preserve"> Je Kapazität (mit Namen und Arbeitsplätzen) und Tag die Belastung in Prozent mit Ampel. Der Tooltip nennt Bedarf, Angebot in Stunden und Anzahl Vorgänge. Ohne Prozentangabe fehlt ein Angebot, zum Beispiel am Wochenende, an Feiertagen oder bei Kapazitäten mit Schichtintervallen. Die Montagelinien MLE01 und MLE02 teilen sich eine Personalkapazität.</w:t>
      </w:r>
    </w:p>
    <w:p>
      <w:r>
        <w:rPr>
          <w:b/>
        </w:rPr>
        <w:t xml:space="preserve">Kapazität je Bereich (Neva-Kennzahlen):</w:t>
      </w:r>
      <w:r>
        <w:t xml:space="preserve"> Eine Erfassungstabelle für die Bereiche Wareneingang, Versorgung Abteilungen, Vorverpackung, MLE01, MLE02, MLE04, Rüsten Kundenaufträge und Sammellisten. Spalten: verfügbare Stunden, eingesetzte Stunden, erledigt, offen, Planzeit min je Einheit, Produktivität je Stunde, gemessene Minuten je Einheit, Bedarf in Stunden, Belastung und Lücke in Stunden. Mit „Speichern“ werden die Tageswerte abgelegt.</w:t>
      </w:r>
    </w:p>
    <w:p>
      <w:pPr>
        <w:pStyle w:val="Heading3"/>
      </w:pPr>
      <w:r>
        <w:t xml:space="preserve">Wie gerechnet wird</w:t>
      </w:r>
    </w:p>
    <w:p>
      <w:r>
        <w:t xml:space="preserve">Der Warenausgang zählt offene Positionen je geplantem Warenausgangstag. Die Belastung der Produktionskapazität ist der Restbedarf aus den Fertigungsaufträgen (Bearbeiten und Rüsten), geteilt durch das Standardangebot der Kapazität an Arbeitstagen. Der Bedarf eines mehrtägigen Vorgangs wird gleichmässig auf die Arbeitstage zwischen Start- und Endtermin verteilt (Korrektur im SAP-Code, siehe Grenzen).</w:t>
      </w:r>
    </w:p>
    <w:p>
      <w:r>
        <w:t xml:space="preserve">Die Bereichstabelle rechnet: Produktivität gleich erledigt geteilt durch eingesetzte Personenstunden; gemessene Zeit je Einheit gleich eingesetzte Minuten geteilt durch erledigt; Bedarf gleich offen mal Planzeit; Belastung gleich Bedarf geteilt durch verfügbare Stunden; Lücke gleich Bedarf minus verfügbare Stunden. Die Belastung ist grün bis 85 Prozent, orange bis 100 Prozent und rot darüber. Zwei Personen, die 30 Minuten gemeinsam arbeiten, sind eine Personenstunde. Beim Rüsten am laufenden Tag zählt das Cockpit offene und quittierte Positionen selbst. Planzeiten werden vom letzten erfassten Tag übernommen.</w:t>
      </w:r>
    </w:p>
    <w:p>
      <w:pPr>
        <w:pStyle w:val="Heading3"/>
      </w:pPr>
      <w:r>
        <w:t xml:space="preserve">Einsatz im Arbeitsalltag</w:t>
      </w:r>
    </w:p>
    <w:p>
      <w:r>
        <w:rPr>
          <w:b/>
        </w:rPr>
        <w:t xml:space="preserve">Logistikleiter:</w:t>
      </w:r>
      <w:r>
        <w:t xml:space="preserve"> Mit der Warenausgangsvorschau die Schichtbesetzung für die nächsten Tage planen und überfällige Lieferungen früh erkennen. </w:t>
      </w:r>
      <w:r>
        <w:rPr>
          <w:b/>
        </w:rPr>
        <w:t xml:space="preserve">Arbeitsvorbereitung:</w:t>
      </w:r>
      <w:r>
        <w:t xml:space="preserve"> Die Produktionskapazität mit der Belastung je Tag ansehen, um Engpässe zu erkennen. </w:t>
      </w:r>
      <w:r>
        <w:rPr>
          <w:b/>
        </w:rPr>
        <w:t xml:space="preserve">Bereichsleiter:</w:t>
      </w:r>
      <w:r>
        <w:t xml:space="preserve"> Tageswerte erfassen; die Spalte „gemessen min/Einheit“ hilft, die Planzeiten aus überprüften Messungen abzuleiten.</w:t>
      </w:r>
    </w:p>
    <w:p>
      <w:pPr>
        <w:pStyle w:val="Heading3"/>
      </w:pPr>
      <w:r>
        <w:t xml:space="preserve">Grenzen und Fallstricke</w:t>
      </w:r>
    </w:p>
    <w:p>
      <w:r>
        <w:rPr>
          <w:b/>
        </w:rPr>
        <w:t xml:space="preserve">Wichtig: Die Belastung je Tag der Produktionskapazität ist derzeit überhöht.</w:t>
      </w:r>
      <w:r>
        <w:t xml:space="preserve"> Die Prüfung vom 5. Oktober 2026 zeigte, dass SAP den ganzen Restbedarf eines Vorgangs auf dessen Starttermin legt. Ein mehrtägiger Vorgang landet so an einem einzigen Tag; der laufende Tag zeigte teils sehr hohe Werte. Die Korrektur (gleichmässige Verteilung auf die Arbeitstage) ist im SAP-Code vorbereitet, wirkt aber erst, sobald sie mit dem nächsten Transport in das produktive SAP importiert ist. Bis dahin sind die Prozentwerte als Obergrenze zu lesen und mit der Arbeitsvorbereitung gegenzuprüfen. Die Vorschau Warenausgang und die Bereichstabelle sind davon nicht betroffen.</w:t>
      </w:r>
    </w:p>
    <w:p>
      <w:r>
        <w:t xml:space="preserve">Die Bereichstabelle kann jeder erfassen, der die Seite öffnet; ein Login für diesen Teil wurde als mögliche spätere Massnahme genannt, ist aber nicht eingerichtet. Das MES der Produktion ist nicht angebunden. Nur was das MES nach SAP zurückmeldet, erscheint hier. Die Ampelgrenzen der SAP-Kapazität sind in der Oberfläche nicht beschrieben (Hinweis: Grenzwerte nicht geprüft).</w:t>
      </w:r>
    </w:p>
    <w:p>
      <w:pPr>
        <w:pStyle w:val="Heading2"/>
      </w:pPr>
      <w:r>
        <w:t xml:space="preserve">Verwendung &amp; Risiko</w:t>
      </w:r>
    </w:p>
    <w:p>
      <w:pPr>
        <w:pStyle w:val="Heading3"/>
      </w:pPr>
      <w:r>
        <w:t xml:space="preserve">Wozu</w:t>
      </w:r>
    </w:p>
    <w:p>
      <w:r>
        <w:t xml:space="preserve">Die Seite zeigt, wie weit sich der Ausfall eines Bauteils nach oben auswirkt. Sie geht über mehrere Stücklistenstufen: von der Komponente über die Baugruppen bis zu den Endprodukten. Zusätzlich erbt jedes Endprodukt das Lieferantenrisiko seiner Komponenten. Sie ergänzt die Stücklistenanalyse, die nur die direkte Beziehung zeigt.</w:t>
      </w:r>
    </w:p>
    <w:p>
      <w:pPr>
        <w:pStyle w:val="Heading3"/>
      </w:pPr>
      <w:r>
        <w:t xml:space="preserve">Was man sieht</w:t>
      </w:r>
    </w:p>
    <w:p>
      <w:r>
        <w:t xml:space="preserve">Ein Hinweis oben nennt die wichtigste Einschränkung: Es sind nur Komponenten mit LZ-Code enthalten. Darunter sechs Kacheln: Komponenten, Endprodukte (oberste Stufe), Baugruppen dazwischen, grösste Tiefe in Stufen, Komponenten mit nur einem Lieferanten und Komponenten mit überfälliger Bestellung. Eine Suche nach Material oder Text grenzt ein.</w:t>
      </w:r>
    </w:p>
    <w:p>
      <w:r>
        <w:t xml:space="preserve">Links die Liste „Komponenten mit der grössten Wirkung“: direkte Eltern, betroffene Endprodukte über alle Stufen, Tiefe und Lieferanten mit Marken „eine Quelle“ und „überfällig“. Ein Klick auf eine Zeile öffnet rechts den Verwendungsbaum nach oben (höchstens 4 Stufen, 25 Einträge je Stufe). Darunter steht die Liste „Endprodukte mit vererbtem Risiko“, je Endprodukt mit der Zahl der Komponenten darunter, jener mit einer einzigen Quelle und jener mit überfälliger Bestellung.</w:t>
      </w:r>
    </w:p>
    <w:p>
      <w:pPr>
        <w:pStyle w:val="Heading3"/>
      </w:pPr>
      <w:r>
        <w:t xml:space="preserve">Wie gerechnet wird</w:t>
      </w:r>
    </w:p>
    <w:p>
      <w:r>
        <w:t xml:space="preserve">Die Wirkung einer Komponente ist die Zahl der Endprodukte, die sie über alle Stufen erreicht. Lieferanten stammen aus den Normalbestellungen der letzten 24 Monate. „Kein Einkauf“ bedeutet meist Eigenfertigung oder eine Bestellung, die älter als 24 Monate ist. Eine Komponente mit genau einem Lieferanten gilt als „eine Quelle“. Überfällig ist ein Bestellabruf, dessen Liefertermin in den letzten zwölf Monaten liegt, der noch nicht voll geliefert ist und dessen Position nicht endgeliefert ist; ältere Altlasten werden bewusst ausgeblendet. Texte kommen aus dem Einkauf, sonst aus den Schweizer Verkaufszeilen. Zirkuläre Stücklisten in den Daten werden abgefangen.</w:t>
      </w:r>
    </w:p>
    <w:p>
      <w:pPr>
        <w:pStyle w:val="Heading3"/>
      </w:pPr>
      <w:r>
        <w:t xml:space="preserve">Einsatz im Arbeitsalltag</w:t>
      </w:r>
    </w:p>
    <w:p>
      <w:r>
        <w:rPr>
          <w:b/>
        </w:rPr>
        <w:t xml:space="preserve">Einkäufer:</w:t>
      </w:r>
      <w:r>
        <w:t xml:space="preserve"> Vor der Lieferantenverhandlung nach der Spitzenreiter-Komponente suchen und sehen, wie viele Endprodukte an einem Lieferanten hängen. </w:t>
      </w:r>
      <w:r>
        <w:rPr>
          <w:b/>
        </w:rPr>
        <w:t xml:space="preserve">Disponent:</w:t>
      </w:r>
      <w:r>
        <w:t xml:space="preserve"> Bei einer Lieferverzögerung den Verwendungsbaum öffnen und betroffene Endprodukte benennen. </w:t>
      </w:r>
      <w:r>
        <w:rPr>
          <w:b/>
        </w:rPr>
        <w:t xml:space="preserve">Geschäftsleitung:</w:t>
      </w:r>
      <w:r>
        <w:t xml:space="preserve"> Die Liste der Endprodukte mit vererbtem Risiko zeigt, wo Lieferketten besonders dünn sind.</w:t>
      </w:r>
    </w:p>
    <w:p>
      <w:pPr>
        <w:pStyle w:val="Heading3"/>
      </w:pPr>
      <w:r>
        <w:t xml:space="preserve">Grenzen und Fallstricke</w:t>
      </w:r>
    </w:p>
    <w:p>
      <w:r>
        <w:t xml:space="preserve">Es fehlen Teile ohne LZ-Code. Deshalb gibt es hier bewusst keinen Umsatz je Komponente und keine Gleichteil- oder Komplexitätsauswertung: Bei 94 Prozent fehlendem Umsatz in den erreichbaren Daten wären solche Zahlen falsch. Eine vollständige mehrstufige Stückliste aus SAP ist als spätere Ausbaustufe vorgesehen. Die Verwendungsdaten tragen einen Stand (steht oben); die Lieferantenzahl zeigt nur beobachtete, nicht freigegebene Bezugsquellen.</w:t>
      </w:r>
    </w:p>
    <w:p>
      <w:pPr>
        <w:pStyle w:val="Heading2"/>
      </w:pPr>
      <w:r>
        <w:t xml:space="preserve">Dispositionsprüfung</w:t>
      </w:r>
    </w:p>
    <w:p>
      <w:pPr>
        <w:pStyle w:val="Heading3"/>
      </w:pPr>
      <w:r>
        <w:t xml:space="preserve">Wozu</w:t>
      </w:r>
    </w:p>
    <w:p>
      <w:r>
        <w:t xml:space="preserve">Die Seite erzeugt aus den Dispositionsparametern in SAP konkrete Prüfaufträge. Sie findet fehlende oder auffällige Einstellungen, bevor sie zu Fehlteilen führen. Es wird nichts automatisch geändert; jede Zeile ist eine fachliche Prüfaufgabe.</w:t>
      </w:r>
    </w:p>
    <w:p>
      <w:pPr>
        <w:pStyle w:val="Heading3"/>
      </w:pPr>
      <w:r>
        <w:t xml:space="preserve">Was man sieht</w:t>
      </w:r>
    </w:p>
    <w:p>
      <w:r>
        <w:t xml:space="preserve">Aufbau wie bei der Materialdisposition mit denselben Filtern. Vier Kacheln: Prüfaufträge (Regeltreffer), betroffene Materialien, Priorität P1 und „Keine Auto-Änderung“. Die Tabelle zeigt je Prüfauftrag: Priorität, Material, Bezeichnung, die Art des Prüfauftrags, Dispositionsmerkmal und Beschaffungsart, Sicherheits- und Meldebestand, Losgrösse, Materialstatus und LZ-Code.</w:t>
      </w:r>
    </w:p>
    <w:p>
      <w:pPr>
        <w:pStyle w:val="Heading3"/>
      </w:pPr>
      <w:r>
        <w:t xml:space="preserve">Wie gerechnet wird</w:t>
      </w:r>
    </w:p>
    <w:p>
      <w:r>
        <w:t xml:space="preserve">Ein Material kann mehrere Prüfaufträge auslösen. Die Regeln:</w:t>
      </w:r>
    </w:p>
    <w:p>
      <w:pPr>
        <w:pStyle w:val="ListBullet"/>
        <w:numPr>
          <w:ilvl w:val="0"/>
          <w:numId w:val="1"/>
        </w:numPr>
      </w:pPr>
      <w:r>
        <w:t xml:space="preserve">P1: negativer Endbestand ohne Sicherheitsbestand.</w:t>
      </w:r>
    </w:p>
    <w:p>
      <w:pPr>
        <w:pStyle w:val="ListBullet"/>
        <w:numPr>
          <w:ilvl w:val="0"/>
          <w:numId w:val="1"/>
        </w:numPr>
      </w:pPr>
      <w:r>
        <w:t xml:space="preserve">P1: negativer Endbestand ohne Meldebestand.</w:t>
      </w:r>
    </w:p>
    <w:p>
      <w:pPr>
        <w:pStyle w:val="ListBullet"/>
        <w:numPr>
          <w:ilvl w:val="0"/>
          <w:numId w:val="1"/>
        </w:numPr>
      </w:pPr>
      <w:r>
        <w:t xml:space="preserve">P1: Material mit Status 98 oder 99 (gesperrt oder auslaufend), das noch in Elternmaterialien verwendet wird.</w:t>
      </w:r>
    </w:p>
    <w:p>
      <w:pPr>
        <w:pStyle w:val="ListBullet"/>
        <w:numPr>
          <w:ilvl w:val="0"/>
          <w:numId w:val="1"/>
        </w:numPr>
      </w:pPr>
      <w:r>
        <w:t xml:space="preserve">P2: Dispositionsmerkmal fehlt.</w:t>
      </w:r>
    </w:p>
    <w:p>
      <w:pPr>
        <w:pStyle w:val="ListBullet"/>
        <w:numPr>
          <w:ilvl w:val="0"/>
          <w:numId w:val="1"/>
        </w:numPr>
      </w:pPr>
      <w:r>
        <w:t xml:space="preserve">P2: Beschaffungsart fehlt.</w:t>
      </w:r>
    </w:p>
    <w:p>
      <w:pPr>
        <w:pStyle w:val="ListBullet"/>
        <w:numPr>
          <w:ilvl w:val="0"/>
          <w:numId w:val="1"/>
        </w:numPr>
      </w:pPr>
      <w:r>
        <w:t xml:space="preserve">P3: Fixlosgrösse bei bestehender Deckungslücke prüfen.</w:t>
      </w:r>
    </w:p>
    <w:p>
      <w:pPr>
        <w:pStyle w:val="Heading3"/>
      </w:pPr>
      <w:r>
        <w:t xml:space="preserve">Einsatz im Arbeitsalltag</w:t>
      </w:r>
    </w:p>
    <w:p>
      <w:r>
        <w:rPr>
          <w:b/>
        </w:rPr>
        <w:t xml:space="preserve">Disponent:</w:t>
      </w:r>
      <w:r>
        <w:t xml:space="preserve"> Einmal pro Woche die P1-Aufträge durchgehen und die Parameter in SAP korrigieren. </w:t>
      </w:r>
      <w:r>
        <w:rPr>
          <w:b/>
        </w:rPr>
        <w:t xml:space="preserve">Stammdatenpflege:</w:t>
      </w:r>
      <w:r>
        <w:t xml:space="preserve"> Fehlende Dispositionsmerkmale und Beschaffungsarten bereinigen. </w:t>
      </w:r>
      <w:r>
        <w:rPr>
          <w:b/>
        </w:rPr>
        <w:t xml:space="preserve">Einkäufer:</w:t>
      </w:r>
      <w:r>
        <w:t xml:space="preserve"> Bei auslaufenden, aber noch verwendeten Materialien über Ersatz entscheiden.</w:t>
      </w:r>
    </w:p>
    <w:p>
      <w:pPr>
        <w:pStyle w:val="Heading3"/>
      </w:pPr>
      <w:r>
        <w:t xml:space="preserve">Grenzen und Fallstricke</w:t>
      </w:r>
    </w:p>
    <w:p>
      <w:r>
        <w:t xml:space="preserve">Die Seite schreibt keine Parameter nach SAP zurück. Die Regeln sind Plausibilitätsprüfungen; ein Treffer heisst nicht, dass der Wert falsch ist. Der Umfang hängt vom geladenen Datenstand ab. Wie die Tabelle zeigt, ist sie auf 1'000 Treffer begrenzt.</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Endbestand</w:t>
            </w:r>
          </w:p>
        </w:tc>
        <w:tc>
          <w:tcPr>
            <w:tcW w:w="3102" w:type="dxa"/>
          </w:tcPr>
          <w:p>
            <w:pPr>
              <w:pStyle w:val="TableText"/>
            </w:pPr>
            <w:r>
              <w:t xml:space="preserve">Bestand nach Berücksichtigung der Disposition</w:t>
            </w:r>
          </w:p>
        </w:tc>
        <w:tc>
          <w:tcPr>
            <w:tcW w:w="3102" w:type="dxa"/>
          </w:tcPr>
          <w:p>
            <w:pPr>
              <w:pStyle w:val="TableText"/>
            </w:pPr>
            <w:r>
              <w:t xml:space="preserve">Wert aus der SAP-Dispositionsrechnung; Bestellungen werden nicht nochmals addiert</w:t>
            </w:r>
          </w:p>
        </w:tc>
      </w:tr>
      <w:tr>
        <w:tc>
          <w:tcPr>
            <w:tcW w:w="3102" w:type="dxa"/>
          </w:tcPr>
          <w:p>
            <w:pPr>
              <w:pStyle w:val="TableText"/>
            </w:pPr>
            <w:r>
              <w:t xml:space="preserve">Fehlmenge</w:t>
            </w:r>
          </w:p>
        </w:tc>
        <w:tc>
          <w:tcPr>
            <w:tcW w:w="3102" w:type="dxa"/>
          </w:tcPr>
          <w:p>
            <w:pPr>
              <w:pStyle w:val="TableText"/>
            </w:pPr>
            <w:r>
              <w:t xml:space="preserve">Menge, die zur Deckung fehlt</w:t>
            </w:r>
          </w:p>
        </w:tc>
        <w:tc>
          <w:tcPr>
            <w:tcW w:w="3102" w:type="dxa"/>
          </w:tcPr>
          <w:p>
            <w:pPr>
              <w:pStyle w:val="TableText"/>
            </w:pPr>
            <w:r>
              <w:t xml:space="preserve">Negativer Endbestand als positive Zahl</w:t>
            </w:r>
          </w:p>
        </w:tc>
      </w:tr>
      <w:tr>
        <w:tc>
          <w:tcPr>
            <w:tcW w:w="3102" w:type="dxa"/>
          </w:tcPr>
          <w:p>
            <w:pPr>
              <w:pStyle w:val="TableText"/>
            </w:pPr>
            <w:r>
              <w:t xml:space="preserve">Fehlwert CHF</w:t>
            </w:r>
          </w:p>
        </w:tc>
        <w:tc>
          <w:tcPr>
            <w:tcW w:w="3102" w:type="dxa"/>
          </w:tcPr>
          <w:p>
            <w:pPr>
              <w:pStyle w:val="TableText"/>
            </w:pPr>
            <w:r>
              <w:t xml:space="preserve">Wert der fehlenden Menge</w:t>
            </w:r>
          </w:p>
        </w:tc>
        <w:tc>
          <w:tcPr>
            <w:tcW w:w="3102" w:type="dxa"/>
          </w:tcPr>
          <w:p>
            <w:pPr>
              <w:pStyle w:val="TableText"/>
            </w:pPr>
            <w:r>
              <w:t xml:space="preserve">Fehlmenge mal Stückkosten; ohne Stückkosten unbekannt</w:t>
            </w:r>
          </w:p>
        </w:tc>
      </w:tr>
      <w:tr>
        <w:tc>
          <w:tcPr>
            <w:tcW w:w="3102" w:type="dxa"/>
          </w:tcPr>
          <w:p>
            <w:pPr>
              <w:pStyle w:val="TableText"/>
            </w:pPr>
            <w:r>
              <w:t xml:space="preserve">Priorität P1/P2/P3</w:t>
            </w:r>
          </w:p>
        </w:tc>
        <w:tc>
          <w:tcPr>
            <w:tcW w:w="3102" w:type="dxa"/>
          </w:tcPr>
          <w:p>
            <w:pPr>
              <w:pStyle w:val="TableText"/>
            </w:pPr>
            <w:r>
              <w:t xml:space="preserve">Dringlichkeit eines Hinweises</w:t>
            </w:r>
          </w:p>
        </w:tc>
        <w:tc>
          <w:tcPr>
            <w:tcW w:w="3102" w:type="dxa"/>
          </w:tcPr>
          <w:p>
            <w:pPr>
              <w:pStyle w:val="TableText"/>
            </w:pPr>
            <w:r>
              <w:t xml:space="preserve">Regelbasiert, siehe die einzelnen Seiten</w:t>
            </w:r>
          </w:p>
        </w:tc>
      </w:tr>
      <w:tr>
        <w:tc>
          <w:tcPr>
            <w:tcW w:w="3102" w:type="dxa"/>
          </w:tcPr>
          <w:p>
            <w:pPr>
              <w:pStyle w:val="TableText"/>
            </w:pPr>
            <w:r>
              <w:t xml:space="preserve">Exklusive Komponente</w:t>
            </w:r>
          </w:p>
        </w:tc>
        <w:tc>
          <w:tcPr>
            <w:tcW w:w="3102" w:type="dxa"/>
          </w:tcPr>
          <w:p>
            <w:pPr>
              <w:pStyle w:val="TableText"/>
            </w:pPr>
            <w:r>
              <w:t xml:space="preserve">Kennzeichen aus dem SAP-Stücklistenbericht, Hinweis auf besondere Abhängigkeit</w:t>
            </w:r>
          </w:p>
        </w:tc>
        <w:tc>
          <w:tcPr>
            <w:tcW w:w="3102" w:type="dxa"/>
          </w:tcPr>
          <w:p>
            <w:pPr>
              <w:pStyle w:val="TableText"/>
            </w:pPr>
            <w:r>
              <w:t xml:space="preserve">Wird unverändert übernommen und gezählt; genaue Definition nicht geprüft</w:t>
            </w:r>
          </w:p>
        </w:tc>
      </w:tr>
      <w:tr>
        <w:tc>
          <w:tcPr>
            <w:tcW w:w="3102" w:type="dxa"/>
          </w:tcPr>
          <w:p>
            <w:pPr>
              <w:pStyle w:val="TableText"/>
            </w:pPr>
            <w:r>
              <w:t xml:space="preserve">LZ-Code</w:t>
            </w:r>
          </w:p>
        </w:tc>
        <w:tc>
          <w:tcPr>
            <w:tcW w:w="3102" w:type="dxa"/>
          </w:tcPr>
          <w:p>
            <w:pPr>
              <w:pStyle w:val="TableText"/>
            </w:pPr>
            <w:r>
              <w:t xml:space="preserve">Kennzeichen des Logistikberichts für Komponenten</w:t>
            </w:r>
          </w:p>
        </w:tc>
        <w:tc>
          <w:tcPr>
            <w:tcW w:w="3102" w:type="dxa"/>
          </w:tcPr>
          <w:p>
            <w:pPr>
              <w:pStyle w:val="TableText"/>
            </w:pPr>
            <w:r>
              <w:t xml:space="preserve">Wird je Komponente geführt und nur gezählt</w:t>
            </w:r>
          </w:p>
        </w:tc>
      </w:tr>
      <w:tr>
        <w:tc>
          <w:tcPr>
            <w:tcW w:w="3102" w:type="dxa"/>
          </w:tcPr>
          <w:p>
            <w:pPr>
              <w:pStyle w:val="TableText"/>
            </w:pPr>
            <w:r>
              <w:t xml:space="preserve">Wirkung (Eltern, Endprodukte)</w:t>
            </w:r>
          </w:p>
        </w:tc>
        <w:tc>
          <w:tcPr>
            <w:tcW w:w="3102" w:type="dxa"/>
          </w:tcPr>
          <w:p>
            <w:pPr>
              <w:pStyle w:val="TableText"/>
            </w:pPr>
            <w:r>
              <w:t xml:space="preserve">Wie viele übergeordnete Teile an einer Komponente hängen</w:t>
            </w:r>
          </w:p>
        </w:tc>
        <w:tc>
          <w:tcPr>
            <w:tcW w:w="3102" w:type="dxa"/>
          </w:tcPr>
          <w:p>
            <w:pPr>
              <w:pStyle w:val="TableText"/>
            </w:pPr>
            <w:r>
              <w:t xml:space="preserve">Anzahl unterschiedlicher Eltern, bei Verwendung und Risiko über alle Stufen bis zu den Endprodukten</w:t>
            </w:r>
          </w:p>
        </w:tc>
      </w:tr>
      <w:tr>
        <w:tc>
          <w:tcPr>
            <w:tcW w:w="3102" w:type="dxa"/>
          </w:tcPr>
          <w:p>
            <w:pPr>
              <w:pStyle w:val="TableText"/>
            </w:pPr>
            <w:r>
              <w:t xml:space="preserve">Eine Quelle</w:t>
            </w:r>
          </w:p>
        </w:tc>
        <w:tc>
          <w:tcPr>
            <w:tcW w:w="3102" w:type="dxa"/>
          </w:tcPr>
          <w:p>
            <w:pPr>
              <w:pStyle w:val="TableText"/>
            </w:pPr>
            <w:r>
              <w:t xml:space="preserve">Komponente mit nur einem Lieferanten</w:t>
            </w:r>
          </w:p>
        </w:tc>
        <w:tc>
          <w:tcPr>
            <w:tcW w:w="3102" w:type="dxa"/>
          </w:tcPr>
          <w:p>
            <w:pPr>
              <w:pStyle w:val="TableText"/>
            </w:pPr>
            <w:r>
              <w:t xml:space="preserve">Ein einziger Lieferant in den Normalbestellungen der letzten 24 Monate</w:t>
            </w:r>
          </w:p>
        </w:tc>
      </w:tr>
      <w:tr>
        <w:tc>
          <w:tcPr>
            <w:tcW w:w="3102" w:type="dxa"/>
          </w:tcPr>
          <w:p>
            <w:pPr>
              <w:pStyle w:val="TableText"/>
            </w:pPr>
            <w:r>
              <w:t xml:space="preserve">Überfällig (Einkauf)</w:t>
            </w:r>
          </w:p>
        </w:tc>
        <w:tc>
          <w:tcPr>
            <w:tcW w:w="3102" w:type="dxa"/>
          </w:tcPr>
          <w:p>
            <w:pPr>
              <w:pStyle w:val="TableText"/>
            </w:pPr>
            <w:r>
              <w:t xml:space="preserve">Offene Bestellmenge nach Termin</w:t>
            </w:r>
          </w:p>
        </w:tc>
        <w:tc>
          <w:tcPr>
            <w:tcW w:w="3102" w:type="dxa"/>
          </w:tcPr>
          <w:p>
            <w:pPr>
              <w:pStyle w:val="TableText"/>
            </w:pPr>
            <w:r>
              <w:t xml:space="preserve">Liefertermin in den letzten zwölf Monaten vorbei und noch nicht voll geliefert</w:t>
            </w:r>
          </w:p>
        </w:tc>
      </w:tr>
      <w:tr>
        <w:tc>
          <w:tcPr>
            <w:tcW w:w="3102" w:type="dxa"/>
          </w:tcPr>
          <w:p>
            <w:pPr>
              <w:pStyle w:val="TableText"/>
            </w:pPr>
            <w:r>
              <w:t xml:space="preserve">Durchlaufzeit je Lieferung</w:t>
            </w:r>
          </w:p>
        </w:tc>
        <w:tc>
          <w:tcPr>
            <w:tcW w:w="3102" w:type="dxa"/>
          </w:tcPr>
          <w:p>
            <w:pPr>
              <w:pStyle w:val="TableText"/>
            </w:pPr>
            <w:r>
              <w:t xml:space="preserve">Zeit vom ersten Transportauftrag bis zur letzten Quittierung</w:t>
            </w:r>
          </w:p>
        </w:tc>
        <w:tc>
          <w:tcPr>
            <w:tcW w:w="3102" w:type="dxa"/>
          </w:tcPr>
          <w:p>
            <w:pPr>
              <w:pStyle w:val="TableText"/>
            </w:pPr>
            <w:r>
              <w:t xml:space="preserve">Mediane und 80-Prozent-Grenze über alle gerüsteten Lieferungen des Tages</w:t>
            </w:r>
          </w:p>
        </w:tc>
      </w:tr>
      <w:tr>
        <w:tc>
          <w:tcPr>
            <w:tcW w:w="3102" w:type="dxa"/>
          </w:tcPr>
          <w:p>
            <w:pPr>
              <w:pStyle w:val="TableText"/>
            </w:pPr>
            <w:r>
              <w:t xml:space="preserve">Zeit bis Warenausgang</w:t>
            </w:r>
          </w:p>
        </w:tc>
        <w:tc>
          <w:tcPr>
            <w:tcW w:w="3102" w:type="dxa"/>
          </w:tcPr>
          <w:p>
            <w:pPr>
              <w:pStyle w:val="TableText"/>
            </w:pPr>
            <w:r>
              <w:t xml:space="preserve">Zeit vom ersten Transportauftrag bis zur Warenbewegung</w:t>
            </w:r>
          </w:p>
        </w:tc>
        <w:tc>
          <w:tcPr>
            <w:tcW w:w="3102" w:type="dxa"/>
          </w:tcPr>
          <w:p>
            <w:pPr>
              <w:pStyle w:val="TableText"/>
            </w:pPr>
            <w:r>
              <w:t xml:space="preserve">Nur für Lieferungen mit plausibler Warenausgangs-Uhrzeit</w:t>
            </w:r>
          </w:p>
        </w:tc>
      </w:tr>
      <w:tr>
        <w:tc>
          <w:tcPr>
            <w:tcW w:w="3102" w:type="dxa"/>
          </w:tcPr>
          <w:p>
            <w:pPr>
              <w:pStyle w:val="TableText"/>
            </w:pPr>
            <w:r>
              <w:t xml:space="preserve">Positionen je aktive Stunde</w:t>
            </w:r>
          </w:p>
        </w:tc>
        <w:tc>
          <w:tcPr>
            <w:tcW w:w="3102" w:type="dxa"/>
          </w:tcPr>
          <w:p>
            <w:pPr>
              <w:pStyle w:val="TableText"/>
            </w:pPr>
            <w:r>
              <w:t xml:space="preserve">Quittierleistung des Lagers</w:t>
            </w:r>
          </w:p>
        </w:tc>
        <w:tc>
          <w:tcPr>
            <w:tcW w:w="3102" w:type="dxa"/>
          </w:tcPr>
          <w:p>
            <w:pPr>
              <w:pStyle w:val="TableText"/>
            </w:pPr>
            <w:r>
              <w:t xml:space="preserve">Quittierte Positionen geteilt durch Stunden mit mindestens einer Quittierung</w:t>
            </w:r>
          </w:p>
        </w:tc>
      </w:tr>
      <w:tr>
        <w:tc>
          <w:tcPr>
            <w:tcW w:w="3102" w:type="dxa"/>
          </w:tcPr>
          <w:p>
            <w:pPr>
              <w:pStyle w:val="TableText"/>
            </w:pPr>
            <w:r>
              <w:t xml:space="preserve">Geschätzte Stunden (Person)</w:t>
            </w:r>
          </w:p>
        </w:tc>
        <w:tc>
          <w:tcPr>
            <w:tcW w:w="3102" w:type="dxa"/>
          </w:tcPr>
          <w:p>
            <w:pPr>
              <w:pStyle w:val="TableText"/>
            </w:pPr>
            <w:r>
              <w:t xml:space="preserve">Näherung der Arbeitszeit</w:t>
            </w:r>
          </w:p>
        </w:tc>
        <w:tc>
          <w:tcPr>
            <w:tcW w:w="3102" w:type="dxa"/>
          </w:tcPr>
          <w:p>
            <w:pPr>
              <w:pStyle w:val="TableText"/>
            </w:pPr>
            <w:r>
              <w:t xml:space="preserve">Quittierungen mit höchstens 15 Minuten Abstand bilden einen Abschnitt, Einzelquittierung zwei Minuten</w:t>
            </w:r>
          </w:p>
        </w:tc>
      </w:tr>
      <w:tr>
        <w:tc>
          <w:tcPr>
            <w:tcW w:w="3102" w:type="dxa"/>
          </w:tcPr>
          <w:p>
            <w:pPr>
              <w:pStyle w:val="TableText"/>
            </w:pPr>
            <w:r>
              <w:t xml:space="preserve">Belastung (Produktion)</w:t>
            </w:r>
          </w:p>
        </w:tc>
        <w:tc>
          <w:tcPr>
            <w:tcW w:w="3102" w:type="dxa"/>
          </w:tcPr>
          <w:p>
            <w:pPr>
              <w:pStyle w:val="TableText"/>
            </w:pPr>
            <w:r>
              <w:t xml:space="preserve">Auslastung einer Kapazität pro Tag</w:t>
            </w:r>
          </w:p>
        </w:tc>
        <w:tc>
          <w:tcPr>
            <w:tcW w:w="3102" w:type="dxa"/>
          </w:tcPr>
          <w:p>
            <w:pPr>
              <w:pStyle w:val="TableText"/>
            </w:pPr>
            <w:r>
              <w:t xml:space="preserve">Restbedarf der Fertigungsaufträge geteilt durch Standardangebot; derzeit überhöht, siehe Kapazität</w:t>
            </w:r>
          </w:p>
        </w:tc>
      </w:tr>
      <w:tr>
        <w:tc>
          <w:tcPr>
            <w:tcW w:w="3102" w:type="dxa"/>
          </w:tcPr>
          <w:p>
            <w:pPr>
              <w:pStyle w:val="TableText"/>
            </w:pPr>
            <w:r>
              <w:t xml:space="preserve">Belastung (Bereich)</w:t>
            </w:r>
          </w:p>
        </w:tc>
        <w:tc>
          <w:tcPr>
            <w:tcW w:w="3102" w:type="dxa"/>
          </w:tcPr>
          <w:p>
            <w:pPr>
              <w:pStyle w:val="TableText"/>
            </w:pPr>
            <w:r>
              <w:t xml:space="preserve">Auslastung eines Bereichs</w:t>
            </w:r>
          </w:p>
        </w:tc>
        <w:tc>
          <w:tcPr>
            <w:tcW w:w="3102" w:type="dxa"/>
          </w:tcPr>
          <w:p>
            <w:pPr>
              <w:pStyle w:val="TableText"/>
            </w:pPr>
            <w:r>
              <w:t xml:space="preserve">Bedarf (offen mal Planzeit) geteilt durch verfügbare Stunden; grün bis 85 %, orange bis 100 %, rot darüber</w:t>
            </w:r>
          </w:p>
        </w:tc>
      </w:tr>
      <w:tr>
        <w:tc>
          <w:tcPr>
            <w:tcW w:w="3102" w:type="dxa"/>
          </w:tcPr>
          <w:p>
            <w:pPr>
              <w:pStyle w:val="TableText"/>
            </w:pPr>
            <w:r>
              <w:t xml:space="preserve">Lücke (Std.)</w:t>
            </w:r>
          </w:p>
        </w:tc>
        <w:tc>
          <w:tcPr>
            <w:tcW w:w="3102" w:type="dxa"/>
          </w:tcPr>
          <w:p>
            <w:pPr>
              <w:pStyle w:val="TableText"/>
            </w:pPr>
            <w:r>
              <w:t xml:space="preserve">Fehlende Personenstunden</w:t>
            </w:r>
          </w:p>
        </w:tc>
        <w:tc>
          <w:tcPr>
            <w:tcW w:w="3102" w:type="dxa"/>
          </w:tcPr>
          <w:p>
            <w:pPr>
              <w:pStyle w:val="TableText"/>
            </w:pPr>
            <w:r>
              <w:t xml:space="preserve">Bedarf minus verfügbare Stunden</w:t>
            </w:r>
          </w:p>
        </w:tc>
      </w:tr>
    </w:tbl>
    <w:p>
      <w:pPr>
        <w:spacing w:before="0" w:after="80"/>
      </w:pPr>
    </w:p>
    <w:p>
      <w:r>
        <w:br w:type="page"/>
      </w:r>
    </w:p>
    <w:p>
      <w:pPr>
        <w:pStyle w:val="Heading1"/>
      </w:pPr>
      <w:r>
        <w:t xml:space="preserve">HR</w:t>
      </w:r>
    </w:p>
    <w:p>
      <w:r>
        <w:t xml:space="preserve">Das HR-Cockpit bündelt die wichtigsten Personalkennzahlen an einem Ort: Personalbestand, Fluktuation, Absenzen, Gleitzeitsaldi und Restferien sowie die Qualität der zugrunde liegenden Daten. Es richtet sich an die HR-Fachpersonen (Keyuser, HR-Leitung und Stellvertretungen) und an die Geschäftsleitung, die über die Managementsicht Kennzahlen ohne Namen erhält. Im Menü liegen zwei Seiten: das HR Dashboard (hr-kpi) und die HR KPI Schulung (hr-kpi/schulung).</w:t>
      </w:r>
    </w:p>
    <w:p>
      <w:r>
        <w:t xml:space="preserve">Die Seite enthält sensible Personaldaten und ist deshalb durch eine eigene Anmeldung geschützt, getrennt vom übrigen Cockpit. Die Daten stammen aus dem HR-System Rexx (Personalstamm, Zeit- und Absenzdaten, Austritte) und aus SAP (Beschäftigungsgrad, Geschlecht, Planstelle, Unfalltage sowie, wenn vorhanden, Absenzen je Fall). Die Rexx-Auswertungen liegen als Excel-Dateien in einem Datenordner auf dem Server. Wie aktuell die Zahlen sind, hängt also davon ab, wann die Dateien zuletzt erneuert wurden. Der Reiter Datenstatus zeigt das für jede Datei an. Die SAP-Personaldatei wird laut Dokumentation seit Oktober 2026 täglich automatisch erneuert, die Absenzen je Fall aus SAP ebenfalls (Hinweis: der aktuelle Lauf wurde nicht geprüft). Die Rexx-Dateien müssen weiterhin von Hand oder über eine noch zu klärende Lieferung ersetzt werden; der zuletzt dokumentierte Stand der Rexx-Dateien war der 8. Juli 2026.</w:t>
      </w:r>
    </w:p>
    <w:p>
      <w:pPr>
        <w:pStyle w:val="Heading2"/>
      </w:pPr>
      <w:r>
        <w:t xml:space="preserve">HR Dashboard</w:t>
      </w:r>
    </w:p>
    <w:p>
      <w:pPr>
        <w:pStyle w:val="Heading3"/>
      </w:pPr>
      <w:r>
        <w:t xml:space="preserve">Wozu</w:t>
      </w:r>
    </w:p>
    <w:p>
      <w:r>
        <w:t xml:space="preserve">Das Dashboard beantwortet die Fragen, die HR regelmässig der Geschäftsleitung beantworten muss: Wie viele Mitarbeitende haben wir, wie hoch ist die Fluktuation, wie hoch ist die Krankenquote, wo laufen Gleitzeitsaldi oder Restferien aus dem Ruder, und ist die Datenbasis verlässlich genug, um diese Zahlen weiterzugeben. Es ersetzt keine fachliche Freigabe durch HR, sondern liefert die nachvollziehbare Zahlenbasis dafür.</w:t>
      </w:r>
    </w:p>
    <w:p>
      <w:pPr>
        <w:pStyle w:val="Heading3"/>
      </w:pPr>
      <w:r>
        <w:t xml:space="preserve">Was man sieht</w:t>
      </w:r>
    </w:p>
    <w:p>
      <w:r>
        <w:t xml:space="preserve">Vor dem Zugriff steht die Anmeldung mit Name und Passwort. Das Passwort lässt sich dort auch ändern (mindestens acht Zeichen). Nach der Anmeldung folgt der Filterbereich:</w:t>
      </w:r>
    </w:p>
    <w:p>
      <w:pPr>
        <w:pStyle w:val="ListBullet"/>
        <w:numPr>
          <w:ilvl w:val="0"/>
          <w:numId w:val="1"/>
        </w:numPr>
      </w:pPr>
      <w:r>
        <w:t xml:space="preserve">Datenordner für die Rexx- und SAP-Dateien, mit Möglichkeit, neue Excel-Dateien hochzuladen oder den Serverordner zu verwenden.</w:t>
      </w:r>
    </w:p>
    <w:p>
      <w:pPr>
        <w:pStyle w:val="ListBullet"/>
        <w:numPr>
          <w:ilvl w:val="0"/>
          <w:numId w:val="1"/>
        </w:numPr>
      </w:pPr>
      <w:r>
        <w:t xml:space="preserve">Fluktuationsjahr, Von-Datum und Bis-Datum (Austritt), Organisation, Eintrittsjahr, Suche nach Name oder Personalnummer, Kostenstelle, Mitarbeitertyp.</w:t>
      </w:r>
    </w:p>
    <w:p>
      <w:pPr>
        <w:pStyle w:val="ListBullet"/>
        <w:numPr>
          <w:ilvl w:val="0"/>
          <w:numId w:val="1"/>
        </w:numPr>
      </w:pPr>
      <w:r>
        <w:t xml:space="preserve">Fluktuationsfilter (Auswahlliste, die Optionen wurden nicht einzeln geprüft), GLZ-Ampel und Restferien-Ampel.</w:t>
      </w:r>
    </w:p>
    <w:p>
      <w:pPr>
        <w:pStyle w:val="ListBullet"/>
        <w:numPr>
          <w:ilvl w:val="0"/>
          <w:numId w:val="1"/>
        </w:numPr>
      </w:pPr>
      <w:r>
        <w:t xml:space="preserve">Schalter „Managementsicht“, Schaltflächen Laden, Sperren und Drucken/PDF.</w:t>
      </w:r>
    </w:p>
    <w:p>
      <w:pPr>
        <w:pStyle w:val="ListBullet"/>
        <w:numPr>
          <w:ilvl w:val="0"/>
          <w:numId w:val="1"/>
        </w:numPr>
      </w:pPr>
      <w:r>
        <w:t xml:space="preserve">Varianten: Eine Filtereinstellung lässt sich unter einem Namen speichern, laden, umbenennen, überschreiben und löschen.</w:t>
      </w:r>
    </w:p>
    <w:p>
      <w:r>
        <w:t xml:space="preserve">Unterhalb stehen Hinweise zur Datenlage (zum Beispiel fehlende Dateien) und die acht Reiter: Überblick, Fluktuation, Ampel, Absenzen, Zeit / Ferien, Mitarbeitende, Datenstatus und Anleitung. Jeder Reiter hat oben einen eigenen PDF-Knopf. Fährt man mit der Maus über eine Kennzahlenkachel, erscheinen Formel und genaue Bedeutung.</w:t>
      </w:r>
    </w:p>
    <w:p>
      <w:pPr>
        <w:pStyle w:val="Heading3"/>
      </w:pPr>
      <w:r>
        <w:t xml:space="preserve">Wie gerechnet wird</w:t>
      </w:r>
    </w:p>
    <w:p>
      <w:r>
        <w:t xml:space="preserve">Es gelten durchgehend einige Grundregeln. Ein Arbeitstag hat 8,0 Stunden; für Kader (in Rexx als „Leitung“ gekennzeichnet) gelten 8,1 Stunden. Die Arbeitstage der Krankenquote sind nicht einfach Montag bis Freitag: Es werden die neun gesetzlichen Feiertage des Kantons Zürich abgezogen (Neujahr, Karfreitag, Ostermontag, 1. Mai, Auffahrt, Pfingstmontag, 1. August, Weihnachten, Stephanstag), sofern sie auf einen Wochentag fallen. Der Berchtoldstag und lokale Feiertage sind nicht enthalten. Der Personalbestand wird in Köpfen gezählt; die Krankenquote rechnet mit FTE (Vollzeitäquivalenten).</w:t>
      </w:r>
    </w:p>
    <w:p>
      <w:r>
        <w:t xml:space="preserve">Zeilen ohne SAP-Beschäftigungsgrad und ohne Sollzeit gelten als Hilfsprofile (zum Beispiel Erinnerungs-Konten) und fallen aus allen Kennzahlen heraus. Bekannte Testprofile stehen auf einer Ausschlussliste. Wo kein SAP-Beschäftigungsgrad vorliegt, wird das FTE aus der Sollzeit abgeleitet.</w:t>
      </w:r>
    </w:p>
    <w:p>
      <w:r>
        <w:t xml:space="preserve">Der Vorrang der Filter: Von-Datum und Bis-Datum haben Vorrang vor dem Fluktuationsjahr. Kostenstelle, GLZ-Ampel und Restferien-Ampel filtern die Mitarbeitenden- und Absenzsicht, aber nicht die Fluktuation, weil diese Felder in der Austrittsdatei nicht verlässlich vorhanden sind.</w:t>
      </w:r>
    </w:p>
    <w:p>
      <w:pPr>
        <w:pStyle w:val="Heading3"/>
      </w:pPr>
      <w:r>
        <w:t xml:space="preserve">Einsatz im Arbeitsalltag</w:t>
      </w:r>
    </w:p>
    <w:p>
      <w:r>
        <w:rPr>
          <w:b/>
        </w:rPr>
        <w:t xml:space="preserve">HR-Keyuser:</w:t>
      </w:r>
      <w:r>
        <w:t xml:space="preserve"> Zuerst den Reiter Datenstatus prüfen, dann laden, filtern und die Kennzahlen ablesen. Die Anleitung (Reiter und Schulungsseite) beschreibt die Reihenfolge.</w:t>
      </w:r>
    </w:p>
    <w:p>
      <w:r>
        <w:rPr>
          <w:b/>
        </w:rPr>
        <w:t xml:space="preserve">HR-Leitung:</w:t>
      </w:r>
      <w:r>
        <w:t xml:space="preserve"> Ampel und Überblick für das Gespräch mit der Geschäftsleitung; zur Weitergabe die Managementsicht einschalten und die PDF-Funktion nutzen.</w:t>
      </w:r>
    </w:p>
    <w:p>
      <w:r>
        <w:rPr>
          <w:b/>
        </w:rPr>
        <w:t xml:space="preserve">Geschäftsleitung:</w:t>
      </w:r>
      <w:r>
        <w:t xml:space="preserve"> Über die Managementsicht die Kennzahlen Fluktuation, Krankenquote und Headcount einsehen.</w:t>
      </w:r>
    </w:p>
    <w:p>
      <w:r>
        <w:rPr>
          <w:b/>
        </w:rPr>
        <w:t xml:space="preserve">Controller:</w:t>
      </w:r>
      <w:r>
        <w:t xml:space="preserve"> Die Fluktuations- und Headcount-Zahlen für Personalplanung und Kostenprognosen heranziehen.</w:t>
      </w:r>
    </w:p>
    <w:p>
      <w:pPr>
        <w:pStyle w:val="Heading3"/>
      </w:pPr>
      <w:r>
        <w:t xml:space="preserve">Grenzen und Fallstricke</w:t>
      </w:r>
    </w:p>
    <w:p>
      <w:r>
        <w:t xml:space="preserve">Die Managementsicht ersetzt Namen durch Personalnummern. Sie ist aber keine anonyme Auswertung; wer Personalnummern zuordnen kann, erkennt Personen. Daher gehört sie nicht an Externe. Das PDF zeigt die aktuell angezeigte Tabellenseite, nicht automatisch alle Datensätze, und ist ein Druck der Browseransicht. Mehrere Annahmen (Ampelgrenzen für Krankheit, 8,0 Stunden pro Tag, Zuordnung der Krankheitsarten aus SAP) sind mit HR abgestimmt oder zur Bestätigung vorgemerkt; die Grenzen sind in den Kachelbeschreibungen sichtbar. Ältere Rexx-Dateien führen zu älteren Zahlen. Wer nach dem Datenstand der Dateien eingetreten ist, fehlt in Nenner und Absenzen.</w:t>
      </w:r>
    </w:p>
    <w:p>
      <w:pPr>
        <w:pStyle w:val="Heading2"/>
      </w:pPr>
      <w:r>
        <w:t xml:space="preserve">Überblick</w:t>
      </w:r>
    </w:p>
    <w:p>
      <w:pPr>
        <w:pStyle w:val="Heading3"/>
      </w:pPr>
      <w:r>
        <w:t xml:space="preserve">Wozu</w:t>
      </w:r>
    </w:p>
    <w:p>
      <w:r>
        <w:t xml:space="preserve">Der Reiter gibt die Gesamtlage in einer Minute: Personalstand, Krankheit, Fluktuation und Gleitzeit auf einen Blick, mit einer Ampel und dem Vergleich zum Vorjahr.</w:t>
      </w:r>
    </w:p>
    <w:p>
      <w:pPr>
        <w:pStyle w:val="Heading3"/>
      </w:pPr>
      <w:r>
        <w:t xml:space="preserve">Was man sieht</w:t>
      </w:r>
    </w:p>
    <w:p>
      <w:r>
        <w:t xml:space="preserve">Die Kacheln: Headcount aktiv (mit Anzahl Festangestellter), FTE (Summe der Beschäftigungsgrade), Krankheitstage (mit Krankenquote), Fluktuation (der gewählte Zeitraum), GLZ Schnitt (mit Anzahl Personen über 100 Stunden absolut) und Unfalltage laufender Monat (BU und NBU). Darunter die HR-Ampel und der Periodenvergleich (Headcount, Austritte, Fluktuation und Veränderung gegenüber dem Vorjahr). Zwei Tabellen ergänzen: Headcount nach Organisation (Köpfe und FTE) sowie kritische GLZ-Saldi.</w:t>
      </w:r>
    </w:p>
    <w:p>
      <w:pPr>
        <w:pStyle w:val="Heading3"/>
      </w:pPr>
      <w:r>
        <w:t xml:space="preserve">Wie gerechnet wird</w:t>
      </w:r>
    </w:p>
    <w:p>
      <w:r>
        <w:t xml:space="preserve">Headcount aktiv zählt eindeutige Personalnummern der aktiven Mitarbeitenden. FTE ist die Summe der Beschäftigungsgrade aus SAP, ersatzweise aus der Rexx-Sollzeit. Der GLZ-Schnitt ist der durchschnittliche Gleitzeitsaldo je Person in Stunden. Die Unfalltage zählen nur den laufenden Monat bis heute (siehe unten bei Absenzen).</w:t>
      </w:r>
    </w:p>
    <w:p>
      <w:pPr>
        <w:pStyle w:val="Heading3"/>
      </w:pPr>
      <w:r>
        <w:t xml:space="preserve">Einsatz im Arbeitsalltag</w:t>
      </w:r>
    </w:p>
    <w:p>
      <w:r>
        <w:rPr>
          <w:b/>
        </w:rPr>
        <w:t xml:space="preserve">HR-Leitung:</w:t>
      </w:r>
      <w:r>
        <w:t xml:space="preserve"> Als Einstieg vor Monats- und Quartalsgesprächen. </w:t>
      </w:r>
      <w:r>
        <w:rPr>
          <w:b/>
        </w:rPr>
        <w:t xml:space="preserve">Geschäftsleitung:</w:t>
      </w:r>
      <w:r>
        <w:t xml:space="preserve"> Die Frage „Wie steht es um das Personal?“ in einem Blick beantworten.</w:t>
      </w:r>
    </w:p>
    <w:p>
      <w:pPr>
        <w:pStyle w:val="Heading3"/>
      </w:pPr>
      <w:r>
        <w:t xml:space="preserve">Grenzen und Fallstricke</w:t>
      </w:r>
    </w:p>
    <w:p>
      <w:r>
        <w:t xml:space="preserve">Kacheln mit Warnfarbe sind Hinweise, keine Beurteilung. Die Unfalltage sind am Monatsanfang fast null, weil sie nur den laufenden Monat bis heute zählen. Ein Sprung im Headcount gegenüber dem Vormonat kann auch von einem neuen Datenstand stammen und nicht nur von Ein- und Austritten.</w:t>
      </w:r>
    </w:p>
    <w:p>
      <w:pPr>
        <w:pStyle w:val="Heading2"/>
      </w:pPr>
      <w:r>
        <w:t xml:space="preserve">Fluktuation</w:t>
      </w:r>
    </w:p>
    <w:p>
      <w:pPr>
        <w:pStyle w:val="Heading3"/>
      </w:pPr>
      <w:r>
        <w:t xml:space="preserve">Wozu</w:t>
      </w:r>
    </w:p>
    <w:p>
      <w:r>
        <w:t xml:space="preserve">Dieser Reiter zeigt, wie viele Mitarbeitende von sich aus gekündigt haben, im Verhältnis zum durchschnittlichen Personalbestand. Er ist die Kernkennzahl der HR-Berichterstattung.</w:t>
      </w:r>
    </w:p>
    <w:p>
      <w:pPr>
        <w:pStyle w:val="Heading3"/>
      </w:pPr>
      <w:r>
        <w:t xml:space="preserve">Was man sieht</w:t>
      </w:r>
    </w:p>
    <w:p>
      <w:r>
        <w:t xml:space="preserve">Kacheln, geordnet nach Farbe: Personalbasis (blau), Austritte (gelb), fluktuationsrelevante Austritte (grün), nicht relevante Austritte (grau), Fluktuationsraten (rot) und Prognosen (violett). Im Einzelnen: HC Basis, Austritte total, Austritte AN-Kündigung, Austritte relevant, Austritte nicht relevant, Fluktuation Auswahl, Ausschlussgründe; dazu für den gewählten Jahreskontext HC Monat, Fluktuation Monat, HC Quartal, Austritte Quartal, Fluktuation Quartal, Fluktuation Prognose, Fluktuation Prognose gleitend, Fluktuation Vorjahr, HC Jahr bis Stichtag, Austritte YTD und Fluktuation YTD.</w:t>
      </w:r>
    </w:p>
    <w:p>
      <w:r>
        <w:t xml:space="preserve">Darunter Tabellen der fluktuationsrelevanten Austritte und der Ausschlussgründe sowie Austritte nach Austrittsart und nach Organisation. Fünf Grafiken: ein Tachometer der Jahresrate (Skala 0, 8, 12 und über 20 Prozent), ein Trichter von allen Austritten über Arbeitnehmerkündigungen zu den relevanten Austritten, ein Kreisdiagramm der Ausschlussgründe, Balken der relevanten Austritte nach Organisation und Säulen der Austritte je Monat.</w:t>
      </w:r>
    </w:p>
    <w:p>
      <w:pPr>
        <w:pStyle w:val="Heading3"/>
      </w:pPr>
      <w:r>
        <w:t xml:space="preserve">Wie gerechnet wird</w:t>
      </w:r>
    </w:p>
    <w:p>
      <w:r>
        <w:t xml:space="preserve">Der Nenner ist immer der Personalbestand der Festangestellten in Köpfen, nicht FTE.</w:t>
      </w:r>
    </w:p>
    <w:p>
      <w:pPr>
        <w:pStyle w:val="ListBullet"/>
        <w:numPr>
          <w:ilvl w:val="0"/>
          <w:numId w:val="1"/>
        </w:numPr>
      </w:pPr>
      <w:r>
        <w:t xml:space="preserve">Fluktuation Monat: relevante Austritte des Monats geteilt durch den durchschnittlichen Personalbestand des Monats (Bestand Monatsanfang plus Monatsende, geteilt durch zwei).</w:t>
      </w:r>
    </w:p>
    <w:p>
      <w:pPr>
        <w:pStyle w:val="ListBullet"/>
        <w:numPr>
          <w:ilvl w:val="0"/>
          <w:numId w:val="1"/>
        </w:numPr>
      </w:pPr>
      <w:r>
        <w:t xml:space="preserve">Fluktuation Quartal: relevante Austritte des Quartals geteilt durch den durchschnittlichen Personalbestand des Quartals.</w:t>
      </w:r>
    </w:p>
    <w:p>
      <w:pPr>
        <w:pStyle w:val="ListBullet"/>
        <w:numPr>
          <w:ilvl w:val="0"/>
          <w:numId w:val="1"/>
        </w:numPr>
      </w:pPr>
      <w:r>
        <w:t xml:space="preserve">Fluktuation YTD: relevante Austritte seit 1. Januar bis zum Stichtag, geteilt durch den durchschnittlichen Personalbestand im selben Zeitraum. Bei einem vergangenen Jahr ist der Stichtag der 31. Dezember.</w:t>
      </w:r>
    </w:p>
    <w:p>
      <w:pPr>
        <w:pStyle w:val="ListBullet"/>
        <w:numPr>
          <w:ilvl w:val="0"/>
          <w:numId w:val="1"/>
        </w:numPr>
      </w:pPr>
      <w:r>
        <w:t xml:space="preserve">Fluktuation Prognose: aktuelle Quartalsrate mal vier. Das ist eine grobe Schätzung und kein tatsächlicher Wert.</w:t>
      </w:r>
    </w:p>
    <w:p>
      <w:pPr>
        <w:pStyle w:val="ListBullet"/>
        <w:numPr>
          <w:ilvl w:val="0"/>
          <w:numId w:val="1"/>
        </w:numPr>
      </w:pPr>
      <w:r>
        <w:t xml:space="preserve">Fluktuation Prognose gleitend: relevante Austritte der letzten zwölf Monate bis zum Stichtag, geteilt durch den durchschnittlichen Personalbestand dieser zwölf Monate. Der Datumsfilter wird dafür bewusst nicht angewendet.</w:t>
      </w:r>
    </w:p>
    <w:p>
      <w:pPr>
        <w:pStyle w:val="ListBullet"/>
        <w:numPr>
          <w:ilvl w:val="0"/>
          <w:numId w:val="1"/>
        </w:numPr>
      </w:pPr>
      <w:r>
        <w:t xml:space="preserve">Fluktuation Vorjahr: die tatsächliche Rate des ganzen Vorjahres als Vergleich, mit dem Abstand der beiden Prognosen in Prozentpunkten.</w:t>
      </w:r>
    </w:p>
    <w:p>
      <w:r>
        <w:t xml:space="preserve">Ein Austritt ist fluktuationsrelevant, wenn es eine Arbeitnehmerkündigung ist. Ausgeschlossen sind Praktikanten, Werkstudenten, Aushilfen, Lehrlinge, befristete Verträge, Pensionierungen und Kündigungen durch den Arbeitgeber. HR hat diese Definition bestätigt. Jede Person wird nur einmal gezählt. Kontrollwerte 2025 laut Dokumentation: 104 Austritte, davon 42 Arbeitnehmerkündigungen und 33 relevante, bei etwa 211 durchschnittlichem Personalbestand, also rund 15,6 Prozent.</w:t>
      </w:r>
    </w:p>
    <w:p>
      <w:r>
        <w:t xml:space="preserve">Kacheln werden gelb markiert, wenn die Rate bei Monat über 3, bei Quartal über 8 und bei Auswahl, YTD und Prognosen über 12 Prozent liegt. Die Kachel „Austritte nicht relevant“ ist gelb, wenn sie grösser ist als die relevanten Austritte.</w:t>
      </w:r>
    </w:p>
    <w:p>
      <w:pPr>
        <w:pStyle w:val="Heading3"/>
      </w:pPr>
      <w:r>
        <w:t xml:space="preserve">Einsatz im Arbeitsalltag</w:t>
      </w:r>
    </w:p>
    <w:p>
      <w:r>
        <w:rPr>
          <w:b/>
        </w:rPr>
        <w:t xml:space="preserve">HR-Leitung:</w:t>
      </w:r>
      <w:r>
        <w:t xml:space="preserve"> Quartals- und Jahresrate für die Geschäftsleitung; Austritte nach Organisation, um Abteilungen mit auffälliger Fluktuation zu finden. </w:t>
      </w:r>
      <w:r>
        <w:rPr>
          <w:b/>
        </w:rPr>
        <w:t xml:space="preserve">Geschäftsleitung:</w:t>
      </w:r>
      <w:r>
        <w:t xml:space="preserve"> Die Prognose gleitend ist stabiler als die Quartalsprognose und eignet sich für die Jahreseinschätzung. </w:t>
      </w:r>
      <w:r>
        <w:rPr>
          <w:b/>
        </w:rPr>
        <w:t xml:space="preserve">Controller:</w:t>
      </w:r>
      <w:r>
        <w:t xml:space="preserve"> Den Vorjahreswert gegen Plan und Prognose halten.</w:t>
      </w:r>
    </w:p>
    <w:p>
      <w:pPr>
        <w:pStyle w:val="Heading3"/>
      </w:pPr>
      <w:r>
        <w:t xml:space="preserve">Grenzen und Fallstricke</w:t>
      </w:r>
    </w:p>
    <w:p>
      <w:r>
        <w:t xml:space="preserve">Eine einzelne Kündigung wirkt bei kleinem Bestand stark. Die Quartalsprognose schwankt deshalb; die gleitende Prognose ist ruhiger. Kostenstelle, GLZ und Restferien filtern die Fluktuation nicht. Die Erkennung der Arbeitnehmerkündigung beruht auf dem Text der Austrittsart in Rexx; ein anders geschriebener Text würde nicht erkannt. Kontrollieren lässt sich das in der Tabelle der Ausschlussgründe.</w:t>
      </w:r>
    </w:p>
    <w:p>
      <w:pPr>
        <w:pStyle w:val="Heading2"/>
      </w:pPr>
      <w:r>
        <w:t xml:space="preserve">Ampel</w:t>
      </w:r>
    </w:p>
    <w:p>
      <w:pPr>
        <w:pStyle w:val="Heading3"/>
      </w:pPr>
      <w:r>
        <w:t xml:space="preserve">Wozu</w:t>
      </w:r>
    </w:p>
    <w:p>
      <w:r>
        <w:t xml:space="preserve">Die Ampel fasst fünf Bereiche zu einem Status zusammen und eignet sich für den ersten Blick und den PDF-Ausdruck an die Leitung.</w:t>
      </w:r>
    </w:p>
    <w:p>
      <w:pPr>
        <w:pStyle w:val="Heading3"/>
      </w:pPr>
      <w:r>
        <w:t xml:space="preserve">Was man sieht</w:t>
      </w:r>
    </w:p>
    <w:p>
      <w:r>
        <w:t xml:space="preserve">Fünf Statusfelder: Fluktuation (Jahreswert YTD), Krankenquote, GLZ-Saldi, Restferien und Datenqualität. Jedes Feld zeigt Farbe, Wert und eine Detailzeile. Darunter der Periodenvergleich wie im Überblick.</w:t>
      </w:r>
    </w:p>
    <w:p>
      <w:pPr>
        <w:pStyle w:val="Heading3"/>
      </w:pPr>
      <w:r>
        <w:t xml:space="preserve">Wie gerechnet wird</w:t>
      </w:r>
    </w:p>
    <w:p>
      <w:r>
        <w:t xml:space="preserve">Fluktuation und Krankenquote übernehmen die Farbe der jeweiligen Kachel: Die Fluktuation ist gelb ab über 12 Prozent. Die Krankenquote ist grün unter 3 Prozent, gelb von 3 bis unter 5 Prozent und rot ab 5 Prozent (Grenzen konfigurierbar, in der Kachelbeschreibung angegeben; von HR bestätigt, dass ab 5 Prozent rot gilt). GLZ-Saldi sind rot, sobald mindestens eine Person mehr als 100 Stunden (positiv oder negativ) hat. Restferien sind rot, sobald mindestens eine Person die Restferien-Regel überschreitet. Die Datenqualität ist rot, sobald erwartete Dateien fehlen.</w:t>
      </w:r>
    </w:p>
    <w:p>
      <w:pPr>
        <w:pStyle w:val="Heading3"/>
      </w:pPr>
      <w:r>
        <w:t xml:space="preserve">Einsatz im Arbeitsalltag</w:t>
      </w:r>
    </w:p>
    <w:p>
      <w:r>
        <w:rPr>
          <w:b/>
        </w:rPr>
        <w:t xml:space="preserve">HR-Leitung:</w:t>
      </w:r>
      <w:r>
        <w:t xml:space="preserve"> Als Monatsübersicht für die Geschäftsleitung. </w:t>
      </w:r>
      <w:r>
        <w:rPr>
          <w:b/>
        </w:rPr>
        <w:t xml:space="preserve">Geschäftsleitung:</w:t>
      </w:r>
      <w:r>
        <w:t xml:space="preserve"> Rot bedeutet Klärungsbedarf, Gelb Beobachtung.</w:t>
      </w:r>
    </w:p>
    <w:p>
      <w:pPr>
        <w:pStyle w:val="Heading3"/>
      </w:pPr>
      <w:r>
        <w:t xml:space="preserve">Grenzen und Fallstricke</w:t>
      </w:r>
    </w:p>
    <w:p>
      <w:r>
        <w:t xml:space="preserve">Die Ampel ist grob. Sie zeigt nicht, wer betroffen ist; dafür dienen die Detailreiter. Bei nicht bestimmbarem Zeitraum steht die Krankenquote auf gelb statt auf einer scheinbar genauen Farbe (siehe Absenzen).</w:t>
      </w:r>
    </w:p>
    <w:p>
      <w:pPr>
        <w:pStyle w:val="Heading2"/>
      </w:pPr>
      <w:r>
        <w:t xml:space="preserve">Absenzen</w:t>
      </w:r>
    </w:p>
    <w:p>
      <w:pPr>
        <w:pStyle w:val="Heading3"/>
      </w:pPr>
      <w:r>
        <w:t xml:space="preserve">Wozu</w:t>
      </w:r>
    </w:p>
    <w:p>
      <w:r>
        <w:t xml:space="preserve">Der Reiter zeigt Krankheitstage und die Krankenquote, aufgeteilt nach Organisation und Person, und hilft, auffällige Häufungen zu erkennen.</w:t>
      </w:r>
    </w:p>
    <w:p>
      <w:pPr>
        <w:pStyle w:val="Heading3"/>
      </w:pPr>
      <w:r>
        <w:t xml:space="preserve">Was man sieht</w:t>
      </w:r>
    </w:p>
    <w:p>
      <w:r>
        <w:t xml:space="preserve">Kacheln: Krankheitstage Gesamt, Krankheit Kurz, Krankheit Lang (mit Anzahl Langzeitkranker), Krankenquote, BU-Tage und NBU-Tage laufender Monat sowie die Summe als Unfalltage. Darunter Absenzen nach Organisation, die höchsten Absenzen und eine Tabelle aller Personen mit Kurz, Lang, Gesamt und Quote.</w:t>
      </w:r>
    </w:p>
    <w:p>
      <w:pPr>
        <w:pStyle w:val="Heading3"/>
      </w:pPr>
      <w:r>
        <w:t xml:space="preserve">Wie gerechnet wird</w:t>
      </w:r>
    </w:p>
    <w:p>
      <w:r>
        <w:t xml:space="preserve">Die Krankenquote ist Krankheitstage geteilt durch FTE mal Arbeitstage im Zeitraum (Kanton Zürich, ohne gesetzliche Feiertage). Krankheitstage sind Krankheitsstunden geteilt durch die Stunden eines Arbeitstags (8,0, bei Kader 8,1). Kurz oder lang entscheidet sich je Person: Wer insgesamt auf mindestens 61 Krankheitstage kommt, gilt als langzeitkrank, und dann zählt die ganze Krankheit dieser Person als lang. Beide Rexx-Krankheitsarten zählen als Krankheit.</w:t>
      </w:r>
    </w:p>
    <w:p>
      <w:r>
        <w:t xml:space="preserve">Liegt die SAP-Absenzdatei vor, werden Krankheit und Ferien je Fall aus SAP gelesen (Krankheitsarten 0220, 0230, 0240, 0260 und 0270; Arzt und Therapie zählt nicht), und jeder Fall wird nach Arbeitstagen auf den gewählten Zeitraum zugeschnitten. Ohne Zeitraumfilter zeigt die Ansicht dann das laufende Jahr bis heute. Fehlt die Datei oder liegt der Zeitraum vor dem Vorjahr, wird wie bisher aus Rexx gerechnet.</w:t>
      </w:r>
    </w:p>
    <w:p>
      <w:r>
        <w:t xml:space="preserve">BU und NBU (Berufs- und Nichtberufsunfall) stammen aus SAP und zeigen ausschliesslich den laufenden Monat bis heute, unabhängig vom Zeitraumfilter.</w:t>
      </w:r>
    </w:p>
    <w:p>
      <w:pPr>
        <w:pStyle w:val="Heading3"/>
      </w:pPr>
      <w:r>
        <w:t xml:space="preserve">Einsatz im Arbeitsalltag</w:t>
      </w:r>
    </w:p>
    <w:p>
      <w:r>
        <w:rPr>
          <w:b/>
        </w:rPr>
        <w:t xml:space="preserve">HR-Keyuser:</w:t>
      </w:r>
      <w:r>
        <w:t xml:space="preserve"> Abteilungen mit hoher Krankenquote erkennen, Langzeitkranke zählen und die höchsten Absenzen als Prüfliste nutzen. </w:t>
      </w:r>
      <w:r>
        <w:rPr>
          <w:b/>
        </w:rPr>
        <w:t xml:space="preserve">HR-Leitung:</w:t>
      </w:r>
      <w:r>
        <w:t xml:space="preserve"> Die Quote gegen die Ampelgrenzen (3 und 5 Prozent) beurteilen. </w:t>
      </w:r>
      <w:r>
        <w:rPr>
          <w:b/>
        </w:rPr>
        <w:t xml:space="preserve">Linienvorgesetzte</w:t>
      </w:r>
      <w:r>
        <w:t xml:space="preserve"> erhalten Einzelwerte nur über HR.</w:t>
      </w:r>
    </w:p>
    <w:p>
      <w:pPr>
        <w:pStyle w:val="Heading3"/>
      </w:pPr>
      <w:r>
        <w:t xml:space="preserve">Grenzen und Fallstricke</w:t>
      </w:r>
    </w:p>
    <w:p>
      <w:r>
        <w:t xml:space="preserve">Die Rexx-Datei liefert je Person nur kumulierte Stunden eines Exportzeitraums, ohne verlässliche Datumsangaben je Fall. Bei einem Zeitraumfilter lässt sich der Zähler dann nicht auf den Zeitraum des Nenners eingrenzen. Die Anzeige zeigt deshalb keine Prozentzahl, sondern „Zeitraum nicht bestimmbar“ mit gelber Ampel, statt eine scheinbar genaue Quote anzugeben. Mit der SAP-Absenzdatei ist die Quote periodengenau, aber die Personenbasis stammt weiter aus Rexx. Die Zuordnung der SAP-Krankheitsarten ist von HR noch zu bestätigen (Hinweis: Stand Dokumentation). Die höchsten Absenzen sind eine Prüfliste für HR und nicht zur Weitergabe gedacht.</w:t>
      </w:r>
    </w:p>
    <w:p>
      <w:pPr>
        <w:pStyle w:val="Heading2"/>
      </w:pPr>
      <w:r>
        <w:t xml:space="preserve">Zeit / Ferien</w:t>
      </w:r>
    </w:p>
    <w:p>
      <w:pPr>
        <w:pStyle w:val="Heading3"/>
      </w:pPr>
      <w:r>
        <w:t xml:space="preserve">Wozu</w:t>
      </w:r>
    </w:p>
    <w:p>
      <w:r>
        <w:t xml:space="preserve">Der Reiter zeigt, wo Gleitzeitsaldi und Restferien auffällig sind, damit HR und Vorgesetzte rechtzeitig reagieren können.</w:t>
      </w:r>
    </w:p>
    <w:p>
      <w:pPr>
        <w:pStyle w:val="Heading3"/>
      </w:pPr>
      <w:r>
        <w:t xml:space="preserve">Was man sieht</w:t>
      </w:r>
    </w:p>
    <w:p>
      <w:r>
        <w:t xml:space="preserve">Kacheln: GLZ-Saldo Schnitt, GLZ Gelb, GLZ Rot, Ferienanspruch, Ferien bezogen, Ferien Rest, Ferien ausstehend und Restferien Rot; mit SAP-Absenzdaten kommen Ferien bezogen im Zeitraum, Kompensation im Zeitraum und Militär/Zivilschutz im Zeitraum (in Tagen) hinzu. Darunter die Tabelle kritischer GLZ-Saldi und die 25 Personen mit den höchsten Restferien mit Ampel.</w:t>
      </w:r>
    </w:p>
    <w:p>
      <w:pPr>
        <w:pStyle w:val="Heading3"/>
      </w:pPr>
      <w:r>
        <w:t xml:space="preserve">Wie gerechnet wird</w:t>
      </w:r>
    </w:p>
    <w:p>
      <w:r>
        <w:t xml:space="preserve">GLZ-Ampel: Grün bis 50 Stunden absolut, gelb von 51 bis 100 Stunden, rot über 100 Stunden, im Plus wie im Minus und auch bei Teilzeit (von HR bestätigt). Restferien-Ampel nach Quartal: im ersten Quartal ist rot, wer mehr als 5 Tage Rest hat; ab dem zweiten Quartal ist jeder Resttag rot. Massgebend ist das Quartal des heutigen Tags, da die Saldidatei ein Stichtagsstand ist. Ferien bezogen wird aus den Summen gerechnet (Anspruch minus Rest minus ausstehend).</w:t>
      </w:r>
    </w:p>
    <w:p>
      <w:pPr>
        <w:pStyle w:val="Heading3"/>
      </w:pPr>
      <w:r>
        <w:t xml:space="preserve">Einsatz im Arbeitsalltag</w:t>
      </w:r>
    </w:p>
    <w:p>
      <w:r>
        <w:rPr>
          <w:b/>
        </w:rPr>
        <w:t xml:space="preserve">HR-Keyuser:</w:t>
      </w:r>
      <w:r>
        <w:t xml:space="preserve"> Im ersten Halbjahr Mitarbeitende mit hohem Resturlaub ansprechen und mit Vorgesetzten Bezug planen. </w:t>
      </w:r>
      <w:r>
        <w:rPr>
          <w:b/>
        </w:rPr>
        <w:t xml:space="preserve">Vorgesetzte:</w:t>
      </w:r>
      <w:r>
        <w:t xml:space="preserve"> Über HR erfahren, wessen Gleitzeitsaldo im roten Bereich liegt. </w:t>
      </w:r>
      <w:r>
        <w:rPr>
          <w:b/>
        </w:rPr>
        <w:t xml:space="preserve">HR-Leitung:</w:t>
      </w:r>
      <w:r>
        <w:t xml:space="preserve"> Gesetzliche und betriebliche Risiken erkennen.</w:t>
      </w:r>
    </w:p>
    <w:p>
      <w:pPr>
        <w:pStyle w:val="Heading3"/>
      </w:pPr>
      <w:r>
        <w:t xml:space="preserve">Grenzen und Fallstricke</w:t>
      </w:r>
    </w:p>
    <w:p>
      <w:r>
        <w:t xml:space="preserve">Die Saldidatei ist ein Stichtagsstand; wenn die Datei alt ist, sind auch die Saldi alt. Die Wünsche nach „Ferien am Stück“ (mindestens zwei Wochen) und nach der Auswertung des Übertrags sind nach Dokumentation noch nicht umgesetzt.</w:t>
      </w:r>
    </w:p>
    <w:p>
      <w:pPr>
        <w:pStyle w:val="Heading2"/>
      </w:pPr>
      <w:r>
        <w:t xml:space="preserve">Mitarbeitende</w:t>
      </w:r>
    </w:p>
    <w:p>
      <w:pPr>
        <w:pStyle w:val="Heading3"/>
      </w:pPr>
      <w:r>
        <w:t xml:space="preserve">Wozu</w:t>
      </w:r>
    </w:p>
    <w:p>
      <w:r>
        <w:t xml:space="preserve">Der Reiter ist die Personenliste hinter den Kennzahlen. Sie dient der Prüfung, wer in welche Zahl eingeflossen ist.</w:t>
      </w:r>
    </w:p>
    <w:p>
      <w:pPr>
        <w:pStyle w:val="Heading3"/>
      </w:pPr>
      <w:r>
        <w:t xml:space="preserve">Was man sieht</w:t>
      </w:r>
    </w:p>
    <w:p>
      <w:r>
        <w:t xml:space="preserve">Eine blätterbare Tabelle mit Personalnummer, Name, Organisation, Kostenstelle, FTE, Alter, Dienstjahre und Typ (Festangestellt, Praktikant, Werkstudent, Aushilfe, Lehrling). Ist die Managementsicht eingeschaltet, erscheint anstelle des Namens die Personalnummer.</w:t>
      </w:r>
    </w:p>
    <w:p>
      <w:pPr>
        <w:pStyle w:val="Heading3"/>
      </w:pPr>
      <w:r>
        <w:t xml:space="preserve">Wie gerechnet wird</w:t>
      </w:r>
    </w:p>
    <w:p>
      <w:r>
        <w:t xml:space="preserve">Die Liste folgt den gesetzten Filtern. Der Typ wird aus der Stellenbezeichnung abgeleitet. Die Zeilenzahl ist durch die Filter bestimmt und nicht mehr gekappt.</w:t>
      </w:r>
    </w:p>
    <w:p>
      <w:pPr>
        <w:pStyle w:val="Heading3"/>
      </w:pPr>
      <w:r>
        <w:t xml:space="preserve">Einsatz im Arbeitsalltag</w:t>
      </w:r>
    </w:p>
    <w:p>
      <w:r>
        <w:rPr>
          <w:b/>
        </w:rPr>
        <w:t xml:space="preserve">HR-Keyuser:</w:t>
      </w:r>
      <w:r>
        <w:t xml:space="preserve"> Einen Ausreisser im Headcount zurückverfolgen, Daten prüfen, nach Personalnummer suchen. </w:t>
      </w:r>
      <w:r>
        <w:rPr>
          <w:b/>
        </w:rPr>
        <w:t xml:space="preserve">HR-Leitung:</w:t>
      </w:r>
      <w:r>
        <w:t xml:space="preserve"> Plausibilisieren, ob die Filterwirkung stimmt.</w:t>
      </w:r>
    </w:p>
    <w:p>
      <w:pPr>
        <w:pStyle w:val="Heading3"/>
      </w:pPr>
      <w:r>
        <w:t xml:space="preserve">Grenzen und Fallstricke</w:t>
      </w:r>
    </w:p>
    <w:p>
      <w:r>
        <w:t xml:space="preserve">Die Liste enthält personenbezogene Angaben und gehört nicht in E-Mails oder ungeschützte Ablagen. Für die Weitergabe ist die Managementsicht zu verwenden. Auch dort bleibt der Personenbezug über die Personalnummer.</w:t>
      </w:r>
    </w:p>
    <w:p>
      <w:pPr>
        <w:pStyle w:val="Heading2"/>
      </w:pPr>
      <w:r>
        <w:t xml:space="preserve">Datenstatus</w:t>
      </w:r>
    </w:p>
    <w:p>
      <w:pPr>
        <w:pStyle w:val="Heading3"/>
      </w:pPr>
      <w:r>
        <w:t xml:space="preserve">Wozu</w:t>
      </w:r>
    </w:p>
    <w:p>
      <w:r>
        <w:t xml:space="preserve">Der Reiter ist die Eintrittskontrolle: Er zeigt, welche Dateien gefunden wurden, wie alt sie sind und welche Datenqualitätsprobleme es gibt. Er ist vor jeder Weitergabe von Zahlen zu öffnen.</w:t>
      </w:r>
    </w:p>
    <w:p>
      <w:pPr>
        <w:pStyle w:val="Heading3"/>
      </w:pPr>
      <w:r>
        <w:t xml:space="preserve">Was man sieht</w:t>
      </w:r>
    </w:p>
    <w:p>
      <w:r>
        <w:t xml:space="preserve">Zwei Tabellen: der Dateistatus je Quelle (Inhalt, Pfad, Status, Stand der Datei, Alter, Zeilenzahl) und die Datenqualität mit Schwere, Bereich, Prüfpunkt, Anzahl und Hinweis. Typische Hinweise betreffen fehlende Dateien, alte Dateien, doppelte SAP-Personalnummern, leere Organisationen und die Trefferquote beim Zusammenführen von Zeit- und Stammdaten über den Namen.</w:t>
      </w:r>
    </w:p>
    <w:p>
      <w:pPr>
        <w:pStyle w:val="Heading3"/>
      </w:pPr>
      <w:r>
        <w:t xml:space="preserve">Wie gerechnet wird</w:t>
      </w:r>
    </w:p>
    <w:p>
      <w:r>
        <w:t xml:space="preserve">Die Prüfungen vergleichen Dateien und Personenlisten untereinander (zum Beispiel Personalnummern in Rexx und SAP). Fehlt eine erwartete Datei, wird die Ampel Datenqualität rot. Bei doppelten SAP-Personalnummern gilt die erste Zeile; BU und NBU der übrigen gehen verloren.</w:t>
      </w:r>
    </w:p>
    <w:p>
      <w:pPr>
        <w:pStyle w:val="Heading3"/>
      </w:pPr>
      <w:r>
        <w:t xml:space="preserve">Einsatz im Arbeitsalltag</w:t>
      </w:r>
    </w:p>
    <w:p>
      <w:r>
        <w:rPr>
          <w:b/>
        </w:rPr>
        <w:t xml:space="preserve">HR-Keyuser:</w:t>
      </w:r>
      <w:r>
        <w:t xml:space="preserve"> Nach jedem Export prüfen, ob alle Dateien grün und aktuell sind. </w:t>
      </w:r>
      <w:r>
        <w:rPr>
          <w:b/>
        </w:rPr>
        <w:t xml:space="preserve">HR-Leitung:</w:t>
      </w:r>
      <w:r>
        <w:t xml:space="preserve"> Auf rote Meldungen achten, bevor Zahlen weitergegeben werden.</w:t>
      </w:r>
    </w:p>
    <w:p>
      <w:pPr>
        <w:pStyle w:val="Heading3"/>
      </w:pPr>
      <w:r>
        <w:t xml:space="preserve">Grenzen und Fallstricke</w:t>
      </w:r>
    </w:p>
    <w:p>
      <w:r>
        <w:t xml:space="preserve">Ein grüner Dateistatus heisst nur, dass die Datei vorhanden und lesbar ist; er sagt nichts über die fachliche Vollständigkeit der Daten. Die Rexx-Dateien erneuert derzeit niemand automatisch (Stand Dokumentation).</w:t>
      </w:r>
    </w:p>
    <w:p>
      <w:pPr>
        <w:pStyle w:val="Heading2"/>
      </w:pPr>
      <w:r>
        <w:t xml:space="preserve">Anleitung</w:t>
      </w:r>
    </w:p>
    <w:p>
      <w:pPr>
        <w:pStyle w:val="Heading3"/>
      </w:pPr>
      <w:r>
        <w:t xml:space="preserve">Wozu</w:t>
      </w:r>
    </w:p>
    <w:p>
      <w:r>
        <w:t xml:space="preserve">Die Anleitung im Dashboard führt HR durch den Ablauf von der Datenbereitstellung bis zur Kontrolle.</w:t>
      </w:r>
    </w:p>
    <w:p>
      <w:pPr>
        <w:pStyle w:val="Heading3"/>
      </w:pPr>
      <w:r>
        <w:t xml:space="preserve">Was man sieht</w:t>
      </w:r>
    </w:p>
    <w:p>
      <w:r>
        <w:t xml:space="preserve">Vier Schritte: Rexx exportieren (Excel, nicht PDF), Dateien im Datenordner ablegen und exakt benennen, im Cockpit laden, im Datenstatus prüfen. Rechts der Datenordner mit Hinweisen zum Datenschutz, darunter eine Aufstellung der neuen Auswertungen und der erwarteten Dateien. Die Dateien sind Saldiperstichdatum (aktive Mitarbeitende, Saldi, Ferien, Organisation, Kostenstelle), Exportkommengehen (Arbeitszeitmodell, Sollzeit, Geburtsdatum), HR_KPI_Export (SAP-Felder wie Beschäftigungsgrad, Geschlecht, BU/NBU, Planstelle), Abwesenheitinstunden (Krankheit in Stunden) und Personalausgeschieden (Austritte mit Art und Datum).</w:t>
      </w:r>
    </w:p>
    <w:p>
      <w:pPr>
        <w:pStyle w:val="Heading3"/>
      </w:pPr>
      <w:r>
        <w:t xml:space="preserve">Wie gerechnet wird</w:t>
      </w:r>
    </w:p>
    <w:p>
      <w:r>
        <w:t xml:space="preserve">Hier wird nichts gerechnet; die Seite erklärt nur den Ablauf.</w:t>
      </w:r>
    </w:p>
    <w:p>
      <w:pPr>
        <w:pStyle w:val="Heading3"/>
      </w:pPr>
      <w:r>
        <w:t xml:space="preserve">Einsatz im Arbeitsalltag</w:t>
      </w:r>
    </w:p>
    <w:p>
      <w:r>
        <w:rPr>
          <w:b/>
        </w:rPr>
        <w:t xml:space="preserve">Neue HR-Mitarbeitende und Stellvertretungen:</w:t>
      </w:r>
      <w:r>
        <w:t xml:space="preserve"> Als Erstorientierung. </w:t>
      </w:r>
      <w:r>
        <w:rPr>
          <w:b/>
        </w:rPr>
        <w:t xml:space="preserve">HR-Keyuser:</w:t>
      </w:r>
      <w:r>
        <w:t xml:space="preserve"> Als Checkliste vor dem Monatsabschluss.</w:t>
      </w:r>
    </w:p>
    <w:p>
      <w:pPr>
        <w:pStyle w:val="Heading3"/>
      </w:pPr>
      <w:r>
        <w:t xml:space="preserve">Grenzen und Fallstricke</w:t>
      </w:r>
    </w:p>
    <w:p>
      <w:r>
        <w:t xml:space="preserve">PDF-Dateien sind nicht geeignet; es braucht strukturierte Excel-Dateien mit den genannten Dateinamen. Wer eine Datei ersetzt, sollte keine Kopien an ungeschützten Orten liegen lassen.</w:t>
      </w:r>
    </w:p>
    <w:p>
      <w:pPr>
        <w:pStyle w:val="Heading2"/>
      </w:pPr>
      <w:r>
        <w:t xml:space="preserve">HR KPI Schulung</w:t>
      </w:r>
    </w:p>
    <w:p>
      <w:pPr>
        <w:pStyle w:val="Heading3"/>
      </w:pPr>
      <w:r>
        <w:t xml:space="preserve">Wozu</w:t>
      </w:r>
    </w:p>
    <w:p>
      <w:r>
        <w:t xml:space="preserve">Die Schulungsseite ist die ausführliche Anwenderunterlage für HR-Keyuser, HR-Leitung und Stellvertretungen. Sie erklärt Bedienung, Reihenfolge, Prüfpflichten und die fachliche Lesart der wichtigsten Kennzahlen. Die Seite selbst enthält keine Personendaten, nur Erklärungen.</w:t>
      </w:r>
    </w:p>
    <w:p>
      <w:pPr>
        <w:pStyle w:val="Heading3"/>
      </w:pPr>
      <w:r>
        <w:t xml:space="preserve">Was man sieht</w:t>
      </w:r>
    </w:p>
    <w:p>
      <w:r>
        <w:t xml:space="preserve">Drei Reiter. Überblick: Zweck und Grundprinzip, die fünf Bedienschritte (Dateien exportieren, Datenordner prüfen, laden, Datenqualität prüfen, Kennzahlen freigeben) und die Datenquellen mit Prüfpunkten. Auswertung: richtige Verwendung der Filter, Headcount und Mitarbeitende, Fluktuation fachlich lesen, Absenzen, GLZ und Restferien. Qualität &amp; Freigabe: ein Fehlerbild-Katalog (keine Daten, alter Dateistand, leere Organisation, Sprung im Headcount, ungewöhnliche Absenzen) mit Ursache und Massnahme, Hinweise zu Managementsicht und Datenschutz und eine Monatsabschluss-Checkliste mit sieben Punkten. Eine Tabelle ordnet die Rollen zu: HR-Keyuser (Daten bereitstellen, Plausibilität, Monatsauswertung), HR-Leitung (Kennzahlen bewerten, Managementsicht freigeben, Massnahmen ableiten) und IT/Admin (Zugriff, Pfad, Konfiguration, technische Fehler).</w:t>
      </w:r>
    </w:p>
    <w:p>
      <w:pPr>
        <w:pStyle w:val="Heading3"/>
      </w:pPr>
      <w:r>
        <w:t xml:space="preserve">Wie gerechnet wird</w:t>
      </w:r>
    </w:p>
    <w:p>
      <w:r>
        <w:t xml:space="preserve">Die Schulung enthält die Kurzformeln: Monatsfluktuation gleich relevante Austritte im Monat durch Personalbestand des Monats, Quartalsfluktuation durch durchschnittlichen Quartalsbestand, Jahresfluktuation durch durchschnittlichen Jahresbestand, Hochrechnung gleich Quartalsrate mal vier. Die Krankenquote steht im Verhältnis zu FTE und Arbeitstagen. Die Unfalltage zeigen nur den laufenden Monat. Die Formeln stimmen mit dem Dashboard überein; die neueren Kennzahlen (gleitende Prognose, Vorjahr, Langzeitkrank ab dem 61. Tag, Kader mit 8,1 Stunden) sind im Dashboard beschrieben, in der Schulung jedoch nicht alle erwähnt (Hinweis: Textvergleich ohne Anspruch auf Vollständigkeit).</w:t>
      </w:r>
    </w:p>
    <w:p>
      <w:pPr>
        <w:pStyle w:val="Heading3"/>
      </w:pPr>
      <w:r>
        <w:t xml:space="preserve">Einsatz im Arbeitsalltag</w:t>
      </w:r>
    </w:p>
    <w:p>
      <w:r>
        <w:rPr>
          <w:b/>
        </w:rPr>
        <w:t xml:space="preserve">HR-Keyuser:</w:t>
      </w:r>
      <w:r>
        <w:t xml:space="preserve"> Als Handbuch beim Monatsabschluss; die Checkliste Punkt für Punkt abarbeiten. </w:t>
      </w:r>
      <w:r>
        <w:rPr>
          <w:b/>
        </w:rPr>
        <w:t xml:space="preserve">HR-Leitung:</w:t>
      </w:r>
      <w:r>
        <w:t xml:space="preserve"> Die Regeln zur Managementsicht vor jeder Weitergabe lesen. </w:t>
      </w:r>
      <w:r>
        <w:rPr>
          <w:b/>
        </w:rPr>
        <w:t xml:space="preserve">IT/Admin:</w:t>
      </w:r>
      <w:r>
        <w:t xml:space="preserve"> Die Fehlerbilder bei Störungen als Ausgangspunkt für die Suche verwenden.</w:t>
      </w:r>
    </w:p>
    <w:p>
      <w:pPr>
        <w:pStyle w:val="Heading3"/>
      </w:pPr>
      <w:r>
        <w:t xml:space="preserve">Grenzen und Fallstricke</w:t>
      </w:r>
    </w:p>
    <w:p>
      <w:r>
        <w:t xml:space="preserve">Die Schulung ist keine Fachfreigabe. Die zentralen Warnungen: Vor jeder Weitergabe Datenstatus prüfen, Filter und Zeitraum im Bericht nennen, für Berichte an das Management Detailtabellen mit Namen oder Personalnummern vermeiden und keine HR-Dateien per E-Mail weiterleiten. Die Seite wurde laut Dokumentation zuletzt im Oktober 2026 an die Änderung bei den Unfalltagen angepasst.</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Headcount aktiv</w:t>
            </w:r>
          </w:p>
        </w:tc>
        <w:tc>
          <w:tcPr>
            <w:tcW w:w="3102" w:type="dxa"/>
          </w:tcPr>
          <w:p>
            <w:pPr>
              <w:pStyle w:val="TableText"/>
            </w:pPr>
            <w:r>
              <w:t xml:space="preserve">Zahl der aktiven Mitarbeitenden</w:t>
            </w:r>
          </w:p>
        </w:tc>
        <w:tc>
          <w:tcPr>
            <w:tcW w:w="3102" w:type="dxa"/>
          </w:tcPr>
          <w:p>
            <w:pPr>
              <w:pStyle w:val="TableText"/>
            </w:pPr>
            <w:r>
              <w:t xml:space="preserve">Eindeutige Personalnummern, ohne Hilfs- und Testprofile</w:t>
            </w:r>
          </w:p>
        </w:tc>
      </w:tr>
      <w:tr>
        <w:tc>
          <w:tcPr>
            <w:tcW w:w="3102" w:type="dxa"/>
          </w:tcPr>
          <w:p>
            <w:pPr>
              <w:pStyle w:val="TableText"/>
            </w:pPr>
            <w:r>
              <w:t xml:space="preserve">FTE</w:t>
            </w:r>
          </w:p>
        </w:tc>
        <w:tc>
          <w:tcPr>
            <w:tcW w:w="3102" w:type="dxa"/>
          </w:tcPr>
          <w:p>
            <w:pPr>
              <w:pStyle w:val="TableText"/>
            </w:pPr>
            <w:r>
              <w:t xml:space="preserve">Vollzeitäquivalente</w:t>
            </w:r>
          </w:p>
        </w:tc>
        <w:tc>
          <w:tcPr>
            <w:tcW w:w="3102" w:type="dxa"/>
          </w:tcPr>
          <w:p>
            <w:pPr>
              <w:pStyle w:val="TableText"/>
            </w:pPr>
            <w:r>
              <w:t xml:space="preserve">Summe der Beschäftigungsgrade aus SAP, ersatzweise Sollzeit durch Arbeitstagstunden</w:t>
            </w:r>
          </w:p>
        </w:tc>
      </w:tr>
      <w:tr>
        <w:tc>
          <w:tcPr>
            <w:tcW w:w="3102" w:type="dxa"/>
          </w:tcPr>
          <w:p>
            <w:pPr>
              <w:pStyle w:val="TableText"/>
            </w:pPr>
            <w:r>
              <w:t xml:space="preserve">HC Basis</w:t>
            </w:r>
          </w:p>
        </w:tc>
        <w:tc>
          <w:tcPr>
            <w:tcW w:w="3102" w:type="dxa"/>
          </w:tcPr>
          <w:p>
            <w:pPr>
              <w:pStyle w:val="TableText"/>
            </w:pPr>
            <w:r>
              <w:t xml:space="preserve">Personalzahl als Nenner der Fluktuation</w:t>
            </w:r>
          </w:p>
        </w:tc>
        <w:tc>
          <w:tcPr>
            <w:tcW w:w="3102" w:type="dxa"/>
          </w:tcPr>
          <w:p>
            <w:pPr>
              <w:pStyle w:val="TableText"/>
            </w:pPr>
            <w:r>
              <w:t xml:space="preserve">Festangestellte in Köpfen, im Zeitraum gemittelt</w:t>
            </w:r>
          </w:p>
        </w:tc>
      </w:tr>
      <w:tr>
        <w:tc>
          <w:tcPr>
            <w:tcW w:w="3102" w:type="dxa"/>
          </w:tcPr>
          <w:p>
            <w:pPr>
              <w:pStyle w:val="TableText"/>
            </w:pPr>
            <w:r>
              <w:t xml:space="preserve">Austritte relevant</w:t>
            </w:r>
          </w:p>
        </w:tc>
        <w:tc>
          <w:tcPr>
            <w:tcW w:w="3102" w:type="dxa"/>
          </w:tcPr>
          <w:p>
            <w:pPr>
              <w:pStyle w:val="TableText"/>
            </w:pPr>
            <w:r>
              <w:t xml:space="preserve">Austritte, die zur Fluktuation zählen</w:t>
            </w:r>
          </w:p>
        </w:tc>
        <w:tc>
          <w:tcPr>
            <w:tcW w:w="3102" w:type="dxa"/>
          </w:tcPr>
          <w:p>
            <w:pPr>
              <w:pStyle w:val="TableText"/>
            </w:pPr>
            <w:r>
              <w:t xml:space="preserve">Arbeitnehmerkündigungen ohne Praktikanten, Werkstudenten, Aushilfen, Lehrlinge, befristet, Pensionierung, Arbeitgeberkündigung; je Person einmal</w:t>
            </w:r>
          </w:p>
        </w:tc>
      </w:tr>
      <w:tr>
        <w:tc>
          <w:tcPr>
            <w:tcW w:w="3102" w:type="dxa"/>
          </w:tcPr>
          <w:p>
            <w:pPr>
              <w:pStyle w:val="TableText"/>
            </w:pPr>
            <w:r>
              <w:t xml:space="preserve">Fluktuation Monat/Quartal</w:t>
            </w:r>
          </w:p>
        </w:tc>
        <w:tc>
          <w:tcPr>
            <w:tcW w:w="3102" w:type="dxa"/>
          </w:tcPr>
          <w:p>
            <w:pPr>
              <w:pStyle w:val="TableText"/>
            </w:pPr>
            <w:r>
              <w:t xml:space="preserve">Austrittsrate der Periode</w:t>
            </w:r>
          </w:p>
        </w:tc>
        <w:tc>
          <w:tcPr>
            <w:tcW w:w="3102" w:type="dxa"/>
          </w:tcPr>
          <w:p>
            <w:pPr>
              <w:pStyle w:val="TableText"/>
            </w:pPr>
            <w:r>
              <w:t xml:space="preserve">Relevante Austritte durch durchschnittlichen Personalbestand der Periode</w:t>
            </w:r>
          </w:p>
        </w:tc>
      </w:tr>
      <w:tr>
        <w:tc>
          <w:tcPr>
            <w:tcW w:w="3102" w:type="dxa"/>
          </w:tcPr>
          <w:p>
            <w:pPr>
              <w:pStyle w:val="TableText"/>
            </w:pPr>
            <w:r>
              <w:t xml:space="preserve">Fluktuation YTD</w:t>
            </w:r>
          </w:p>
        </w:tc>
        <w:tc>
          <w:tcPr>
            <w:tcW w:w="3102" w:type="dxa"/>
          </w:tcPr>
          <w:p>
            <w:pPr>
              <w:pStyle w:val="TableText"/>
            </w:pPr>
            <w:r>
              <w:t xml:space="preserve">Rate seit Jahresbeginn</w:t>
            </w:r>
          </w:p>
        </w:tc>
        <w:tc>
          <w:tcPr>
            <w:tcW w:w="3102" w:type="dxa"/>
          </w:tcPr>
          <w:p>
            <w:pPr>
              <w:pStyle w:val="TableText"/>
            </w:pPr>
            <w:r>
              <w:t xml:space="preserve">Relevante Austritte seit 1. Januar durch durchschnittlichen Bestand im selben Zeitraum</w:t>
            </w:r>
          </w:p>
        </w:tc>
      </w:tr>
      <w:tr>
        <w:tc>
          <w:tcPr>
            <w:tcW w:w="3102" w:type="dxa"/>
          </w:tcPr>
          <w:p>
            <w:pPr>
              <w:pStyle w:val="TableText"/>
            </w:pPr>
            <w:r>
              <w:t xml:space="preserve">Fluktuation Prognose</w:t>
            </w:r>
          </w:p>
        </w:tc>
        <w:tc>
          <w:tcPr>
            <w:tcW w:w="3102" w:type="dxa"/>
          </w:tcPr>
          <w:p>
            <w:pPr>
              <w:pStyle w:val="TableText"/>
            </w:pPr>
            <w:r>
              <w:t xml:space="preserve">Hochrechnung aufs Jahr</w:t>
            </w:r>
          </w:p>
        </w:tc>
        <w:tc>
          <w:tcPr>
            <w:tcW w:w="3102" w:type="dxa"/>
          </w:tcPr>
          <w:p>
            <w:pPr>
              <w:pStyle w:val="TableText"/>
            </w:pPr>
            <w:r>
              <w:t xml:space="preserve">Aktuelle Quartalsrate mal vier</w:t>
            </w:r>
          </w:p>
        </w:tc>
      </w:tr>
      <w:tr>
        <w:tc>
          <w:tcPr>
            <w:tcW w:w="3102" w:type="dxa"/>
          </w:tcPr>
          <w:p>
            <w:pPr>
              <w:pStyle w:val="TableText"/>
            </w:pPr>
            <w:r>
              <w:t xml:space="preserve">Fluktuation Prognose gleitend</w:t>
            </w:r>
          </w:p>
        </w:tc>
        <w:tc>
          <w:tcPr>
            <w:tcW w:w="3102" w:type="dxa"/>
          </w:tcPr>
          <w:p>
            <w:pPr>
              <w:pStyle w:val="TableText"/>
            </w:pPr>
            <w:r>
              <w:t xml:space="preserve">Stabilere Jahresschätzung</w:t>
            </w:r>
          </w:p>
        </w:tc>
        <w:tc>
          <w:tcPr>
            <w:tcW w:w="3102" w:type="dxa"/>
          </w:tcPr>
          <w:p>
            <w:pPr>
              <w:pStyle w:val="TableText"/>
            </w:pPr>
            <w:r>
              <w:t xml:space="preserve">Relevante Austritte der letzten zwölf Monate durch durchschnittlichen Bestand dieser zwölf Monate</w:t>
            </w:r>
          </w:p>
        </w:tc>
      </w:tr>
      <w:tr>
        <w:tc>
          <w:tcPr>
            <w:tcW w:w="3102" w:type="dxa"/>
          </w:tcPr>
          <w:p>
            <w:pPr>
              <w:pStyle w:val="TableText"/>
            </w:pPr>
            <w:r>
              <w:t xml:space="preserve">Fluktuation Vorjahr</w:t>
            </w:r>
          </w:p>
        </w:tc>
        <w:tc>
          <w:tcPr>
            <w:tcW w:w="3102" w:type="dxa"/>
          </w:tcPr>
          <w:p>
            <w:pPr>
              <w:pStyle w:val="TableText"/>
            </w:pPr>
            <w:r>
              <w:t xml:space="preserve">Vergleichswert</w:t>
            </w:r>
          </w:p>
        </w:tc>
        <w:tc>
          <w:tcPr>
            <w:tcW w:w="3102" w:type="dxa"/>
          </w:tcPr>
          <w:p>
            <w:pPr>
              <w:pStyle w:val="TableText"/>
            </w:pPr>
            <w:r>
              <w:t xml:space="preserve">Rate des ganzen Vorjahres, mit Abstand zu den Prognosen in Prozentpunkten</w:t>
            </w:r>
          </w:p>
        </w:tc>
      </w:tr>
      <w:tr>
        <w:tc>
          <w:tcPr>
            <w:tcW w:w="3102" w:type="dxa"/>
          </w:tcPr>
          <w:p>
            <w:pPr>
              <w:pStyle w:val="TableText"/>
            </w:pPr>
            <w:r>
              <w:t xml:space="preserve">Krankheitstage</w:t>
            </w:r>
          </w:p>
        </w:tc>
        <w:tc>
          <w:tcPr>
            <w:tcW w:w="3102" w:type="dxa"/>
          </w:tcPr>
          <w:p>
            <w:pPr>
              <w:pStyle w:val="TableText"/>
            </w:pPr>
            <w:r>
              <w:t xml:space="preserve">Krankheit in Tagen</w:t>
            </w:r>
          </w:p>
        </w:tc>
        <w:tc>
          <w:tcPr>
            <w:tcW w:w="3102" w:type="dxa"/>
          </w:tcPr>
          <w:p>
            <w:pPr>
              <w:pStyle w:val="TableText"/>
            </w:pPr>
            <w:r>
              <w:t xml:space="preserve">Krankheitsstunden durch Stunden eines Arbeitstags (8,0, Kader 8,1)</w:t>
            </w:r>
          </w:p>
        </w:tc>
      </w:tr>
      <w:tr>
        <w:tc>
          <w:tcPr>
            <w:tcW w:w="3102" w:type="dxa"/>
          </w:tcPr>
          <w:p>
            <w:pPr>
              <w:pStyle w:val="TableText"/>
            </w:pPr>
            <w:r>
              <w:t xml:space="preserve">Langzeitkrank</w:t>
            </w:r>
          </w:p>
        </w:tc>
        <w:tc>
          <w:tcPr>
            <w:tcW w:w="3102" w:type="dxa"/>
          </w:tcPr>
          <w:p>
            <w:pPr>
              <w:pStyle w:val="TableText"/>
            </w:pPr>
            <w:r>
              <w:t xml:space="preserve">Person mit langer Krankheit</w:t>
            </w:r>
          </w:p>
        </w:tc>
        <w:tc>
          <w:tcPr>
            <w:tcW w:w="3102" w:type="dxa"/>
          </w:tcPr>
          <w:p>
            <w:pPr>
              <w:pStyle w:val="TableText"/>
            </w:pPr>
            <w:r>
              <w:t xml:space="preserve">Mindestens 61 Krankheitstage insgesamt; dann zählt die ganze Krankheit als lang</w:t>
            </w:r>
          </w:p>
        </w:tc>
      </w:tr>
      <w:tr>
        <w:tc>
          <w:tcPr>
            <w:tcW w:w="3102" w:type="dxa"/>
          </w:tcPr>
          <w:p>
            <w:pPr>
              <w:pStyle w:val="TableText"/>
            </w:pPr>
            <w:r>
              <w:t xml:space="preserve">Krankenquote</w:t>
            </w:r>
          </w:p>
        </w:tc>
        <w:tc>
          <w:tcPr>
            <w:tcW w:w="3102" w:type="dxa"/>
          </w:tcPr>
          <w:p>
            <w:pPr>
              <w:pStyle w:val="TableText"/>
            </w:pPr>
            <w:r>
              <w:t xml:space="preserve">Anteil der Ausfalltage</w:t>
            </w:r>
          </w:p>
        </w:tc>
        <w:tc>
          <w:tcPr>
            <w:tcW w:w="3102" w:type="dxa"/>
          </w:tcPr>
          <w:p>
            <w:pPr>
              <w:pStyle w:val="TableText"/>
            </w:pPr>
            <w:r>
              <w:t xml:space="preserve">Krankheitstage durch FTE mal Arbeitstage (Kanton Zürich ohne gesetzliche Feiertage); Ampel grün unter 3 %, gelb bis 5 %, rot ab 5 %</w:t>
            </w:r>
          </w:p>
        </w:tc>
      </w:tr>
      <w:tr>
        <w:tc>
          <w:tcPr>
            <w:tcW w:w="3102" w:type="dxa"/>
          </w:tcPr>
          <w:p>
            <w:pPr>
              <w:pStyle w:val="TableText"/>
            </w:pPr>
            <w:r>
              <w:t xml:space="preserve">BU / NBU-Tage</w:t>
            </w:r>
          </w:p>
        </w:tc>
        <w:tc>
          <w:tcPr>
            <w:tcW w:w="3102" w:type="dxa"/>
          </w:tcPr>
          <w:p>
            <w:pPr>
              <w:pStyle w:val="TableText"/>
            </w:pPr>
            <w:r>
              <w:t xml:space="preserve">Unfalltage</w:t>
            </w:r>
          </w:p>
        </w:tc>
        <w:tc>
          <w:tcPr>
            <w:tcW w:w="3102" w:type="dxa"/>
          </w:tcPr>
          <w:p>
            <w:pPr>
              <w:pStyle w:val="TableText"/>
            </w:pPr>
            <w:r>
              <w:t xml:space="preserve">Aus SAP, nur laufender Monat bis heute</w:t>
            </w:r>
          </w:p>
        </w:tc>
      </w:tr>
      <w:tr>
        <w:tc>
          <w:tcPr>
            <w:tcW w:w="3102" w:type="dxa"/>
          </w:tcPr>
          <w:p>
            <w:pPr>
              <w:pStyle w:val="TableText"/>
            </w:pPr>
            <w:r>
              <w:t xml:space="preserve">GLZ-Saldo</w:t>
            </w:r>
          </w:p>
        </w:tc>
        <w:tc>
          <w:tcPr>
            <w:tcW w:w="3102" w:type="dxa"/>
          </w:tcPr>
          <w:p>
            <w:pPr>
              <w:pStyle w:val="TableText"/>
            </w:pPr>
            <w:r>
              <w:t xml:space="preserve">Gleitzeitsaldo</w:t>
            </w:r>
          </w:p>
        </w:tc>
        <w:tc>
          <w:tcPr>
            <w:tcW w:w="3102" w:type="dxa"/>
          </w:tcPr>
          <w:p>
            <w:pPr>
              <w:pStyle w:val="TableText"/>
            </w:pPr>
            <w:r>
              <w:t xml:space="preserve">Stunden je Person; grün bis 50, gelb bis 100, rot über 100 Stunden absolut</w:t>
            </w:r>
          </w:p>
        </w:tc>
      </w:tr>
      <w:tr>
        <w:tc>
          <w:tcPr>
            <w:tcW w:w="3102" w:type="dxa"/>
          </w:tcPr>
          <w:p>
            <w:pPr>
              <w:pStyle w:val="TableText"/>
            </w:pPr>
            <w:r>
              <w:t xml:space="preserve">Ferienanspruch / Rest / ausstehend</w:t>
            </w:r>
          </w:p>
        </w:tc>
        <w:tc>
          <w:tcPr>
            <w:tcW w:w="3102" w:type="dxa"/>
          </w:tcPr>
          <w:p>
            <w:pPr>
              <w:pStyle w:val="TableText"/>
            </w:pPr>
            <w:r>
              <w:t xml:space="preserve">Ferienbestand</w:t>
            </w:r>
          </w:p>
        </w:tc>
        <w:tc>
          <w:tcPr>
            <w:tcW w:w="3102" w:type="dxa"/>
          </w:tcPr>
          <w:p>
            <w:pPr>
              <w:pStyle w:val="TableText"/>
            </w:pPr>
            <w:r>
              <w:t xml:space="preserve">Aus der Saldidatei; bezogen gleich Anspruch minus Rest minus ausstehend</w:t>
            </w:r>
          </w:p>
        </w:tc>
      </w:tr>
      <w:tr>
        <w:tc>
          <w:tcPr>
            <w:tcW w:w="3102" w:type="dxa"/>
          </w:tcPr>
          <w:p>
            <w:pPr>
              <w:pStyle w:val="TableText"/>
            </w:pPr>
            <w:r>
              <w:t xml:space="preserve">Restferien Rot</w:t>
            </w:r>
          </w:p>
        </w:tc>
        <w:tc>
          <w:tcPr>
            <w:tcW w:w="3102" w:type="dxa"/>
          </w:tcPr>
          <w:p>
            <w:pPr>
              <w:pStyle w:val="TableText"/>
            </w:pPr>
            <w:r>
              <w:t xml:space="preserve">Personen mit zu hohen Resttagen</w:t>
            </w:r>
          </w:p>
        </w:tc>
        <w:tc>
          <w:tcPr>
            <w:tcW w:w="3102" w:type="dxa"/>
          </w:tcPr>
          <w:p>
            <w:pPr>
              <w:pStyle w:val="TableText"/>
            </w:pPr>
            <w:r>
              <w:t xml:space="preserve">Quartal 1 mehr als 5 Tage, ab Quartal 2 jeder Resttag</w:t>
            </w:r>
          </w:p>
        </w:tc>
      </w:tr>
      <w:tr>
        <w:tc>
          <w:tcPr>
            <w:tcW w:w="3102" w:type="dxa"/>
          </w:tcPr>
          <w:p>
            <w:pPr>
              <w:pStyle w:val="TableText"/>
            </w:pPr>
            <w:r>
              <w:t xml:space="preserve">Ampel Datenqualität</w:t>
            </w:r>
          </w:p>
        </w:tc>
        <w:tc>
          <w:tcPr>
            <w:tcW w:w="3102" w:type="dxa"/>
          </w:tcPr>
          <w:p>
            <w:pPr>
              <w:pStyle w:val="TableText"/>
            </w:pPr>
            <w:r>
              <w:t xml:space="preserve">Verlässlichkeit der Basis</w:t>
            </w:r>
          </w:p>
        </w:tc>
        <w:tc>
          <w:tcPr>
            <w:tcW w:w="3102" w:type="dxa"/>
          </w:tcPr>
          <w:p>
            <w:pPr>
              <w:pStyle w:val="TableText"/>
            </w:pPr>
            <w:r>
              <w:t xml:space="preserve">Rot, sobald eine erwartete Datei fehlt</w:t>
            </w:r>
          </w:p>
        </w:tc>
      </w:tr>
    </w:tbl>
    <w:p>
      <w:pPr>
        <w:spacing w:before="0" w:after="80"/>
      </w:pPr>
    </w:p>
    <w:p>
      <w:r>
        <w:br w:type="page"/>
      </w:r>
    </w:p>
    <w:p>
      <w:pPr>
        <w:pStyle w:val="Heading1"/>
      </w:pPr>
      <w:r>
        <w:t xml:space="preserve">Weltlage</w:t>
      </w:r>
    </w:p>
    <w:p>
      <w:r>
        <w:t xml:space="preserve">Das Modul Weltlage verknüpft öffentlich verfügbare Daten von aussen (Nachrichtenlage, Konjunktur, Rohstoffpreise, Wechselkurse) mit den eigenen Zahlen von Trafag: Umsatz je Kundenland, Einkauf je Lieferland, offene Bestellungen und Fremdwährungspositionen. Die Frage lautet nicht „Was passiert in der Welt?“, sondern „Wo trifft es uns?“. Das Modul richtet sich an Vertriebsleitung, Einkauf, Logistik, Finance und Geschäftsleitung; HR ist über die Standortländer der Gesellschaften vertreten, es werden keine Personendaten verwendet. Es liegt im Menü unter </w:t>
      </w:r>
      <w:r>
        <w:rPr>
          <w:b/>
        </w:rPr>
        <w:t xml:space="preserve">Finance Cockpit → Weltlage</w:t>
      </w:r>
      <w:r>
        <w:t xml:space="preserve"> mit den vier Unterseiten Radar, Länder, Rohstoffe und Währungen sowie Ereignisse und ist wie die übrigen Finance-Auswertungen durch das Finance-Passwort geschützt. Auftraggeber ist Ingo Kohler (Eigeninitiative), Fragen gehen an ihn.</w:t>
      </w:r>
    </w:p>
    <w:p>
      <w:r>
        <w:t xml:space="preserve">Die externen Daten stammen aus fünf freien Quellen ohne Anmeldung: GDELT (Ereignisse aus Nachrichten weltweit, neue Daten etwa alle 30 Minuten), FRED (Rohstoff- und Ölpreise, Finanzstress-Index), Eurostat (Industrieproduktion der EU-Länder), IMF (Wachstumsprognose) und die EZB (Referenzkurse der letzten 90 Tage). Eurostat, IMF, FRED und EZB werden alle sechs Stunden abgefragt. Die eigenen Zahlen decken die letzten 12 Monate ab, in Schweizer Franken. Das Modul ist ein erster Wurf mit bewusst einfachen, offen dokumentierten Regeln. Es liefert eine Richtung, keine Prognose und keine Handlungsempfehlung.</w:t>
      </w:r>
    </w:p>
    <w:p>
      <w:r>
        <w:t xml:space="preserve">Jede Quelle meldet ihren Zustand (verbunden, Firewall blockiert, Fehler, ausstehend). Ist eine Quelle vom Server aus nicht erreichbar, bleibt die letzte gute Lieferung stehen, und die Seite sagt dies ausdrücklich. Hinweis: nicht geprüft, welche Quellen im Betrieb gerade erreichbar sind. Laut Dokumentation vom 5. Oktober 2026 waren FRED und IMF damals durch die Firewall blockiert; dann fehlen Rohstoffe, Ölpreis, Finanzstress und die Wachstumsprognose, und das Radar rechnet nur mit Ereignissen, Eurostat und Währungen.</w:t>
      </w:r>
    </w:p>
    <w:p>
      <w:pPr>
        <w:pStyle w:val="Heading2"/>
      </w:pPr>
      <w:r>
        <w:t xml:space="preserve">Radar</w:t>
      </w:r>
    </w:p>
    <w:p>
      <w:pPr>
        <w:pStyle w:val="Heading3"/>
      </w:pPr>
      <w:r>
        <w:t xml:space="preserve">Wozu</w:t>
      </w:r>
    </w:p>
    <w:p>
      <w:r>
        <w:t xml:space="preserve">Das Radar gibt auf einen Blick Antwort auf die Frage, in welcher Abteilung die Weltlage uns gerade am meisten Gegenwind oder Rückenwind bringt. Es ist als Übersicht für Geschäftsleitung und Abteilungsleiter gedacht, bevor man in die Detailseiten geht.</w:t>
      </w:r>
    </w:p>
    <w:p>
      <w:pPr>
        <w:pStyle w:val="Heading3"/>
      </w:pPr>
      <w:r>
        <w:t xml:space="preserve">Was man sieht</w:t>
      </w:r>
    </w:p>
    <w:p>
      <w:r>
        <w:t xml:space="preserve">Ein rundes Radar mit fünf Sektoren, einem je Abteilung: Verkauf, Einkauf, Finance, Logistik und HR. Ein Strahl dreht sich in etwa sechs Sekunden einmal um die Mitte, und jeder Punkt leuchtet auf, wenn der Strahl ihn überstreicht. Jeder Punkt ist ein Thema, das uns betrifft, zum Beispiel ein Absatzland, ein Lieferland, ein Rohstoff oder eine Währung. Je näher ein Punkt an der Mitte liegt, desto stärker ist die Wirkung. Rot bedeutet Gegenwind, grün Rückenwind, grau ruhig. Die Grösse des Punktes zeigt unseren Anteil, also wie wichtig das Thema für uns ist. Neben jedem Sektor steht die Punktezahl der Abteilung.</w:t>
      </w:r>
    </w:p>
    <w:p>
      <w:r>
        <w:t xml:space="preserve">Rechts daneben stehen die stärksten Wirkungen als Liste, darunter der Zustand der Datenquellen. Ein Klick auf einen Sektor filtert auf die Abteilung, ein Klick auf einen Punkt oder eine Zeile zeigt die Begründung mit Signal, unserem Anteil und dem Betrag in CHF.</w:t>
      </w:r>
    </w:p>
    <w:p>
      <w:pPr>
        <w:pStyle w:val="Heading3"/>
      </w:pPr>
      <w:r>
        <w:t xml:space="preserve">Wie gerechnet wird</w:t>
      </w:r>
    </w:p>
    <w:p>
      <w:r>
        <w:t xml:space="preserve">Für jedes Thema wird ein Signal zwischen minus 1 (schlecht für uns) und plus 1 (gut für uns) berechnet. Die Wirkung in Punkten ist unser Anteil innerhalb der Abteilung mal Signal mal 100.</w:t>
      </w:r>
    </w:p>
    <w:p>
      <w:pPr>
        <w:pStyle w:val="ListBullet"/>
        <w:numPr>
          <w:ilvl w:val="0"/>
          <w:numId w:val="1"/>
        </w:numPr>
      </w:pPr>
      <w:r>
        <w:rPr>
          <w:b/>
        </w:rPr>
        <w:t xml:space="preserve">Länder (Verkauf, Einkauf, Logistik, HR):</w:t>
      </w:r>
      <w:r>
        <w:t xml:space="preserve"> Die Lage eines Landes ist der Durchschnitt aus einem Ereignissignal und einem Konjunktursignal. Das Ereignissignal vergleicht die Nachrichtenlage der letzten drei Tage mit den 27 Tagen davor (Stimmung und Anteil an Konfliktmeldungen); es gibt erst ab 20 Ereignissen in drei Tagen ein Signal. Das Konjunktursignal beruht auf der Industrieproduktion gegenüber dem Vorjahr (nur EU-Länder) und der Wachstumsprognose des IMF.</w:t>
      </w:r>
    </w:p>
    <w:p>
      <w:pPr>
        <w:pStyle w:val="ListBullet"/>
        <w:numPr>
          <w:ilvl w:val="0"/>
          <w:numId w:val="1"/>
        </w:numPr>
      </w:pPr>
      <w:r>
        <w:rPr>
          <w:b/>
        </w:rPr>
        <w:t xml:space="preserve">Verkauf:</w:t>
      </w:r>
      <w:r>
        <w:t xml:space="preserve"> Anteil = Umsatz des Landes am Gesamtumsatz, nach den Finance-Regeln und ohne Konzernkunden.</w:t>
      </w:r>
    </w:p>
    <w:p>
      <w:pPr>
        <w:pStyle w:val="ListBullet"/>
        <w:numPr>
          <w:ilvl w:val="0"/>
          <w:numId w:val="1"/>
        </w:numPr>
      </w:pPr>
      <w:r>
        <w:rPr>
          <w:b/>
        </w:rPr>
        <w:t xml:space="preserve">Einkauf:</w:t>
      </w:r>
      <w:r>
        <w:t xml:space="preserve"> Anteil = Bestellwert des Lieferlandes. Dazu kommen Rohstoffe: Je höher der Preis in den letzten 90 Tagen gestiegen ist, desto mehr Gegenwind. Die Zuordnung der Einkäufe zu Rohstoffen erfolgt über Stichworte in Warengruppe und Positionstext.</w:t>
      </w:r>
    </w:p>
    <w:p>
      <w:pPr>
        <w:pStyle w:val="ListBullet"/>
        <w:numPr>
          <w:ilvl w:val="0"/>
          <w:numId w:val="1"/>
        </w:numPr>
      </w:pPr>
      <w:r>
        <w:rPr>
          <w:b/>
        </w:rPr>
        <w:t xml:space="preserve">Logistik:</w:t>
      </w:r>
      <w:r>
        <w:t xml:space="preserve"> Anteil = offener Restwert der Bestellungen je Lieferland (offene Menge mal Stückpreis; ohne Mengendaten ersatzweise der Wert ganzer offener Positionen, was die Seite dann im Themennamen kenntlich macht). Zusätzlich wirkt der Ölpreis (Brent) als Frachtkostentreiber mit festem Gewicht.</w:t>
      </w:r>
    </w:p>
    <w:p>
      <w:pPr>
        <w:pStyle w:val="ListBullet"/>
        <w:numPr>
          <w:ilvl w:val="0"/>
          <w:numId w:val="1"/>
        </w:numPr>
      </w:pPr>
      <w:r>
        <w:rPr>
          <w:b/>
        </w:rPr>
        <w:t xml:space="preserve">Finance:</w:t>
      </w:r>
      <w:r>
        <w:t xml:space="preserve"> je Fremdwährung die Nettoposition (Verkauf minus Einkauf in dieser Währung) und die Kursbewegung gegen CHF in 90 Tagen; dazu der Finanzstress-Index mit festem Gewicht.</w:t>
      </w:r>
    </w:p>
    <w:p>
      <w:pPr>
        <w:pStyle w:val="ListBullet"/>
        <w:numPr>
          <w:ilvl w:val="0"/>
          <w:numId w:val="1"/>
        </w:numPr>
      </w:pPr>
      <w:r>
        <w:rPr>
          <w:b/>
        </w:rPr>
        <w:t xml:space="preserve">HR:</w:t>
      </w:r>
      <w:r>
        <w:t xml:space="preserve"> Umsatzanteil der Gesellschaft im Standortland als Grössenmass.</w:t>
      </w:r>
    </w:p>
    <w:p>
      <w:r>
        <w:t xml:space="preserve">Die Zahl je Abteilung fasst die Punkte der Themen der Abteilung zusammen: Je Thema (Land, Rohstoff, Währung) werden die Wirkungen summiert, anschliessend wird über die Themen der Abteilung gemittelt. So entsteht ein Wert zwischen minus 100 und plus 100.</w:t>
      </w:r>
    </w:p>
    <w:p>
      <w:pPr>
        <w:pStyle w:val="Heading3"/>
      </w:pPr>
      <w:r>
        <w:t xml:space="preserve">Einsatz im Arbeitsalltag</w:t>
      </w:r>
    </w:p>
    <w:p>
      <w:pPr>
        <w:pStyle w:val="ListBullet"/>
        <w:numPr>
          <w:ilvl w:val="0"/>
          <w:numId w:val="1"/>
        </w:numPr>
      </w:pPr>
      <w:r>
        <w:rPr>
          <w:b/>
        </w:rPr>
        <w:t xml:space="preserve">Geschäftsleitung:</w:t>
      </w:r>
      <w:r>
        <w:t xml:space="preserve"> Vor der Quartalsbesprechung das Radar öffnen und fragen, welche Abteilung den grössten Gegenwind hat und warum. Ein Klick auf den roten Punkt liefert die Begründung.</w:t>
      </w:r>
    </w:p>
    <w:p>
      <w:pPr>
        <w:pStyle w:val="ListBullet"/>
        <w:numPr>
          <w:ilvl w:val="0"/>
          <w:numId w:val="1"/>
        </w:numPr>
      </w:pPr>
      <w:r>
        <w:rPr>
          <w:b/>
        </w:rPr>
        <w:t xml:space="preserve">Vertriebsleiter:</w:t>
      </w:r>
      <w:r>
        <w:t xml:space="preserve"> Prüfen, ob ein wichtiges Absatzland in der Lage kippt, bevor Planzahlen oder Preise für das Land bestätigt werden.</w:t>
      </w:r>
    </w:p>
    <w:p>
      <w:pPr>
        <w:pStyle w:val="ListBullet"/>
        <w:numPr>
          <w:ilvl w:val="0"/>
          <w:numId w:val="1"/>
        </w:numPr>
      </w:pPr>
      <w:r>
        <w:rPr>
          <w:b/>
        </w:rPr>
        <w:t xml:space="preserve">Einkäufer:</w:t>
      </w:r>
      <w:r>
        <w:t xml:space="preserve"> Vor einer Lieferantenverhandlung sehen, ob das Lieferland oder ein Rohstoff unter Druck steht.</w:t>
      </w:r>
    </w:p>
    <w:p>
      <w:pPr>
        <w:pStyle w:val="ListBullet"/>
        <w:numPr>
          <w:ilvl w:val="0"/>
          <w:numId w:val="1"/>
        </w:numPr>
      </w:pPr>
      <w:r>
        <w:rPr>
          <w:b/>
        </w:rPr>
        <w:t xml:space="preserve">Controller:</w:t>
      </w:r>
      <w:r>
        <w:t xml:space="preserve"> Die Währungs- und Finanzstresspunkte als Anlass nehmen, die Absicherung zu besprechen.</w:t>
      </w:r>
    </w:p>
    <w:p>
      <w:pPr>
        <w:pStyle w:val="Heading3"/>
      </w:pPr>
      <w:r>
        <w:t xml:space="preserve">Grenzen und Fallstricke</w:t>
      </w:r>
    </w:p>
    <w:p>
      <w:pPr>
        <w:pStyle w:val="ListBullet"/>
        <w:numPr>
          <w:ilvl w:val="0"/>
          <w:numId w:val="1"/>
        </w:numPr>
      </w:pPr>
      <w:r>
        <w:t xml:space="preserve">Das Signal aus GDELT ist ein Stimmungsmass aus maschinell erkannten Nachrichten, mit Fehlern und Doppelungen, keine Lagebeurteilung.</w:t>
      </w:r>
    </w:p>
    <w:p>
      <w:pPr>
        <w:pStyle w:val="ListBullet"/>
        <w:numPr>
          <w:ilvl w:val="0"/>
          <w:numId w:val="1"/>
        </w:numPr>
      </w:pPr>
      <w:r>
        <w:t xml:space="preserve">Eurostat deckt nur EU-Länder ab. Für die Schweiz, Grossbritannien, USA, Indien und China stützt sich das Land nur auf IMF und Ereignisse.</w:t>
      </w:r>
    </w:p>
    <w:p>
      <w:pPr>
        <w:pStyle w:val="ListBullet"/>
        <w:numPr>
          <w:ilvl w:val="0"/>
          <w:numId w:val="1"/>
        </w:numPr>
      </w:pPr>
      <w:r>
        <w:t xml:space="preserve">Die Rohstoffzuordnung über Stichworte ist grob und keine Stückliste. Die Wirkung zeigt die Richtung, nicht den Betrag.</w:t>
      </w:r>
    </w:p>
    <w:p>
      <w:pPr>
        <w:pStyle w:val="ListBullet"/>
        <w:numPr>
          <w:ilvl w:val="0"/>
          <w:numId w:val="1"/>
        </w:numPr>
      </w:pPr>
      <w:r>
        <w:t xml:space="preserve">Logistik hat keine Frachtdaten; Ersatz sind offene Bestellungen und der Ölpreis.</w:t>
      </w:r>
    </w:p>
    <w:p>
      <w:pPr>
        <w:pStyle w:val="ListBullet"/>
        <w:numPr>
          <w:ilvl w:val="0"/>
          <w:numId w:val="1"/>
        </w:numPr>
      </w:pPr>
      <w:r>
        <w:t xml:space="preserve">Ein grauer oder fehlender Punkt kann auch bedeuten, dass die Datenquelle blockiert ist oder zu wenige Ereignisse vorliegen.</w:t>
      </w:r>
    </w:p>
    <w:p>
      <w:pPr>
        <w:pStyle w:val="Heading2"/>
      </w:pPr>
      <w:r>
        <w:t xml:space="preserve">Länder</w:t>
      </w:r>
    </w:p>
    <w:p>
      <w:pPr>
        <w:pStyle w:val="Heading3"/>
      </w:pPr>
      <w:r>
        <w:t xml:space="preserve">Wozu</w:t>
      </w:r>
    </w:p>
    <w:p>
      <w:r>
        <w:t xml:space="preserve">Die Seite zeigt auf einer Weltkarte, in welchen Ländern wir Geschäft haben und wie die Lage dort aussieht. Sie beantwortet die Frage, wo viel Geschäft und schlechte Lage zusammentreffen.</w:t>
      </w:r>
    </w:p>
    <w:p>
      <w:pPr>
        <w:pStyle w:val="Heading3"/>
      </w:pPr>
      <w:r>
        <w:t xml:space="preserve">Was man sieht</w:t>
      </w:r>
    </w:p>
    <w:p>
      <w:r>
        <w:t xml:space="preserve">Eine Weltkarte mit einem Kreis je Land. Die Kreisfläche ist proportional zu unserem Geschäft im Land (Umsatz, Einkauf oder die Summe), die Farbe zeigt die Lage des Landes (rot Gegenwind, grün Rückenwind, grau keine Daten). Länder mit deutlichem Gegenwind pulsieren. Ein Auswahlfeld schaltet zwischen „Verkauf und Einkauf“, „Verkauf“ und „Einkauf“ um; die Kreisgrössen bleiben in allen Ansichten auf derselben Skala. Rechts steht eine Liste der bis zu 40 grössten Länder mit Betrag und Signalwert. Ein Klick zeigt Verkauf und Einkauf in CHF und die Begründung der Lage (Ereignisse, Konfliktanteil, Industrieproduktion, Wachstumsprognose).</w:t>
      </w:r>
    </w:p>
    <w:p>
      <w:pPr>
        <w:pStyle w:val="Heading3"/>
      </w:pPr>
      <w:r>
        <w:t xml:space="preserve">Wie gerechnet wird</w:t>
      </w:r>
    </w:p>
    <w:p>
      <w:r>
        <w:t xml:space="preserve">Kreisgrösse: Umsatz beziehungsweise Bestellwert der letzten 12 Monate in CHF. Farbe: die Lage des Landes wie im Radar, also Durchschnitt aus Ereignissignal (letzte drei Tage gegen die vier Wochen davor) und Konjunktursignal. Als „deutlicher Gegenwind“ gilt ein Signal im klar negativen Bereich; die genaue Schwelle ist nicht im Handbuch belegt.</w:t>
      </w:r>
    </w:p>
    <w:p>
      <w:pPr>
        <w:pStyle w:val="Heading3"/>
      </w:pPr>
      <w:r>
        <w:t xml:space="preserve">Einsatz im Arbeitsalltag</w:t>
      </w:r>
    </w:p>
    <w:p>
      <w:pPr>
        <w:pStyle w:val="ListBullet"/>
        <w:numPr>
          <w:ilvl w:val="0"/>
          <w:numId w:val="1"/>
        </w:numPr>
      </w:pPr>
      <w:r>
        <w:rPr>
          <w:b/>
        </w:rPr>
        <w:t xml:space="preserve">Vertriebsleiter:</w:t>
      </w:r>
      <w:r>
        <w:t xml:space="preserve"> Grosse rote Kreise sind Absatzmärkte unter Druck; sie kommen zuerst in die nächste Kundenrunde.</w:t>
      </w:r>
    </w:p>
    <w:p>
      <w:pPr>
        <w:pStyle w:val="ListBullet"/>
        <w:numPr>
          <w:ilvl w:val="0"/>
          <w:numId w:val="1"/>
        </w:numPr>
      </w:pPr>
      <w:r>
        <w:rPr>
          <w:b/>
        </w:rPr>
        <w:t xml:space="preserve">Einkäufer:</w:t>
      </w:r>
      <w:r>
        <w:t xml:space="preserve"> In der Ansicht „Einkauf“ erkennen, ob viel Volumen in einem Land mit schlechter Lage liegt, und Alternativlieferanten prüfen.</w:t>
      </w:r>
    </w:p>
    <w:p>
      <w:pPr>
        <w:pStyle w:val="ListBullet"/>
        <w:numPr>
          <w:ilvl w:val="0"/>
          <w:numId w:val="1"/>
        </w:numPr>
      </w:pPr>
      <w:r>
        <w:rPr>
          <w:b/>
        </w:rPr>
        <w:t xml:space="preserve">Geschäftsleitung:</w:t>
      </w:r>
      <w:r>
        <w:t xml:space="preserve"> Klumpenrisiken sichtbar machen, etwa ein grosser Kreis in einem pulsierenden Land.</w:t>
      </w:r>
    </w:p>
    <w:p>
      <w:pPr>
        <w:pStyle w:val="Heading3"/>
      </w:pPr>
      <w:r>
        <w:t xml:space="preserve">Grenzen und Fallstricke</w:t>
      </w:r>
    </w:p>
    <w:p>
      <w:r>
        <w:t xml:space="preserve">Grau heisst „keine Daten“, nicht „sicher“. Länder mit wenig Nachrichtenereignissen erhalten kein Signal. Die Karte ist grob und zeigt nur Länder, die in den Verkaufs- oder Einkaufsdaten vorkommen. Konzernkunden sind im Verkauf nicht enthalten.</w:t>
      </w:r>
    </w:p>
    <w:p>
      <w:pPr>
        <w:pStyle w:val="Heading2"/>
      </w:pPr>
      <w:r>
        <w:t xml:space="preserve">Rohstoffe und Währungen</w:t>
      </w:r>
    </w:p>
    <w:p>
      <w:pPr>
        <w:pStyle w:val="Heading3"/>
      </w:pPr>
      <w:r>
        <w:t xml:space="preserve">Wozu</w:t>
      </w:r>
    </w:p>
    <w:p>
      <w:r>
        <w:t xml:space="preserve">Die Seite zeigt, wie sich Preise und Kurse bewegen, die unsere Kosten und Erlöse beeinflussen, und wie stark wir ihnen ausgesetzt sind.</w:t>
      </w:r>
    </w:p>
    <w:p>
      <w:pPr>
        <w:pStyle w:val="Heading3"/>
      </w:pPr>
      <w:r>
        <w:t xml:space="preserve">Was man sieht</w:t>
      </w:r>
    </w:p>
    <w:p>
      <w:r>
        <w:t xml:space="preserve">Oben stehen Karten mit Verlaufslinie für Rohstoffe, Energie und Finanzstress: Kupfer, Nickel, Aluminium, Eisenerz, Erdgas Europa, Erdöl Brent und der Finanzstress-Index. Auf jeder Karte steht die Preisänderung der letzten 90 Tage in Prozent, der letzte Wert mit Datum und ein Hinweis, wofür der Wert gebraucht wird (zum Beispiel Brent für Fracht und Kunststoffe). Beim Finanzstress-Index bedeutet 0 normal und über 1 angespannte Finanzmärkte; er ersetzt fehlende Börsenindizes, für die keine frei zugängliche Quelle gefunden wurde.</w:t>
      </w:r>
    </w:p>
    <w:p>
      <w:r>
        <w:t xml:space="preserve">Darunter steht die Währungstabelle mit der Nettoposition der letzten 12 Monate in CHF, der Kursbewegung gegen CHF in 90 Tagen und einer Wirkung (Gegenwind, Rückenwind, ruhig). Daneben zeigt ein Balkendiagramm den Einkauf nach Rohstoff.</w:t>
      </w:r>
    </w:p>
    <w:p>
      <w:pPr>
        <w:pStyle w:val="Heading3"/>
      </w:pPr>
      <w:r>
        <w:t xml:space="preserve">Wie gerechnet wird</w:t>
      </w:r>
    </w:p>
    <w:p>
      <w:pPr>
        <w:pStyle w:val="ListBullet"/>
        <w:numPr>
          <w:ilvl w:val="0"/>
          <w:numId w:val="1"/>
        </w:numPr>
      </w:pPr>
      <w:r>
        <w:rPr>
          <w:b/>
        </w:rPr>
        <w:t xml:space="preserve">Nettoposition je Währung:</w:t>
      </w:r>
      <w:r>
        <w:t xml:space="preserve"> Verkauf in dieser Währung minus Einkauf in dieser Währung, umgerechnet in CHF. Positiv bedeutet, wir nehmen in der Währung mehr ein, als wir ausgeben; dann schadet ein schwächerer Kurs. Negativ bedeutet Nettoeinkauf; dann hilft ein schwächerer Kurs.</w:t>
      </w:r>
    </w:p>
    <w:p>
      <w:pPr>
        <w:pStyle w:val="ListBullet"/>
        <w:numPr>
          <w:ilvl w:val="0"/>
          <w:numId w:val="1"/>
        </w:numPr>
      </w:pPr>
      <w:r>
        <w:rPr>
          <w:b/>
        </w:rPr>
        <w:t xml:space="preserve">Kursbewegung:</w:t>
      </w:r>
      <w:r>
        <w:t xml:space="preserve"> Veränderung des EZB-Referenzkurses gegen CHF über 90 Tage.</w:t>
      </w:r>
    </w:p>
    <w:p>
      <w:pPr>
        <w:pStyle w:val="ListBullet"/>
        <w:numPr>
          <w:ilvl w:val="0"/>
          <w:numId w:val="1"/>
        </w:numPr>
      </w:pPr>
      <w:r>
        <w:rPr>
          <w:b/>
        </w:rPr>
        <w:t xml:space="preserve">Wirkung:</w:t>
      </w:r>
      <w:r>
        <w:t xml:space="preserve"> Kursbewegung mal Vorzeichen der Position. Ein schwächerer Kurs bei positiver Position ist Gegenwind.</w:t>
      </w:r>
    </w:p>
    <w:p>
      <w:pPr>
        <w:pStyle w:val="ListBullet"/>
        <w:numPr>
          <w:ilvl w:val="0"/>
          <w:numId w:val="1"/>
        </w:numPr>
      </w:pPr>
      <w:r>
        <w:rPr>
          <w:b/>
        </w:rPr>
        <w:t xml:space="preserve">Rohstoffpreis:</w:t>
      </w:r>
      <w:r>
        <w:t xml:space="preserve"> Änderung über 90 Tage. Steigende Preise gelten für den Einkauf als Gegenwind.</w:t>
      </w:r>
    </w:p>
    <w:p>
      <w:pPr>
        <w:pStyle w:val="ListBullet"/>
        <w:numPr>
          <w:ilvl w:val="0"/>
          <w:numId w:val="1"/>
        </w:numPr>
      </w:pPr>
      <w:r>
        <w:rPr>
          <w:b/>
        </w:rPr>
        <w:t xml:space="preserve">Einkauf nach Rohstoff:</w:t>
      </w:r>
      <w:r>
        <w:t xml:space="preserve"> Bestellwert, dem ein Rohstoff über Stichworte im Warengruppen- und Positionstext zugeordnet wird (zum Beispiel Edelstahl zu Nickel, Messing zu Kupfer, Kunststoff zu Erdöl).</w:t>
      </w:r>
    </w:p>
    <w:p>
      <w:pPr>
        <w:pStyle w:val="Heading3"/>
      </w:pPr>
      <w:r>
        <w:t xml:space="preserve">Einsatz im Arbeitsalltag</w:t>
      </w:r>
    </w:p>
    <w:p>
      <w:pPr>
        <w:pStyle w:val="ListBullet"/>
        <w:numPr>
          <w:ilvl w:val="0"/>
          <w:numId w:val="1"/>
        </w:numPr>
      </w:pPr>
      <w:r>
        <w:rPr>
          <w:b/>
        </w:rPr>
        <w:t xml:space="preserve">Controller:</w:t>
      </w:r>
      <w:r>
        <w:t xml:space="preserve"> Vor der Budget- oder Forecastrunde die Währungstabelle ansehen: Welche Währung hat die grösste Nettoposition und bewegt sich gegen uns?</w:t>
      </w:r>
    </w:p>
    <w:p>
      <w:pPr>
        <w:pStyle w:val="ListBullet"/>
        <w:numPr>
          <w:ilvl w:val="0"/>
          <w:numId w:val="1"/>
        </w:numPr>
      </w:pPr>
      <w:r>
        <w:rPr>
          <w:b/>
        </w:rPr>
        <w:t xml:space="preserve">Einkäufer:</w:t>
      </w:r>
      <w:r>
        <w:t xml:space="preserve"> Vor Preisverhandlungen prüfen, ob der Rohstoff zuletzt gestiegen ist, und den eigenen Einkaufsanteil daneben sehen.</w:t>
      </w:r>
    </w:p>
    <w:p>
      <w:pPr>
        <w:pStyle w:val="ListBullet"/>
        <w:numPr>
          <w:ilvl w:val="0"/>
          <w:numId w:val="1"/>
        </w:numPr>
      </w:pPr>
      <w:r>
        <w:rPr>
          <w:b/>
        </w:rPr>
        <w:t xml:space="preserve">Geschäftsleitung:</w:t>
      </w:r>
      <w:r>
        <w:t xml:space="preserve"> Mit dem Finanzstress-Index ein Gefühl für das Marktumfeld gewinnen.</w:t>
      </w:r>
    </w:p>
    <w:p>
      <w:pPr>
        <w:pStyle w:val="Heading3"/>
      </w:pPr>
      <w:r>
        <w:t xml:space="preserve">Grenzen und Fallstricke</w:t>
      </w:r>
    </w:p>
    <w:p>
      <w:pPr>
        <w:pStyle w:val="ListBullet"/>
        <w:numPr>
          <w:ilvl w:val="0"/>
          <w:numId w:val="1"/>
        </w:numPr>
      </w:pPr>
      <w:r>
        <w:t xml:space="preserve">Rohstoffzuordnung per Stichwort ist eine Annahme, keine Stückliste.</w:t>
      </w:r>
    </w:p>
    <w:p>
      <w:pPr>
        <w:pStyle w:val="ListBullet"/>
        <w:numPr>
          <w:ilvl w:val="0"/>
          <w:numId w:val="1"/>
        </w:numPr>
      </w:pPr>
      <w:r>
        <w:t xml:space="preserve">Die Preise sind Weltmarktwerte aus FRED und monatlich oder täglich aktualisiert; Rohstoffreihen können dem Monatsende hinterherhinken.</w:t>
      </w:r>
    </w:p>
    <w:p>
      <w:pPr>
        <w:pStyle w:val="ListBullet"/>
        <w:numPr>
          <w:ilvl w:val="0"/>
          <w:numId w:val="1"/>
        </w:numPr>
      </w:pPr>
      <w:r>
        <w:t xml:space="preserve">Die Nettoposition beruht auf den Zeilenwährungen der Verkaufs- und Einkaufsdaten. Hinweis: Bei EUR zeigte die Dokumentation vom 5. Oktober 2026 eine auffällige Nettoposition, die nicht geklärt war; die Zahlen sind mit Vorsicht zu lesen.</w:t>
      </w:r>
    </w:p>
    <w:p>
      <w:pPr>
        <w:pStyle w:val="ListBullet"/>
        <w:numPr>
          <w:ilvl w:val="0"/>
          <w:numId w:val="1"/>
        </w:numPr>
      </w:pPr>
      <w:r>
        <w:t xml:space="preserve">Es gibt keine Absicherungsempfehlung. Ohne Verbindung zu FRED bleiben die Rohstoffkarten leer.</w:t>
      </w:r>
    </w:p>
    <w:p>
      <w:pPr>
        <w:pStyle w:val="Heading2"/>
      </w:pPr>
      <w:r>
        <w:t xml:space="preserve">Ereignisse</w:t>
      </w:r>
    </w:p>
    <w:p>
      <w:pPr>
        <w:pStyle w:val="Heading3"/>
      </w:pPr>
      <w:r>
        <w:t xml:space="preserve">Wozu</w:t>
      </w:r>
    </w:p>
    <w:p>
      <w:r>
        <w:t xml:space="preserve">Die Seite zeigt die meistbeachteten Konflikt- und Negativmeldungen der letzten 24 Stunden in den Ländern, in denen wir Geschäft haben. Sie liefert den Nachrichtenhintergrund zu den Signalen im Radar.</w:t>
      </w:r>
    </w:p>
    <w:p>
      <w:pPr>
        <w:pStyle w:val="Heading3"/>
      </w:pPr>
      <w:r>
        <w:t xml:space="preserve">Was man sieht</w:t>
      </w:r>
    </w:p>
    <w:p>
      <w:r>
        <w:t xml:space="preserve">Links eine Liste der Ereignisse mit Land, Art (zum Beispiel Protest, Drohung, Angriff, Kampfhandlung), Ort, Anzahl der Erwähnungen und einem Link zur Quelle. Die Farbe zeigt die Wirkung auf die Stabilität (rot destabilisierend). Ein Schalter beschränkt die Liste auf Länder mit unserem Geschäft; er ist standardmässig an. Rechts steht für die wichtigsten Länder der Konfliktanteil der letzten 14 Tage als Balkenreihe, mit dem aktuellen Wert in Prozent.</w:t>
      </w:r>
    </w:p>
    <w:p>
      <w:pPr>
        <w:pStyle w:val="Heading3"/>
      </w:pPr>
      <w:r>
        <w:t xml:space="preserve">Wie gerechnet wird</w:t>
      </w:r>
    </w:p>
    <w:p>
      <w:r>
        <w:t xml:space="preserve">GDELT erkennt Ereignisse automatisch aus Nachrichten weltweit. Gezeigt werden Konflikte und stark negative Ereignisse, sortiert nach Erwähnungen. Der Konfliktanteil eines Landes ist der Anteil der Konflikt-Ereignisse an allen erkannten Ereignissen des Tages. Die Länder sind nach unserem Geschäftsvolumen (Verkauf plus Einkauf) sortiert; der heutige, erst teilweise gezählte Tag ist ausgenommen.</w:t>
      </w:r>
    </w:p>
    <w:p>
      <w:pPr>
        <w:pStyle w:val="Heading3"/>
      </w:pPr>
      <w:r>
        <w:t xml:space="preserve">Einsatz im Arbeitsalltag</w:t>
      </w:r>
    </w:p>
    <w:p>
      <w:pPr>
        <w:pStyle w:val="ListBullet"/>
        <w:numPr>
          <w:ilvl w:val="0"/>
          <w:numId w:val="1"/>
        </w:numPr>
      </w:pPr>
      <w:r>
        <w:rPr>
          <w:b/>
        </w:rPr>
        <w:t xml:space="preserve">Einkäufer:</w:t>
      </w:r>
      <w:r>
        <w:t xml:space="preserve"> Bei rotem Signal eines Lieferlandes nachsehen, welches Ereignis dahintersteht, und gegebenenfalls beim Lieferanten nachfragen.</w:t>
      </w:r>
    </w:p>
    <w:p>
      <w:pPr>
        <w:pStyle w:val="ListBullet"/>
        <w:numPr>
          <w:ilvl w:val="0"/>
          <w:numId w:val="1"/>
        </w:numPr>
      </w:pPr>
      <w:r>
        <w:rPr>
          <w:b/>
        </w:rPr>
        <w:t xml:space="preserve">Logistiker:</w:t>
      </w:r>
      <w:r>
        <w:t xml:space="preserve"> Ereignisse in Ländern mit offenen Bestellungen beachten, etwa Proteste oder Konflikte, die Transporte verzögern könnten.</w:t>
      </w:r>
    </w:p>
    <w:p>
      <w:pPr>
        <w:pStyle w:val="ListBullet"/>
        <w:numPr>
          <w:ilvl w:val="0"/>
          <w:numId w:val="1"/>
        </w:numPr>
      </w:pPr>
      <w:r>
        <w:rPr>
          <w:b/>
        </w:rPr>
        <w:t xml:space="preserve">Vertrieb:</w:t>
      </w:r>
      <w:r>
        <w:t xml:space="preserve"> Vor Reisen oder Kundengesprächen die Lage im Land ansehen.</w:t>
      </w:r>
    </w:p>
    <w:p>
      <w:pPr>
        <w:pStyle w:val="Heading3"/>
      </w:pPr>
      <w:r>
        <w:t xml:space="preserve">Grenzen und Fallstricke</w:t>
      </w:r>
    </w:p>
    <w:p>
      <w:r>
        <w:t xml:space="preserve">Die Ereignisse sind maschinell erkannt und können falsch, doppelt oder falsch verortet sein. Gespeichert wird nur der Link, kein Artikeltext. Die Liste der Einzelereignisse wird nach einem Neustart des Servers aus GDELT neu aufgebaut und ist nur bei erreichbarer Quelle gefüllt. Eine Meldung ist keine bestätigte Lagebeurteilung.</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Signal</w:t>
            </w:r>
          </w:p>
        </w:tc>
        <w:tc>
          <w:tcPr>
            <w:tcW w:w="3102" w:type="dxa"/>
          </w:tcPr>
          <w:p>
            <w:pPr>
              <w:pStyle w:val="TableText"/>
            </w:pPr>
            <w:r>
              <w:t xml:space="preserve">Wirkung eines Themas auf uns, von minus 1 (schlecht) bis plus 1 (gut)</w:t>
            </w:r>
          </w:p>
        </w:tc>
        <w:tc>
          <w:tcPr>
            <w:tcW w:w="3102" w:type="dxa"/>
          </w:tcPr>
          <w:p>
            <w:pPr>
              <w:pStyle w:val="TableText"/>
            </w:pPr>
            <w:r>
              <w:t xml:space="preserve">Je nach Thema aus Ereignislage, Konjunktur, Preisänderung oder Kursänderung berechnet und auf den Bereich minus 1 bis plus 1 begrenzt</w:t>
            </w:r>
          </w:p>
        </w:tc>
      </w:tr>
      <w:tr>
        <w:tc>
          <w:tcPr>
            <w:tcW w:w="3102" w:type="dxa"/>
          </w:tcPr>
          <w:p>
            <w:pPr>
              <w:pStyle w:val="TableText"/>
            </w:pPr>
            <w:r>
              <w:t xml:space="preserve">Wirkung (Punkte)</w:t>
            </w:r>
          </w:p>
        </w:tc>
        <w:tc>
          <w:tcPr>
            <w:tcW w:w="3102" w:type="dxa"/>
          </w:tcPr>
          <w:p>
            <w:pPr>
              <w:pStyle w:val="TableText"/>
            </w:pPr>
            <w:r>
              <w:t xml:space="preserve">Gewichtete Stärke eines Themas für die Abteilung</w:t>
            </w:r>
          </w:p>
        </w:tc>
        <w:tc>
          <w:tcPr>
            <w:tcW w:w="3102" w:type="dxa"/>
          </w:tcPr>
          <w:p>
            <w:pPr>
              <w:pStyle w:val="TableText"/>
            </w:pPr>
            <w:r>
              <w:t xml:space="preserve">Unser Anteil innerhalb der Abteilung mal Signal mal 100</w:t>
            </w:r>
          </w:p>
        </w:tc>
      </w:tr>
      <w:tr>
        <w:tc>
          <w:tcPr>
            <w:tcW w:w="3102" w:type="dxa"/>
          </w:tcPr>
          <w:p>
            <w:pPr>
              <w:pStyle w:val="TableText"/>
            </w:pPr>
            <w:r>
              <w:t xml:space="preserve">Punkte je Abteilung</w:t>
            </w:r>
          </w:p>
        </w:tc>
        <w:tc>
          <w:tcPr>
            <w:tcW w:w="3102" w:type="dxa"/>
          </w:tcPr>
          <w:p>
            <w:pPr>
              <w:pStyle w:val="TableText"/>
            </w:pPr>
            <w:r>
              <w:t xml:space="preserve">Gesamtbild einer Abteilung, minus 100 bis plus 100</w:t>
            </w:r>
          </w:p>
        </w:tc>
        <w:tc>
          <w:tcPr>
            <w:tcW w:w="3102" w:type="dxa"/>
          </w:tcPr>
          <w:p>
            <w:pPr>
              <w:pStyle w:val="TableText"/>
            </w:pPr>
            <w:r>
              <w:t xml:space="preserve">Wirkungen je Thema summiert, danach über die Themen der Abteilung gemittelt</w:t>
            </w:r>
          </w:p>
        </w:tc>
      </w:tr>
      <w:tr>
        <w:tc>
          <w:tcPr>
            <w:tcW w:w="3102" w:type="dxa"/>
          </w:tcPr>
          <w:p>
            <w:pPr>
              <w:pStyle w:val="TableText"/>
            </w:pPr>
            <w:r>
              <w:t xml:space="preserve">Lage des Landes</w:t>
            </w:r>
          </w:p>
        </w:tc>
        <w:tc>
          <w:tcPr>
            <w:tcW w:w="3102" w:type="dxa"/>
          </w:tcPr>
          <w:p>
            <w:pPr>
              <w:pStyle w:val="TableText"/>
            </w:pPr>
            <w:r>
              <w:t xml:space="preserve">Zustand eines Landes</w:t>
            </w:r>
          </w:p>
        </w:tc>
        <w:tc>
          <w:tcPr>
            <w:tcW w:w="3102" w:type="dxa"/>
          </w:tcPr>
          <w:p>
            <w:pPr>
              <w:pStyle w:val="TableText"/>
            </w:pPr>
            <w:r>
              <w:t xml:space="preserve">Durchschnitt aus Ereignissignal und Konjunktursignal</w:t>
            </w:r>
          </w:p>
        </w:tc>
      </w:tr>
      <w:tr>
        <w:tc>
          <w:tcPr>
            <w:tcW w:w="3102" w:type="dxa"/>
          </w:tcPr>
          <w:p>
            <w:pPr>
              <w:pStyle w:val="TableText"/>
            </w:pPr>
            <w:r>
              <w:t xml:space="preserve">Ereignissignal</w:t>
            </w:r>
          </w:p>
        </w:tc>
        <w:tc>
          <w:tcPr>
            <w:tcW w:w="3102" w:type="dxa"/>
          </w:tcPr>
          <w:p>
            <w:pPr>
              <w:pStyle w:val="TableText"/>
            </w:pPr>
            <w:r>
              <w:t xml:space="preserve">Nachrichtenlage eines Landes</w:t>
            </w:r>
          </w:p>
        </w:tc>
        <w:tc>
          <w:tcPr>
            <w:tcW w:w="3102" w:type="dxa"/>
          </w:tcPr>
          <w:p>
            <w:pPr>
              <w:pStyle w:val="TableText"/>
            </w:pPr>
            <w:r>
              <w:t xml:space="preserve">Letzte drei Tage gegen die 27 Tage davor: Veränderung von Stimmung und Konfliktanteil, Abzug bei Konfliktanteil über 25 Prozent; erst ab 20 Ereignissen</w:t>
            </w:r>
          </w:p>
        </w:tc>
      </w:tr>
      <w:tr>
        <w:tc>
          <w:tcPr>
            <w:tcW w:w="3102" w:type="dxa"/>
          </w:tcPr>
          <w:p>
            <w:pPr>
              <w:pStyle w:val="TableText"/>
            </w:pPr>
            <w:r>
              <w:t xml:space="preserve">Konjunktursignal</w:t>
            </w:r>
          </w:p>
        </w:tc>
        <w:tc>
          <w:tcPr>
            <w:tcW w:w="3102" w:type="dxa"/>
          </w:tcPr>
          <w:p>
            <w:pPr>
              <w:pStyle w:val="TableText"/>
            </w:pPr>
            <w:r>
              <w:t xml:space="preserve">Wirtschaftslage eines Landes</w:t>
            </w:r>
          </w:p>
        </w:tc>
        <w:tc>
          <w:tcPr>
            <w:tcW w:w="3102" w:type="dxa"/>
          </w:tcPr>
          <w:p>
            <w:pPr>
              <w:pStyle w:val="TableText"/>
            </w:pPr>
            <w:r>
              <w:t xml:space="preserve">Industrieproduktion gegenüber Vorjahr und IMF-Wachstumsprognose, Durchschnitt der vorhandenen Werte</w:t>
            </w:r>
          </w:p>
        </w:tc>
      </w:tr>
      <w:tr>
        <w:tc>
          <w:tcPr>
            <w:tcW w:w="3102" w:type="dxa"/>
          </w:tcPr>
          <w:p>
            <w:pPr>
              <w:pStyle w:val="TableText"/>
            </w:pPr>
            <w:r>
              <w:t xml:space="preserve">Konfliktanteil</w:t>
            </w:r>
          </w:p>
        </w:tc>
        <w:tc>
          <w:tcPr>
            <w:tcW w:w="3102" w:type="dxa"/>
          </w:tcPr>
          <w:p>
            <w:pPr>
              <w:pStyle w:val="TableText"/>
            </w:pPr>
            <w:r>
              <w:t xml:space="preserve">Anteil Konfliktmeldungen</w:t>
            </w:r>
          </w:p>
        </w:tc>
        <w:tc>
          <w:tcPr>
            <w:tcW w:w="3102" w:type="dxa"/>
          </w:tcPr>
          <w:p>
            <w:pPr>
              <w:pStyle w:val="TableText"/>
            </w:pPr>
            <w:r>
              <w:t xml:space="preserve">Konfliktereignisse geteilt durch alle erkannten Ereignisse des Landes</w:t>
            </w:r>
          </w:p>
        </w:tc>
      </w:tr>
      <w:tr>
        <w:tc>
          <w:tcPr>
            <w:tcW w:w="3102" w:type="dxa"/>
          </w:tcPr>
          <w:p>
            <w:pPr>
              <w:pStyle w:val="TableText"/>
            </w:pPr>
            <w:r>
              <w:t xml:space="preserve">Nettoposition Währung</w:t>
            </w:r>
          </w:p>
        </w:tc>
        <w:tc>
          <w:tcPr>
            <w:tcW w:w="3102" w:type="dxa"/>
          </w:tcPr>
          <w:p>
            <w:pPr>
              <w:pStyle w:val="TableText"/>
            </w:pPr>
            <w:r>
              <w:t xml:space="preserve">Währungsrisiko in CHF</w:t>
            </w:r>
          </w:p>
        </w:tc>
        <w:tc>
          <w:tcPr>
            <w:tcW w:w="3102" w:type="dxa"/>
          </w:tcPr>
          <w:p>
            <w:pPr>
              <w:pStyle w:val="TableText"/>
            </w:pPr>
            <w:r>
              <w:t xml:space="preserve">Verkauf in der Währung minus Einkauf in der Währung, 12 Monate</w:t>
            </w:r>
          </w:p>
        </w:tc>
      </w:tr>
      <w:tr>
        <w:tc>
          <w:tcPr>
            <w:tcW w:w="3102" w:type="dxa"/>
          </w:tcPr>
          <w:p>
            <w:pPr>
              <w:pStyle w:val="TableText"/>
            </w:pPr>
            <w:r>
              <w:t xml:space="preserve">Kursbewegung 90 Tage</w:t>
            </w:r>
          </w:p>
        </w:tc>
        <w:tc>
          <w:tcPr>
            <w:tcW w:w="3102" w:type="dxa"/>
          </w:tcPr>
          <w:p>
            <w:pPr>
              <w:pStyle w:val="TableText"/>
            </w:pPr>
            <w:r>
              <w:t xml:space="preserve">Veränderung des Kurses gegen CHF</w:t>
            </w:r>
          </w:p>
        </w:tc>
        <w:tc>
          <w:tcPr>
            <w:tcW w:w="3102" w:type="dxa"/>
          </w:tcPr>
          <w:p>
            <w:pPr>
              <w:pStyle w:val="TableText"/>
            </w:pPr>
            <w:r>
              <w:t xml:space="preserve">Heutiger EZB-Referenzkurs gegen den Kurs vor 90 Tagen, in Prozent</w:t>
            </w:r>
          </w:p>
        </w:tc>
      </w:tr>
      <w:tr>
        <w:tc>
          <w:tcPr>
            <w:tcW w:w="3102" w:type="dxa"/>
          </w:tcPr>
          <w:p>
            <w:pPr>
              <w:pStyle w:val="TableText"/>
            </w:pPr>
            <w:r>
              <w:t xml:space="preserve">Finanzstress-Index</w:t>
            </w:r>
          </w:p>
        </w:tc>
        <w:tc>
          <w:tcPr>
            <w:tcW w:w="3102" w:type="dxa"/>
          </w:tcPr>
          <w:p>
            <w:pPr>
              <w:pStyle w:val="TableText"/>
            </w:pPr>
            <w:r>
              <w:t xml:space="preserve">Spannung an den Finanzmärkten</w:t>
            </w:r>
          </w:p>
        </w:tc>
        <w:tc>
          <w:tcPr>
            <w:tcW w:w="3102" w:type="dxa"/>
          </w:tcPr>
          <w:p>
            <w:pPr>
              <w:pStyle w:val="TableText"/>
            </w:pPr>
            <w:r>
              <w:t xml:space="preserve">Wöchentlicher Index der US-Notenbank St. Louis (FRED); 0 normal, über 1 angespannt</w:t>
            </w:r>
          </w:p>
        </w:tc>
      </w:tr>
      <w:tr>
        <w:tc>
          <w:tcPr>
            <w:tcW w:w="3102" w:type="dxa"/>
          </w:tcPr>
          <w:p>
            <w:pPr>
              <w:pStyle w:val="TableText"/>
            </w:pPr>
            <w:r>
              <w:t xml:space="preserve">Offene Bestellungen</w:t>
            </w:r>
          </w:p>
        </w:tc>
        <w:tc>
          <w:tcPr>
            <w:tcW w:w="3102" w:type="dxa"/>
          </w:tcPr>
          <w:p>
            <w:pPr>
              <w:pStyle w:val="TableText"/>
            </w:pPr>
            <w:r>
              <w:t xml:space="preserve">Noch nicht gelieferter Teil der Einkaufsbestellungen</w:t>
            </w:r>
          </w:p>
        </w:tc>
        <w:tc>
          <w:tcPr>
            <w:tcW w:w="3102" w:type="dxa"/>
          </w:tcPr>
          <w:p>
            <w:pPr>
              <w:pStyle w:val="TableText"/>
            </w:pPr>
            <w:r>
              <w:t xml:space="preserve">Offene Menge mal Stückpreis, ohne bereits als geliefert gekennzeichnete Positionen</w:t>
            </w:r>
          </w:p>
        </w:tc>
      </w:tr>
    </w:tbl>
    <w:p>
      <w:pPr>
        <w:spacing w:before="0" w:after="80"/>
      </w:pPr>
    </w:p>
    <w:p>
      <w:r>
        <w:br w:type="page"/>
      </w:r>
    </w:p>
    <w:p>
      <w:pPr>
        <w:pStyle w:val="Heading1"/>
      </w:pPr>
      <w:r>
        <w:t xml:space="preserve">Netzwerk und IT-Infrastruktur</w:t>
      </w:r>
    </w:p>
    <w:p>
      <w:r>
        <w:t xml:space="preserve">Das Modul Netzwerk beantwortet aus Sicht von Geschäftsleitung und IT-Leitung drei Fragen: Sind die Systeme, von denen das Cockpit lebt, erreichbar (Verfügbarkeit und Risiko)? Welche Geräte im Unternehmen sind veraltet oder verlieren bald den Herstellersupport (Lebenszyklus und Kosten der Migration)? Und wo gibt es sicherheitsrelevante Auffälligkeiten? Es liegt im Menü unter </w:t>
      </w:r>
      <w:r>
        <w:rPr>
          <w:b/>
        </w:rPr>
        <w:t xml:space="preserve">Netzwerk</w:t>
      </w:r>
      <w:r>
        <w:t xml:space="preserve"> mit zwölf Unterseiten und ist für alle sichtbar. Hauptnutzer sind IT-Leitung, Netzwerktechniker und Geschäftsleitung.</w:t>
      </w:r>
    </w:p>
    <w:p>
      <w:r>
        <w:t xml:space="preserve">Die Daten werden nur lesend erhoben. Der Server prüft alle fünf Minuten eine feste Liste bekannter Ziele (SAP, HANA-Datenbanken, SharePoint, Microsoft 365, EZB und weitere), ohne Anmeldedaten und nur im Produktivbetrieb. Aus dem Active Directory werden ausschliesslich Computerkonten gelesen, keine Personen, keine Passwörter und keine Schlüssel. Die AD-Auswertung ist freigegeben und eingeschaltet; ist sie ausgeschaltet, zeigen die betroffenen Seiten einen entsprechenden Hinweis. Der Verlauf beginnt erst mit dem Start der Prüfung; Kurven über die Zeit erscheinen ab dem zweiten Tagesschnappschuss. Nicht möglich und bewusst nicht gebaut sind Firewall-Logs („wer spricht mit wem“), DHCP-Geräte ohne AD-Konto und Konten von Ausgetretenen; dafür bräuchte es die Freigabe von IT und Datenschutz.</w:t>
      </w:r>
    </w:p>
    <w:p>
      <w:r>
        <w:t xml:space="preserve">Für die Geschäftsleitung am wichtigsten sind die Seiten Migration, Bericht, Verfügbarkeit und Netz oder Daten. Die übrigen Seiten sind kurz beschrieben und richten sich an die IT.</w:t>
      </w:r>
    </w:p>
    <w:p>
      <w:pPr>
        <w:pStyle w:val="Heading2"/>
      </w:pPr>
      <w:r>
        <w:t xml:space="preserve">Übersicht</w:t>
      </w:r>
    </w:p>
    <w:p>
      <w:pPr>
        <w:pStyle w:val="Heading3"/>
      </w:pPr>
      <w:r>
        <w:t xml:space="preserve">Wozu</w:t>
      </w:r>
    </w:p>
    <w:p>
      <w:r>
        <w:t xml:space="preserve">Die Seite zeigt in einem Bild, ob die für das Cockpit wichtigen Systeme gerade erreichbar sind und wie schnell sie antworten. Sie ist der Einstieg, um bei einer Störungsmeldung in Sekunden zu sehen, ob das Netz oder eine Quelle betroffen ist.</w:t>
      </w:r>
    </w:p>
    <w:p>
      <w:pPr>
        <w:pStyle w:val="Heading3"/>
      </w:pPr>
      <w:r>
        <w:t xml:space="preserve">Was man sieht</w:t>
      </w:r>
    </w:p>
    <w:p>
      <w:r>
        <w:t xml:space="preserve">Oben vier Kennzahlen: Anzahl erreichbarer Ziele, mittlere Antwortzeit der letzten 24 Stunden, Zeitpunkt der letzten Prüfung und Beginn des Verlaufs. Darunter eine Netzkarte mit dem Cockpit-Server in der Mitte und den Zielen im Kreis. Grüne Linien bedeuten erreichbar, gelbe langsam (Antwort über 500 Millisekunden), rot gestrichelte nicht erreichbar. Bewegte Punkte laufen, solange ein Ziel antwortet. Rechts steht die Zielliste mit Verlaufslinie der Antwortzeit und Verfügbarkeit der letzten 24 Stunden in Prozent. Die Seite liest jede Minute neu.</w:t>
      </w:r>
    </w:p>
    <w:p>
      <w:pPr>
        <w:pStyle w:val="Heading3"/>
      </w:pPr>
      <w:r>
        <w:t xml:space="preserve">Wie gerechnet wird</w:t>
      </w:r>
    </w:p>
    <w:p>
      <w:r>
        <w:t xml:space="preserve">Die Verfügbarkeit ist der Anteil erfolgreicher Prüfungen an allen Prüfungen der letzten 24 Stunden. Die mittlere Antwortzeit ist der Durchschnitt der Antwortzeiten aller Ziele.</w:t>
      </w:r>
    </w:p>
    <w:p>
      <w:pPr>
        <w:pStyle w:val="Heading3"/>
      </w:pPr>
      <w:r>
        <w:t xml:space="preserve">Einsatz im Arbeitsalltag</w:t>
      </w:r>
    </w:p>
    <w:p>
      <w:pPr>
        <w:pStyle w:val="ListBullet"/>
        <w:numPr>
          <w:ilvl w:val="0"/>
          <w:numId w:val="1"/>
        </w:numPr>
      </w:pPr>
      <w:r>
        <w:rPr>
          <w:b/>
        </w:rPr>
        <w:t xml:space="preserve">IT-Leitung:</w:t>
      </w:r>
      <w:r>
        <w:t xml:space="preserve"> Bei einer Meldung „SAP ist langsam“ zuerst die Karte öffnen.</w:t>
      </w:r>
    </w:p>
    <w:p>
      <w:pPr>
        <w:pStyle w:val="ListBullet"/>
        <w:numPr>
          <w:ilvl w:val="0"/>
          <w:numId w:val="1"/>
        </w:numPr>
      </w:pPr>
      <w:r>
        <w:rPr>
          <w:b/>
        </w:rPr>
        <w:t xml:space="preserve">Geschäftsleitung:</w:t>
      </w:r>
      <w:r>
        <w:t xml:space="preserve"> Ein Blick genügt, um zu sehen, ob alle Ziele grün sind.</w:t>
      </w:r>
    </w:p>
    <w:p>
      <w:pPr>
        <w:pStyle w:val="Heading3"/>
      </w:pPr>
      <w:r>
        <w:t xml:space="preserve">Grenzen und Fallstricke</w:t>
      </w:r>
    </w:p>
    <w:p>
      <w:r>
        <w:t xml:space="preserve">SAP wird nur über einen öffentlichen Ping ohne Anmeldung geprüft, HANA nur über den Verbindungsaufbau auf dem Datenbankport. Erreichbar heisst nicht, dass Anmeldung und Daten funktionieren.</w:t>
      </w:r>
    </w:p>
    <w:p>
      <w:pPr>
        <w:pStyle w:val="Heading2"/>
      </w:pPr>
      <w:r>
        <w:t xml:space="preserve">Verfügbarkeit</w:t>
      </w:r>
    </w:p>
    <w:p>
      <w:pPr>
        <w:pStyle w:val="Heading3"/>
      </w:pPr>
      <w:r>
        <w:t xml:space="preserve">Wozu</w:t>
      </w:r>
    </w:p>
    <w:p>
      <w:r>
        <w:t xml:space="preserve">Die Seite zeigt, wie zuverlässig die Systeme über die Woche waren, und warnt, wenn SAP langsam wird, bevor es ausfällt. Sie ist die Grundlage für Gespräche über Servicequalität und für die Frage, wie gross das Ausfallrisiko ist.</w:t>
      </w:r>
    </w:p>
    <w:p>
      <w:pPr>
        <w:pStyle w:val="Heading3"/>
      </w:pPr>
      <w:r>
        <w:t xml:space="preserve">Was man sieht</w:t>
      </w:r>
    </w:p>
    <w:p>
      <w:r>
        <w:t xml:space="preserve">Eine Heatmap der letzten 7 Tage: je Ziel eine Reihe, jedes Feld eine Stunde. Grün bedeutet alle Prüfungen erfolgreich, rot keine, gelb teilweise, grau noch nicht geprüft. Rechts steht die Verfügbarkeit der letzten 24 Stunden. Darunter die SAP-Frühwarnung der letzten 30 Tage: eine Linie für die Antwortzeit des SAP-Pings je Tag und Balken für Warnungen und Fehler der SAP-Abrufe des Cockpits (Einkauf, HR, Logistik, Journal).</w:t>
      </w:r>
    </w:p>
    <w:p>
      <w:pPr>
        <w:pStyle w:val="Heading3"/>
      </w:pPr>
      <w:r>
        <w:t xml:space="preserve">Wie gerechnet wird</w:t>
      </w:r>
    </w:p>
    <w:p>
      <w:r>
        <w:t xml:space="preserve">Je Feld der Anteil erfolgreicher Prüfungen in dieser Stunde. Die Frühwarnung stellt Antwortzeit und Anzahl Probleme der SAP-Abrufe je Tag nebeneinander. Steigen beide, wird SAP langsam, bevor es steht.</w:t>
      </w:r>
    </w:p>
    <w:p>
      <w:pPr>
        <w:pStyle w:val="Heading3"/>
      </w:pPr>
      <w:r>
        <w:t xml:space="preserve">Einsatz im Arbeitsalltag</w:t>
      </w:r>
    </w:p>
    <w:p>
      <w:pPr>
        <w:pStyle w:val="ListBullet"/>
        <w:numPr>
          <w:ilvl w:val="0"/>
          <w:numId w:val="1"/>
        </w:numPr>
      </w:pPr>
      <w:r>
        <w:rPr>
          <w:b/>
        </w:rPr>
        <w:t xml:space="preserve">IT-Leitung:</w:t>
      </w:r>
      <w:r>
        <w:t xml:space="preserve"> Rote Streifen zur gleichen Uhrzeit an mehreren Tagen deuten auf geplante Wartungen oder wiederkehrende Probleme hin.</w:t>
      </w:r>
    </w:p>
    <w:p>
      <w:pPr>
        <w:pStyle w:val="ListBullet"/>
        <w:numPr>
          <w:ilvl w:val="0"/>
          <w:numId w:val="1"/>
        </w:numPr>
      </w:pPr>
      <w:r>
        <w:rPr>
          <w:b/>
        </w:rPr>
        <w:t xml:space="preserve">Geschäftsleitung:</w:t>
      </w:r>
      <w:r>
        <w:t xml:space="preserve"> Als Beleg gegenüber einem Dienstleister oder für Service-Level-Gespräche.</w:t>
      </w:r>
    </w:p>
    <w:p>
      <w:pPr>
        <w:pStyle w:val="ListBullet"/>
        <w:numPr>
          <w:ilvl w:val="0"/>
          <w:numId w:val="1"/>
        </w:numPr>
      </w:pPr>
      <w:r>
        <w:rPr>
          <w:b/>
        </w:rPr>
        <w:t xml:space="preserve">Controller und Einkauf:</w:t>
      </w:r>
      <w:r>
        <w:t xml:space="preserve"> Bei auffällig vielen SAP-Fehlern prüfen, ob Exportzahlen vorübergehend unvollständig sein können.</w:t>
      </w:r>
    </w:p>
    <w:p>
      <w:pPr>
        <w:pStyle w:val="Heading3"/>
      </w:pPr>
      <w:r>
        <w:t xml:space="preserve">Grenzen und Fallstricke</w:t>
      </w:r>
    </w:p>
    <w:p>
      <w:r>
        <w:t xml:space="preserve">Die Prüfung läuft alle fünf Minuten; kürzere Ausfälle werden nicht erfasst. Aussagekräftig ist die Seite erst nach einigen Tagen Laufzeit. Die Verfügbarkeit gilt für die Sicht des Cockpit-Servers, nicht für alle Arbeitsplätze.</w:t>
      </w:r>
    </w:p>
    <w:p>
      <w:pPr>
        <w:pStyle w:val="Heading2"/>
      </w:pPr>
      <w:r>
        <w:t xml:space="preserve">Netz oder Daten</w:t>
      </w:r>
    </w:p>
    <w:p>
      <w:pPr>
        <w:pStyle w:val="Heading3"/>
      </w:pPr>
      <w:r>
        <w:t xml:space="preserve">Wozu</w:t>
      </w:r>
    </w:p>
    <w:p>
      <w:r>
        <w:t xml:space="preserve">Wenn ein Datenexport eines Standorts fehlschlägt, soll die Seite zeigen, ob das Netz schuld ist oder die Daten beziehungsweise die Quelle. Sie ordnet ausserdem die Standorte nach ihrer Bedeutung für das Geschäft, damit klar wird, wo ein Ausfall am meisten kostet.</w:t>
      </w:r>
    </w:p>
    <w:p>
      <w:pPr>
        <w:pStyle w:val="Heading3"/>
      </w:pPr>
      <w:r>
        <w:t xml:space="preserve">Was man sieht</w:t>
      </w:r>
    </w:p>
    <w:p>
      <w:r>
        <w:t xml:space="preserve">Kennzahlen: Anzahl Exportläufe seit Juni, davon fehlgeschlagen, davon Ursache Netz und Ursache Daten oder Quelle. Eine Zeitachse zeigt je Standort jeden Lauf als Punkt. Darunter die Liste der Standorte nach Kritikalität mit Umsatz 2025 in CHF, Abhängigkeit, Exportfehlern und Verfügbarkeit des Ziels, sowie die letzten Fehler im Wortlaut.</w:t>
      </w:r>
    </w:p>
    <w:p>
      <w:pPr>
        <w:pStyle w:val="Heading3"/>
      </w:pPr>
      <w:r>
        <w:t xml:space="preserve">Wie gerechnet wird</w:t>
      </w:r>
    </w:p>
    <w:p>
      <w:r>
        <w:t xml:space="preserve">Ein Fehler gilt als „Netz“, wenn die Fehlermeldung auf Verbindung, SSL oder Zeitüberschreitung hindeutet oder das Ziel rund 15 Minuten vor oder nach dem Lauf nicht erreichbar war. Alles andere gilt als „Daten oder Quelle“. Die Kritikalität ist nach dem Umsatz 2025 des Standorts in CHF sortiert, umgerechnet zum Kurs vom 31.12.2025.</w:t>
      </w:r>
    </w:p>
    <w:p>
      <w:pPr>
        <w:pStyle w:val="Heading3"/>
      </w:pPr>
      <w:r>
        <w:t xml:space="preserve">Einsatz im Arbeitsalltag</w:t>
      </w:r>
    </w:p>
    <w:p>
      <w:pPr>
        <w:pStyle w:val="ListBullet"/>
        <w:numPr>
          <w:ilvl w:val="0"/>
          <w:numId w:val="1"/>
        </w:numPr>
      </w:pPr>
      <w:r>
        <w:rPr>
          <w:b/>
        </w:rPr>
        <w:t xml:space="preserve">Controller:</w:t>
      </w:r>
      <w:r>
        <w:t xml:space="preserve"> Fehlt die Zahl eines Standorts im Konzernbericht, sieht man, ob erneut exportiert werden muss oder die Quelle repariert werden muss.</w:t>
      </w:r>
    </w:p>
    <w:p>
      <w:pPr>
        <w:pStyle w:val="ListBullet"/>
        <w:numPr>
          <w:ilvl w:val="0"/>
          <w:numId w:val="1"/>
        </w:numPr>
      </w:pPr>
      <w:r>
        <w:rPr>
          <w:b/>
        </w:rPr>
        <w:t xml:space="preserve">IT-Leitung:</w:t>
      </w:r>
      <w:r>
        <w:t xml:space="preserve"> Wiederkehrende Netzfehler bei einem umsatzstarken Standort rechtfertigen eine bessere Anbindung.</w:t>
      </w:r>
    </w:p>
    <w:p>
      <w:pPr>
        <w:pStyle w:val="ListBullet"/>
        <w:numPr>
          <w:ilvl w:val="0"/>
          <w:numId w:val="1"/>
        </w:numPr>
      </w:pPr>
      <w:r>
        <w:rPr>
          <w:b/>
        </w:rPr>
        <w:t xml:space="preserve">Geschäftsleitung:</w:t>
      </w:r>
      <w:r>
        <w:t xml:space="preserve"> Zeigt, welche Standorte technisch am verwundbarsten und wirtschaftlich am wichtigsten sind.</w:t>
      </w:r>
    </w:p>
    <w:p>
      <w:pPr>
        <w:pStyle w:val="Heading3"/>
      </w:pPr>
      <w:r>
        <w:t xml:space="preserve">Grenzen und Fallstricke</w:t>
      </w:r>
    </w:p>
    <w:p>
      <w:r>
        <w:t xml:space="preserve">Die Einordnung ist eine Faustregel nach Meldungstext und Zeitnähe, kein Beweis. Erreichbarkeitsprüfungen gibt es erst seit dem Start der Netzwerkprüfung; ältere Läufe werden nur nach dem Meldungstext eingeordnet. Standorte ohne Kurs für die Umrechnung werden lieber weggelassen als falsch gerechnet.</w:t>
      </w:r>
    </w:p>
    <w:p>
      <w:pPr>
        <w:pStyle w:val="Heading2"/>
      </w:pPr>
      <w:r>
        <w:t xml:space="preserve">Sicherheit</w:t>
      </w:r>
    </w:p>
    <w:p>
      <w:pPr>
        <w:pStyle w:val="Heading3"/>
      </w:pPr>
      <w:r>
        <w:t xml:space="preserve">Wozu</w:t>
      </w:r>
    </w:p>
    <w:p>
      <w:r>
        <w:t xml:space="preserve">Die Seite macht Sicherheitsrisiken sichtbar, die ohne Fachwissen verständlich sind: ablaufende Zertifikate, unverschlüsselte Verbindungen und veraltete oder verwaiste Computerkonten.</w:t>
      </w:r>
    </w:p>
    <w:p>
      <w:pPr>
        <w:pStyle w:val="Heading3"/>
      </w:pPr>
      <w:r>
        <w:t xml:space="preserve">Was man sieht</w:t>
      </w:r>
    </w:p>
    <w:p>
      <w:r>
        <w:t xml:space="preserve">Zertifikate als Balken mit Restlaufzeit (rot unter 30, gelb unter 90 Tagen), eine Tabelle zu DNS-Auflösung und Verschlüsselung je Ziel mit einer Warnung, wenn das SAP-Gateway über HTTP ohne Verschlüsselung angesprochen wird, sowie Kennzahlen zu den AD-Computerkonten (Anzahl, deaktiviert, aktiv aber seit 90 Tagen ohne Anmeldung). Ein Hinweis nennt, was noch nicht möglich ist.</w:t>
      </w:r>
    </w:p>
    <w:p>
      <w:pPr>
        <w:pStyle w:val="Heading3"/>
      </w:pPr>
      <w:r>
        <w:t xml:space="preserve">Wie gerechnet wird</w:t>
      </w:r>
    </w:p>
    <w:p>
      <w:r>
        <w:t xml:space="preserve">Die Restlaufzeit wird aus dem Zertifikat beim letzten Verbindungsaufbau gelesen. Die Warnung zum SAP-Gateway beruht darauf, dass die Verbindung ohne Verschlüsselung aufgebaut wird; Benutzer und Passwort der Abrufe laufen dann unverschlüsselt durch das interne Netz.</w:t>
      </w:r>
    </w:p>
    <w:p>
      <w:pPr>
        <w:pStyle w:val="Heading3"/>
      </w:pPr>
      <w:r>
        <w:t xml:space="preserve">Einsatz im Arbeitsalltag</w:t>
      </w:r>
    </w:p>
    <w:p>
      <w:pPr>
        <w:pStyle w:val="ListBullet"/>
        <w:numPr>
          <w:ilvl w:val="0"/>
          <w:numId w:val="1"/>
        </w:numPr>
      </w:pPr>
      <w:r>
        <w:rPr>
          <w:b/>
        </w:rPr>
        <w:t xml:space="preserve">IT-Leitung:</w:t>
      </w:r>
      <w:r>
        <w:t xml:space="preserve"> Zertifikate rechtzeitig erneuern lassen, die Warnung zum SAP-Gateway in die Planung aufnehmen.</w:t>
      </w:r>
    </w:p>
    <w:p>
      <w:pPr>
        <w:pStyle w:val="ListBullet"/>
        <w:numPr>
          <w:ilvl w:val="0"/>
          <w:numId w:val="1"/>
        </w:numPr>
      </w:pPr>
      <w:r>
        <w:rPr>
          <w:b/>
        </w:rPr>
        <w:t xml:space="preserve">Geschäftsleitung:</w:t>
      </w:r>
      <w:r>
        <w:t xml:space="preserve"> Als Risikoübersicht für Audits.</w:t>
      </w:r>
    </w:p>
    <w:p>
      <w:pPr>
        <w:pStyle w:val="Heading3"/>
      </w:pPr>
      <w:r>
        <w:t xml:space="preserve">Grenzen und Fallstricke</w:t>
      </w:r>
    </w:p>
    <w:p>
      <w:r>
        <w:t xml:space="preserve">HANA und eigene Ziele werden nur per Port geprüft; ob dort verschlüsselt wird, sieht die Prüfung nicht.</w:t>
      </w:r>
    </w:p>
    <w:p>
      <w:pPr>
        <w:pStyle w:val="Heading2"/>
      </w:pPr>
      <w:r>
        <w:t xml:space="preserve">Active Directory</w:t>
      </w:r>
    </w:p>
    <w:p>
      <w:pPr>
        <w:pStyle w:val="Heading3"/>
      </w:pPr>
      <w:r>
        <w:t xml:space="preserve">Wozu</w:t>
      </w:r>
    </w:p>
    <w:p>
      <w:r>
        <w:t xml:space="preserve">Das Active Directory ist das zentrale Verzeichnis, in dem alle Computer der Domäne geführt werden. Die Seite wertet nur die Computerkonten aus, keine Personen. Sie zeigt, wie viele Geräte es gibt, wie alt ihre Betriebssysteme sind und wo aufgeräumt werden sollte.</w:t>
      </w:r>
    </w:p>
    <w:p>
      <w:pPr>
        <w:pStyle w:val="Heading3"/>
      </w:pPr>
      <w:r>
        <w:t xml:space="preserve">Was man sieht</w:t>
      </w:r>
    </w:p>
    <w:p>
      <w:r>
        <w:t xml:space="preserve">Mehrere innere Reiter: eine 3D-Übersicht (je Organisationseinheit ein Turm, Höhe gleich Anzahl Geräte, farbig nach Zustand), Lebenszyklus der Betriebssysteme mit Datum des Supportendes, Aufräumen (aktive Konten ohne Anmeldung seit 90 oder 180 Tagen, nie angemeldete, lange deaktivierte), Sicherheit (Abdeckung der Passwortverwaltung für lokale Administratoren, Verschlüsselung, riskante Delegation), Dienste, Struktur und Subnetze, DNS und Domänencontroller sowie ein Altlasten-Score. Jede Liste lässt sich nach Excel exportieren.</w:t>
      </w:r>
    </w:p>
    <w:p>
      <w:pPr>
        <w:pStyle w:val="Heading3"/>
      </w:pPr>
      <w:r>
        <w:t xml:space="preserve">Wie gerechnet wird</w:t>
      </w:r>
    </w:p>
    <w:p>
      <w:r>
        <w:t xml:space="preserve">Der Altlasten-Score vergibt Punkte je Computer (zum Beispiel Delegation 5, ohne Herstellersupport 3, Support endet in 180 Tagen 2, inaktiv 2, nie angemeldet 1) und summiert sie je Organisationseinheit. Als „aktiv“ gilt ein Konto mit Anmeldung in den letzten 44 Tagen. Wo Daten nicht lesbar sind, steht „nicht lesbar, IT klären“ statt einer Zahl.</w:t>
      </w:r>
    </w:p>
    <w:p>
      <w:pPr>
        <w:pStyle w:val="Heading3"/>
      </w:pPr>
      <w:r>
        <w:t xml:space="preserve">Einsatz im Arbeitsalltag</w:t>
      </w:r>
    </w:p>
    <w:p>
      <w:pPr>
        <w:pStyle w:val="ListBullet"/>
        <w:numPr>
          <w:ilvl w:val="0"/>
          <w:numId w:val="1"/>
        </w:numPr>
      </w:pPr>
      <w:r>
        <w:rPr>
          <w:b/>
        </w:rPr>
        <w:t xml:space="preserve">IT-Leitung:</w:t>
      </w:r>
      <w:r>
        <w:t xml:space="preserve"> Die Organisationseinheiten mit den höchsten Altlasten zuerst bereinigen.</w:t>
      </w:r>
    </w:p>
    <w:p>
      <w:pPr>
        <w:pStyle w:val="ListBullet"/>
        <w:numPr>
          <w:ilvl w:val="0"/>
          <w:numId w:val="1"/>
        </w:numPr>
      </w:pPr>
      <w:r>
        <w:rPr>
          <w:b/>
        </w:rPr>
        <w:t xml:space="preserve">Geschäftsleitung:</w:t>
      </w:r>
      <w:r>
        <w:t xml:space="preserve"> Der Lebenszyklus zeigt, wie viele Geräte ohne Herstellersupport laufen.</w:t>
      </w:r>
    </w:p>
    <w:p>
      <w:pPr>
        <w:pStyle w:val="Heading3"/>
      </w:pPr>
      <w:r>
        <w:t xml:space="preserve">Grenzen und Fallstricke</w:t>
      </w:r>
    </w:p>
    <w:p>
      <w:r>
        <w:t xml:space="preserve">Die Supportdaten stammen aus dem Microsoft-Lifecycle (Stand Oktober 2026) und müssen bei neuen Versionen im Programm nachgetragen werden. Hinweis: nicht geprüft, ob das Serverkonto alle Attribute lesen darf; nicht lesbare Teile werden als solche gezeigt.</w:t>
      </w:r>
    </w:p>
    <w:p>
      <w:pPr>
        <w:pStyle w:val="Heading2"/>
      </w:pPr>
      <w:r>
        <w:t xml:space="preserve">AD-Infrastruktur</w:t>
      </w:r>
    </w:p>
    <w:p>
      <w:pPr>
        <w:pStyle w:val="Heading3"/>
      </w:pPr>
      <w:r>
        <w:t xml:space="preserve">Wozu</w:t>
      </w:r>
    </w:p>
    <w:p>
      <w:r>
        <w:t xml:space="preserve">Die Seite zeigt den Zustand der Verzeichnisinfrastruktur selbst: Domänencontroller, ihre Synchronisation, Standorte, Domänenebene und Zertifizierungsstellen. Ein Ausfall hier würde Anmeldungen im ganzen Unternehmen betreffen.</w:t>
      </w:r>
    </w:p>
    <w:p>
      <w:pPr>
        <w:pStyle w:val="Heading3"/>
      </w:pPr>
      <w:r>
        <w:t xml:space="preserve">Was man sieht</w:t>
      </w:r>
    </w:p>
    <w:p>
      <w:r>
        <w:t xml:space="preserve">Ein Replikationsnetz der Domänencontroller (gelb ab 24 Stunden ohne Abgleich, rot bei Fehler), Standorte mit Subnetzen und Verbindungen, Kennzahlen der Domäne (zum Beispiel Alter des Passworts des Schlüsselkontos), Zertifizierungsstellen sowie die Gerätelandkarte mit einer Blase je Standort nach Zahl aktiver Computer.</w:t>
      </w:r>
    </w:p>
    <w:p>
      <w:pPr>
        <w:pStyle w:val="Heading3"/>
      </w:pPr>
      <w:r>
        <w:t xml:space="preserve">Einsatz im Arbeitsalltag</w:t>
      </w:r>
    </w:p>
    <w:p>
      <w:pPr>
        <w:pStyle w:val="ListBullet"/>
        <w:numPr>
          <w:ilvl w:val="0"/>
          <w:numId w:val="1"/>
        </w:numPr>
      </w:pPr>
      <w:r>
        <w:rPr>
          <w:b/>
        </w:rPr>
        <w:t xml:space="preserve">IT-Leitung:</w:t>
      </w:r>
      <w:r>
        <w:t xml:space="preserve"> Prüfen, ob alle Domänencontroller abgleichen und ob Standorte ohne Domänencontroller auskommen.</w:t>
      </w:r>
    </w:p>
    <w:p>
      <w:pPr>
        <w:pStyle w:val="ListBullet"/>
        <w:numPr>
          <w:ilvl w:val="0"/>
          <w:numId w:val="1"/>
        </w:numPr>
      </w:pPr>
      <w:r>
        <w:rPr>
          <w:b/>
        </w:rPr>
        <w:t xml:space="preserve">Geschäftsleitung:</w:t>
      </w:r>
      <w:r>
        <w:t xml:space="preserve"> Die Gerätelandkarte zeigt, wo die IT-Last sitzt.</w:t>
      </w:r>
    </w:p>
    <w:p>
      <w:pPr>
        <w:pStyle w:val="Heading2"/>
      </w:pPr>
      <w:r>
        <w:t xml:space="preserve">Gruppenrichtlinien</w:t>
      </w:r>
    </w:p>
    <w:p>
      <w:pPr>
        <w:pStyle w:val="Heading3"/>
      </w:pPr>
      <w:r>
        <w:t xml:space="preserve">Wozu</w:t>
      </w:r>
    </w:p>
    <w:p>
      <w:r>
        <w:t xml:space="preserve">Gruppenrichtlinien steuern zentral Einstellungen auf den Computern. Die Seite zeigt, welche Richtlinien wo wirken und welche unnötig sind.</w:t>
      </w:r>
    </w:p>
    <w:p>
      <w:pPr>
        <w:pStyle w:val="Heading3"/>
      </w:pPr>
      <w:r>
        <w:t xml:space="preserve">Was man sieht</w:t>
      </w:r>
    </w:p>
    <w:p>
      <w:r>
        <w:t xml:space="preserve">Eine Sonnenstrahl-Grafik der Organisationsstruktur (Breite gleich Anzahl Computer, rot bei gesperrter Vererbung) und eine Liste auffälliger Richtlinien: nicht verknüpft, ohne Einstellungen, ganz ausgeschaltet oder mit unterschiedlicher Version im Verzeichnis und im Freigabeordner.</w:t>
      </w:r>
    </w:p>
    <w:p>
      <w:pPr>
        <w:pStyle w:val="Heading3"/>
      </w:pPr>
      <w:r>
        <w:t xml:space="preserve">Einsatz im Arbeitsalltag</w:t>
      </w:r>
    </w:p>
    <w:p>
      <w:pPr>
        <w:pStyle w:val="ListBullet"/>
        <w:numPr>
          <w:ilvl w:val="0"/>
          <w:numId w:val="1"/>
        </w:numPr>
      </w:pPr>
      <w:r>
        <w:rPr>
          <w:b/>
        </w:rPr>
        <w:t xml:space="preserve">IT-Leitung:</w:t>
      </w:r>
      <w:r>
        <w:t xml:space="preserve"> Nicht verknüpfte Richtlinien aufräumen und Versionskonflikte beheben.</w:t>
      </w:r>
    </w:p>
    <w:p>
      <w:pPr>
        <w:pStyle w:val="ListBullet"/>
        <w:numPr>
          <w:ilvl w:val="0"/>
          <w:numId w:val="1"/>
        </w:numPr>
      </w:pPr>
      <w:r>
        <w:rPr>
          <w:b/>
        </w:rPr>
        <w:t xml:space="preserve">Geschäftsleitung:</w:t>
      </w:r>
      <w:r>
        <w:t xml:space="preserve"> Wenig Relevanz, ausser bei Revisionsfragen.</w:t>
      </w:r>
    </w:p>
    <w:p>
      <w:pPr>
        <w:pStyle w:val="Heading2"/>
      </w:pPr>
      <w:r>
        <w:t xml:space="preserve">DNS</w:t>
      </w:r>
    </w:p>
    <w:p>
      <w:pPr>
        <w:pStyle w:val="Heading3"/>
      </w:pPr>
      <w:r>
        <w:t xml:space="preserve">Wozu</w:t>
      </w:r>
    </w:p>
    <w:p>
      <w:r>
        <w:t xml:space="preserve">DNS übersetzt Rechnernamen in Adressen. Veraltete Einträge führen zu Fehlverbindungen. Die Seite zeigt, wie gepflegt die Namensauflösung ist.</w:t>
      </w:r>
    </w:p>
    <w:p>
      <w:pPr>
        <w:pStyle w:val="Heading3"/>
      </w:pPr>
      <w:r>
        <w:t xml:space="preserve">Was man sieht</w:t>
      </w:r>
    </w:p>
    <w:p>
      <w:r>
        <w:t xml:space="preserve">Die im Verzeichnis geführten Zonen, ob die automatische Alterung eingeschaltet ist, Anzahl statischer und dynamischer Einträge, veraltete Einträge und Adressen mit mehreren Namen.</w:t>
      </w:r>
    </w:p>
    <w:p>
      <w:pPr>
        <w:pStyle w:val="Heading3"/>
      </w:pPr>
      <w:r>
        <w:t xml:space="preserve">Einsatz im Arbeitsalltag</w:t>
      </w:r>
    </w:p>
    <w:p>
      <w:pPr>
        <w:pStyle w:val="ListBullet"/>
        <w:numPr>
          <w:ilvl w:val="0"/>
          <w:numId w:val="1"/>
        </w:numPr>
      </w:pPr>
      <w:r>
        <w:rPr>
          <w:b/>
        </w:rPr>
        <w:t xml:space="preserve">IT-Leitung:</w:t>
      </w:r>
      <w:r>
        <w:t xml:space="preserve"> Bei Verbindungsproblemen im Notebook-Netz auf doppelte Adressen prüfen und die Bereinigung veralteter Einträge planen.</w:t>
      </w:r>
    </w:p>
    <w:p>
      <w:pPr>
        <w:pStyle w:val="Heading2"/>
      </w:pPr>
      <w:r>
        <w:t xml:space="preserve">Verlauf</w:t>
      </w:r>
    </w:p>
    <w:p>
      <w:pPr>
        <w:pStyle w:val="Heading3"/>
      </w:pPr>
      <w:r>
        <w:t xml:space="preserve">Wozu</w:t>
      </w:r>
    </w:p>
    <w:p>
      <w:r>
        <w:t xml:space="preserve">Die Seite zeigt die Entwicklung über die Zeit: Was ändert sich im Gerätebestand, und wann läuft welcher Support aus?</w:t>
      </w:r>
    </w:p>
    <w:p>
      <w:pPr>
        <w:pStyle w:val="Heading3"/>
      </w:pPr>
      <w:r>
        <w:t xml:space="preserve">Was man sieht</w:t>
      </w:r>
    </w:p>
    <w:p>
      <w:r>
        <w:t xml:space="preserve">Countdown-Ringe für Produkte, deren Herstellersupport in den nächsten 12 Monaten endet, mit der Zahl aktiver Geräte. Dazu Kennzahlen je Tag als Kurven und eine Liste der Änderungen an Computerkonten der letzten 90 Tage (neu, entfernt, verschoben, deaktiviert, Betriebssystem geändert).</w:t>
      </w:r>
    </w:p>
    <w:p>
      <w:pPr>
        <w:pStyle w:val="Heading3"/>
      </w:pPr>
      <w:r>
        <w:t xml:space="preserve">Wie gerechnet wird</w:t>
      </w:r>
    </w:p>
    <w:p>
      <w:r>
        <w:t xml:space="preserve">Einmal täglich wird ein Schnappschuss der Kennzahlen gespeichert; die Änderungen ergeben sich aus dem Vergleich der Schnappschüsse. Kurven erscheinen ab dem zweiten Tag.</w:t>
      </w:r>
    </w:p>
    <w:p>
      <w:pPr>
        <w:pStyle w:val="Heading3"/>
      </w:pPr>
      <w:r>
        <w:t xml:space="preserve">Einsatz im Arbeitsalltag</w:t>
      </w:r>
    </w:p>
    <w:p>
      <w:pPr>
        <w:pStyle w:val="ListBullet"/>
        <w:numPr>
          <w:ilvl w:val="0"/>
          <w:numId w:val="1"/>
        </w:numPr>
      </w:pPr>
      <w:r>
        <w:rPr>
          <w:b/>
        </w:rPr>
        <w:t xml:space="preserve">IT-Leitung:</w:t>
      </w:r>
      <w:r>
        <w:t xml:space="preserve"> Den Countdown als Terminliste für Ersatzbeschaffungen verwenden und Veränderungen im Bestand nachvollziehen.</w:t>
      </w:r>
    </w:p>
    <w:p>
      <w:pPr>
        <w:pStyle w:val="ListBullet"/>
        <w:numPr>
          <w:ilvl w:val="0"/>
          <w:numId w:val="1"/>
        </w:numPr>
      </w:pPr>
      <w:r>
        <w:rPr>
          <w:b/>
        </w:rPr>
        <w:t xml:space="preserve">Geschäftsleitung:</w:t>
      </w:r>
      <w:r>
        <w:t xml:space="preserve"> Frühwarnung für Investitionen, bevor der Support ausläuft.</w:t>
      </w:r>
    </w:p>
    <w:p>
      <w:pPr>
        <w:pStyle w:val="Heading2"/>
      </w:pPr>
      <w:r>
        <w:t xml:space="preserve">Migration</w:t>
      </w:r>
    </w:p>
    <w:p>
      <w:pPr>
        <w:pStyle w:val="Heading3"/>
      </w:pPr>
      <w:r>
        <w:t xml:space="preserve">Wozu</w:t>
      </w:r>
    </w:p>
    <w:p>
      <w:r>
        <w:t xml:space="preserve">Die Seite ist der Migrationsplaner. Sie zeigt, welche aktiven Geräte ein Betriebssystem nutzen, dessen Herstellersupport abgelaufen ist oder in den nächsten zwei Jahren endet, und wie weit die Ablösung schon fortgeschritten ist. Damit liefert sie die Mengengrundlage für Budget, Beschaffung und Projektplanung der Migration. Sicherheitsrisiko und Kosten hängen direkt an diesen Zahlen: Geräte ohne Support erhalten keine Sicherheitsupdates mehr.</w:t>
      </w:r>
    </w:p>
    <w:p>
      <w:pPr>
        <w:pStyle w:val="Heading3"/>
      </w:pPr>
      <w:r>
        <w:t xml:space="preserve">Was man sieht</w:t>
      </w:r>
    </w:p>
    <w:p>
      <w:r>
        <w:t xml:space="preserve">Fünf Kennzahlen: Geräte zu migrieren (zwei Jahre), Support schon abgelaufen, endet in 30 Tagen, endet in 180 Tagen und Anzahl Wellen. Darunter eine Zeitachse von 12 Monaten zurück bis 24 Monate voraus mit einer Heute-Linie. Jede Blase ist eine Welle, also ein Produkt mit einem Supportende; die Grösse zeigt die Zahl aktiver Geräte. Links der Heute-Linie ist der Support bereits vorbei. Links in der Liste steht je Welle das Produkt, das Datum, die Restdauer oder die Tage seit Ablauf und der Fortschritt. Ein Klick zeigt die Verteilung auf die Organisationseinheiten und die einzelnen Geräte. Ohne Auswahl zeigt die rechte Seite die Wochenkurven je Welle. Eine Excel-Ausgabe der Wellen und Geräte ist vorhanden.</w:t>
      </w:r>
    </w:p>
    <w:p>
      <w:pPr>
        <w:pStyle w:val="Heading3"/>
      </w:pPr>
      <w:r>
        <w:t xml:space="preserve">Wie gerechnet wird</w:t>
      </w:r>
    </w:p>
    <w:p>
      <w:r>
        <w:t xml:space="preserve">Eine Welle sind alle aktiven Geräte desselben Produkts mit demselben Supportende. Als aktiv gilt ein aktiviertes Konto, das nicht seit über 90 Tagen ohne Anmeldung ist. In die Wellen kommen Produkte, deren Supportende bereits vorbei ist oder in den nächsten 730 Tagen liegt. Der Fortschritt einer Welle ist der Rückgang der Geräte gegenüber dem ersten gespeicherten Tagesschnappschuss: Geräte, die seither verschwunden sind, gelten als migriert, ersetzt oder deaktiviert. Die Supportdaten stammen aus dem Microsoft-Lifecycle.</w:t>
      </w:r>
    </w:p>
    <w:p>
      <w:pPr>
        <w:pStyle w:val="Heading3"/>
      </w:pPr>
      <w:r>
        <w:t xml:space="preserve">Einsatz im Arbeitsalltag</w:t>
      </w:r>
    </w:p>
    <w:p>
      <w:pPr>
        <w:pStyle w:val="ListBullet"/>
        <w:numPr>
          <w:ilvl w:val="0"/>
          <w:numId w:val="1"/>
        </w:numPr>
      </w:pPr>
      <w:r>
        <w:rPr>
          <w:b/>
        </w:rPr>
        <w:t xml:space="preserve">IT-Leitung:</w:t>
      </w:r>
      <w:r>
        <w:t xml:space="preserve"> Wellen als Projektplan verwenden: zuerst abgelaufene und bald endende Produkte, die grössten Wellen mit den meisten Geräten früh einplanen.</w:t>
      </w:r>
    </w:p>
    <w:p>
      <w:pPr>
        <w:pStyle w:val="ListBullet"/>
        <w:numPr>
          <w:ilvl w:val="0"/>
          <w:numId w:val="1"/>
        </w:numPr>
      </w:pPr>
      <w:r>
        <w:rPr>
          <w:b/>
        </w:rPr>
        <w:t xml:space="preserve">Geschäftsleitung und Controller:</w:t>
      </w:r>
      <w:r>
        <w:t xml:space="preserve"> Die Zahl der Geräte je Welle multipliziert mit den Kosten pro Ersatz oder Upgrade ergibt das Budget der Migration. Die Seite liefert die Mengen, die Stückkosten kommen nicht aus dem Cockpit.</w:t>
      </w:r>
    </w:p>
    <w:p>
      <w:pPr>
        <w:pStyle w:val="ListBullet"/>
        <w:numPr>
          <w:ilvl w:val="0"/>
          <w:numId w:val="1"/>
        </w:numPr>
      </w:pPr>
      <w:r>
        <w:rPr>
          <w:b/>
        </w:rPr>
        <w:t xml:space="preserve">Risikoverantwortliche:</w:t>
      </w:r>
      <w:r>
        <w:t xml:space="preserve"> Geräte ohne Support in Produktionsnetzen als Risiko in die Risikoliste aufnehmen.</w:t>
      </w:r>
    </w:p>
    <w:p>
      <w:pPr>
        <w:pStyle w:val="Heading3"/>
      </w:pPr>
      <w:r>
        <w:t xml:space="preserve">Grenzen und Fallstricke</w:t>
      </w:r>
    </w:p>
    <w:p>
      <w:pPr>
        <w:pStyle w:val="ListBullet"/>
        <w:numPr>
          <w:ilvl w:val="0"/>
          <w:numId w:val="1"/>
        </w:numPr>
      </w:pPr>
      <w:r>
        <w:t xml:space="preserve">Es werden nur Geräte erfasst, die im Verzeichnis geführt sind und sich angemeldet haben; nicht verbundene Geräte und Geräte ohne Konto fehlen.</w:t>
      </w:r>
    </w:p>
    <w:p>
      <w:pPr>
        <w:pStyle w:val="ListBullet"/>
        <w:numPr>
          <w:ilvl w:val="0"/>
          <w:numId w:val="1"/>
        </w:numPr>
      </w:pPr>
      <w:r>
        <w:t xml:space="preserve">Der Fortschritt vergleicht mit dem ersten Schnappschuss; ein verschwundenes Gerät kann auch deaktiviert statt migriert sein.</w:t>
      </w:r>
    </w:p>
    <w:p>
      <w:pPr>
        <w:pStyle w:val="ListBullet"/>
        <w:numPr>
          <w:ilvl w:val="0"/>
          <w:numId w:val="1"/>
        </w:numPr>
      </w:pPr>
      <w:r>
        <w:t xml:space="preserve">Sonderfälle wie erweiterte Sicherheitsupdates oder Langzeitversionen hängen an der Pflege der Supportdaten im Programm.</w:t>
      </w:r>
    </w:p>
    <w:p>
      <w:pPr>
        <w:pStyle w:val="ListBullet"/>
        <w:numPr>
          <w:ilvl w:val="0"/>
          <w:numId w:val="1"/>
        </w:numPr>
      </w:pPr>
      <w:r>
        <w:t xml:space="preserve">Preise und Aufwand sind nicht enthalten.</w:t>
      </w:r>
    </w:p>
    <w:p>
      <w:pPr>
        <w:pStyle w:val="Heading2"/>
      </w:pPr>
      <w:r>
        <w:t xml:space="preserve">Bericht</w:t>
      </w:r>
    </w:p>
    <w:p>
      <w:pPr>
        <w:pStyle w:val="Heading3"/>
      </w:pPr>
      <w:r>
        <w:t xml:space="preserve">Wozu</w:t>
      </w:r>
    </w:p>
    <w:p>
      <w:r>
        <w:t xml:space="preserve">Der Bericht fasst Netzwerk und Active Directory auf einer Seite in Managementhöhe zusammen, als Wochenbericht mit Kalenderwoche. Er eignet sich für das Wochenmeeting, für Vorgesetzte oder die Dokumentation.</w:t>
      </w:r>
    </w:p>
    <w:p>
      <w:pPr>
        <w:pStyle w:val="Heading3"/>
      </w:pPr>
      <w:r>
        <w:t xml:space="preserve">Was man sieht</w:t>
      </w:r>
    </w:p>
    <w:p>
      <w:r>
        <w:t xml:space="preserve">Ein Knopf „Als PDF drucken“ öffnet den Druckdialog des Browsers (im Querformat), dort wählt man „Als PDF speichern“. Der Bericht enthält: Kennzahlen heute gegen vor sieben Tagen mit Veränderung, Supportende innerhalb von 90 Tagen, Zustand des Active Directory (Domänencontroller, Replikationsfehler, Gruppenrichtlinien, DNS), die fünf Organisationseinheiten mit dem grössten Aufräumbedarf, Änderungen an Computerkonten der Woche, Erreichbarkeit der Ziele in 24 Stunden und Zertifikate mit weniger als 90 Tagen Restlaufzeit.</w:t>
      </w:r>
    </w:p>
    <w:p>
      <w:pPr>
        <w:pStyle w:val="Heading3"/>
      </w:pPr>
      <w:r>
        <w:t xml:space="preserve">Wie gerechnet wird</w:t>
      </w:r>
    </w:p>
    <w:p>
      <w:r>
        <w:t xml:space="preserve">Die Kennzahlen stammen aus den Tagesschnappschüssen; die Veränderung ist der heutige Wert minus der Wert vor sieben Tagen (ohne Vergleich, solange es noch keinen alten Schnappschuss gibt). Die Aufräum-Rangliste nutzt den Altlasten-Score. Der Bericht wird nicht versendet.</w:t>
      </w:r>
    </w:p>
    <w:p>
      <w:pPr>
        <w:pStyle w:val="Heading3"/>
      </w:pPr>
      <w:r>
        <w:t xml:space="preserve">Einsatz im Arbeitsalltag</w:t>
      </w:r>
    </w:p>
    <w:p>
      <w:pPr>
        <w:pStyle w:val="ListBullet"/>
        <w:numPr>
          <w:ilvl w:val="0"/>
          <w:numId w:val="1"/>
        </w:numPr>
      </w:pPr>
      <w:r>
        <w:rPr>
          <w:b/>
        </w:rPr>
        <w:t xml:space="preserve">IT-Leitung:</w:t>
      </w:r>
      <w:r>
        <w:t xml:space="preserve"> Jede Woche als PDF ablegen; ein Bericht nach dem anderen zeigt, ob der Bestand besser oder schlechter wird.</w:t>
      </w:r>
    </w:p>
    <w:p>
      <w:pPr>
        <w:pStyle w:val="ListBullet"/>
        <w:numPr>
          <w:ilvl w:val="0"/>
          <w:numId w:val="1"/>
        </w:numPr>
      </w:pPr>
      <w:r>
        <w:rPr>
          <w:b/>
        </w:rPr>
        <w:t xml:space="preserve">Geschäftsleitung:</w:t>
      </w:r>
      <w:r>
        <w:t xml:space="preserve"> Ein Blick auf die Veränderungen und das nahe Supportende genügt.</w:t>
      </w:r>
    </w:p>
    <w:p>
      <w:pPr>
        <w:pStyle w:val="Heading3"/>
      </w:pPr>
      <w:r>
        <w:t xml:space="preserve">Grenzen und Fallstricke</w:t>
      </w:r>
    </w:p>
    <w:p>
      <w:r>
        <w:t xml:space="preserve">Beim Öffnen werden die Domänencontroller abgefragt; das kann bis zu 15 Sekunden dauern. Ist die AD-Auswertung ausgeschaltet oder nicht lesbar, fehlt der Bericht.</w:t>
      </w:r>
    </w:p>
    <w:p>
      <w:pPr>
        <w:pStyle w:val="Heading2"/>
      </w:pPr>
      <w:r>
        <w:t xml:space="preserve">Arbeitsplätze</w:t>
      </w:r>
    </w:p>
    <w:p>
      <w:pPr>
        <w:pStyle w:val="Heading3"/>
      </w:pPr>
      <w:r>
        <w:t xml:space="preserve">Wozu</w:t>
      </w:r>
    </w:p>
    <w:p>
      <w:r>
        <w:t xml:space="preserve">Die Seite macht schwaches WLAN und Verbindungsprobleme an Arbeitsplätzen sichtbar und lässt eigene Geräte wie Rückmeldeterminals überwachen.</w:t>
      </w:r>
    </w:p>
    <w:p>
      <w:pPr>
        <w:pStyle w:val="Heading3"/>
      </w:pPr>
      <w:r>
        <w:t xml:space="preserve">Was man sieht</w:t>
      </w:r>
    </w:p>
    <w:p>
      <w:r>
        <w:t xml:space="preserve">Verbindungsabbrüche der Browser je Netzbereich (letzte 7 Tage) und nach Tageszeit, eine Tabelle eigener Prüfziele mit optionalem Arbeitsplatz und daneben die letzte Rückmeldung aus Logistik live sowie die im Verzeichnis veröffentlichten Drucker.</w:t>
      </w:r>
    </w:p>
    <w:p>
      <w:pPr>
        <w:pStyle w:val="Heading3"/>
      </w:pPr>
      <w:r>
        <w:t xml:space="preserve">Wie gerechnet wird</w:t>
      </w:r>
    </w:p>
    <w:p>
      <w:r>
        <w:t xml:space="preserve">Gezählt wird, wie oft die Browser-Verbindung zum Cockpit abreisst und sich innerhalb von fünf Minuten wieder aufbaut; ein geschlossener Tab zählt nicht. Viele Abbrüche je Sitzung in einem Bereich deuten auf schwaches WLAN. Gespeichert wird nur der Netzbereich, keine Person und keine volle Adresse.</w:t>
      </w:r>
    </w:p>
    <w:p>
      <w:pPr>
        <w:pStyle w:val="Heading3"/>
      </w:pPr>
      <w:r>
        <w:t xml:space="preserve">Einsatz im Arbeitsalltag</w:t>
      </w:r>
    </w:p>
    <w:p>
      <w:pPr>
        <w:pStyle w:val="ListBullet"/>
        <w:numPr>
          <w:ilvl w:val="0"/>
          <w:numId w:val="1"/>
        </w:numPr>
      </w:pPr>
      <w:r>
        <w:rPr>
          <w:b/>
        </w:rPr>
        <w:t xml:space="preserve">IT-Leitung:</w:t>
      </w:r>
      <w:r>
        <w:t xml:space="preserve"> Bereiche mit vielen Abbrüchen für WLAN-Verbesserungen priorisieren.</w:t>
      </w:r>
    </w:p>
    <w:p>
      <w:pPr>
        <w:pStyle w:val="ListBullet"/>
        <w:numPr>
          <w:ilvl w:val="0"/>
          <w:numId w:val="1"/>
        </w:numPr>
      </w:pPr>
      <w:r>
        <w:rPr>
          <w:b/>
        </w:rPr>
        <w:t xml:space="preserve">Logistik:</w:t>
      </w:r>
      <w:r>
        <w:t xml:space="preserve"> Ist ein Terminal erreichbar, es kommt aber keine Rückmeldung, liegt eher ein Stillstand vor; ist das Terminal nicht erreichbar, eher ein Netzproblem.</w:t>
      </w:r>
    </w:p>
    <w:p>
      <w:pPr>
        <w:pStyle w:val="Heading3"/>
      </w:pPr>
      <w:r>
        <w:t xml:space="preserve">Grenzen und Fallstricke</w:t>
      </w:r>
    </w:p>
    <w:p>
      <w:r>
        <w:t xml:space="preserve">Die Zuordnung Terminal zu Arbeitsplatz ist eine eigene, von Hand geführte Liste; eine vollständige Liste der IT liegt nicht vor.</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Ziele erreichbar</w:t>
            </w:r>
          </w:p>
        </w:tc>
        <w:tc>
          <w:tcPr>
            <w:tcW w:w="3102" w:type="dxa"/>
          </w:tcPr>
          <w:p>
            <w:pPr>
              <w:pStyle w:val="TableText"/>
            </w:pPr>
            <w:r>
              <w:t xml:space="preserve">Anzahl der geprüften Ziele, die zuletzt geantwortet haben</w:t>
            </w:r>
          </w:p>
        </w:tc>
        <w:tc>
          <w:tcPr>
            <w:tcW w:w="3102" w:type="dxa"/>
          </w:tcPr>
          <w:p>
            <w:pPr>
              <w:pStyle w:val="TableText"/>
            </w:pPr>
            <w:r>
              <w:t xml:space="preserve">Ziele mit erfolgreicher letzter Prüfung geteilt durch alle Ziele</w:t>
            </w:r>
          </w:p>
        </w:tc>
      </w:tr>
      <w:tr>
        <w:tc>
          <w:tcPr>
            <w:tcW w:w="3102" w:type="dxa"/>
          </w:tcPr>
          <w:p>
            <w:pPr>
              <w:pStyle w:val="TableText"/>
            </w:pPr>
            <w:r>
              <w:t xml:space="preserve">Verfügbarkeit 24 Stunden</w:t>
            </w:r>
          </w:p>
        </w:tc>
        <w:tc>
          <w:tcPr>
            <w:tcW w:w="3102" w:type="dxa"/>
          </w:tcPr>
          <w:p>
            <w:pPr>
              <w:pStyle w:val="TableText"/>
            </w:pPr>
            <w:r>
              <w:t xml:space="preserve">Zuverlässigkeit eines Ziels</w:t>
            </w:r>
          </w:p>
        </w:tc>
        <w:tc>
          <w:tcPr>
            <w:tcW w:w="3102" w:type="dxa"/>
          </w:tcPr>
          <w:p>
            <w:pPr>
              <w:pStyle w:val="TableText"/>
            </w:pPr>
            <w:r>
              <w:t xml:space="preserve">Erfolgreiche Prüfungen geteilt durch alle Prüfungen in 24 Stunden</w:t>
            </w:r>
          </w:p>
        </w:tc>
      </w:tr>
      <w:tr>
        <w:tc>
          <w:tcPr>
            <w:tcW w:w="3102" w:type="dxa"/>
          </w:tcPr>
          <w:p>
            <w:pPr>
              <w:pStyle w:val="TableText"/>
            </w:pPr>
            <w:r>
              <w:t xml:space="preserve">Mittlere Antwortzeit</w:t>
            </w:r>
          </w:p>
        </w:tc>
        <w:tc>
          <w:tcPr>
            <w:tcW w:w="3102" w:type="dxa"/>
          </w:tcPr>
          <w:p>
            <w:pPr>
              <w:pStyle w:val="TableText"/>
            </w:pPr>
            <w:r>
              <w:t xml:space="preserve">Geschwindigkeit der Ziele</w:t>
            </w:r>
          </w:p>
        </w:tc>
        <w:tc>
          <w:tcPr>
            <w:tcW w:w="3102" w:type="dxa"/>
          </w:tcPr>
          <w:p>
            <w:pPr>
              <w:pStyle w:val="TableText"/>
            </w:pPr>
            <w:r>
              <w:t xml:space="preserve">Durchschnitt der gemessenen Antwortzeiten in Millisekunden; über 500 gilt als langsam</w:t>
            </w:r>
          </w:p>
        </w:tc>
      </w:tr>
      <w:tr>
        <w:tc>
          <w:tcPr>
            <w:tcW w:w="3102" w:type="dxa"/>
          </w:tcPr>
          <w:p>
            <w:pPr>
              <w:pStyle w:val="TableText"/>
            </w:pPr>
            <w:r>
              <w:t xml:space="preserve">Ursache Netz</w:t>
            </w:r>
          </w:p>
        </w:tc>
        <w:tc>
          <w:tcPr>
            <w:tcW w:w="3102" w:type="dxa"/>
          </w:tcPr>
          <w:p>
            <w:pPr>
              <w:pStyle w:val="TableText"/>
            </w:pPr>
            <w:r>
              <w:t xml:space="preserve">Exportfehler wegen Verbindung</w:t>
            </w:r>
          </w:p>
        </w:tc>
        <w:tc>
          <w:tcPr>
            <w:tcW w:w="3102" w:type="dxa"/>
          </w:tcPr>
          <w:p>
            <w:pPr>
              <w:pStyle w:val="TableText"/>
            </w:pPr>
            <w:r>
              <w:t xml:space="preserve">Meldung deutet auf Verbindung, SSL oder Zeitüberschreitung, oder Ziel zur selben Zeit nicht erreichbar</w:t>
            </w:r>
          </w:p>
        </w:tc>
      </w:tr>
      <w:tr>
        <w:tc>
          <w:tcPr>
            <w:tcW w:w="3102" w:type="dxa"/>
          </w:tcPr>
          <w:p>
            <w:pPr>
              <w:pStyle w:val="TableText"/>
            </w:pPr>
            <w:r>
              <w:t xml:space="preserve">Ursache Daten oder Quelle</w:t>
            </w:r>
          </w:p>
        </w:tc>
        <w:tc>
          <w:tcPr>
            <w:tcW w:w="3102" w:type="dxa"/>
          </w:tcPr>
          <w:p>
            <w:pPr>
              <w:pStyle w:val="TableText"/>
            </w:pPr>
            <w:r>
              <w:t xml:space="preserve">Exportfehler ohne Netzbezug</w:t>
            </w:r>
          </w:p>
        </w:tc>
        <w:tc>
          <w:tcPr>
            <w:tcW w:w="3102" w:type="dxa"/>
          </w:tcPr>
          <w:p>
            <w:pPr>
              <w:pStyle w:val="TableText"/>
            </w:pPr>
            <w:r>
              <w:t xml:space="preserve">Alle übrigen Fehler</w:t>
            </w:r>
          </w:p>
        </w:tc>
      </w:tr>
      <w:tr>
        <w:tc>
          <w:tcPr>
            <w:tcW w:w="3102" w:type="dxa"/>
          </w:tcPr>
          <w:p>
            <w:pPr>
              <w:pStyle w:val="TableText"/>
            </w:pPr>
            <w:r>
              <w:t xml:space="preserve">Restlaufzeit Zertifikat</w:t>
            </w:r>
          </w:p>
        </w:tc>
        <w:tc>
          <w:tcPr>
            <w:tcW w:w="3102" w:type="dxa"/>
          </w:tcPr>
          <w:p>
            <w:pPr>
              <w:pStyle w:val="TableText"/>
            </w:pPr>
            <w:r>
              <w:t xml:space="preserve">Tage bis zum Ablauf</w:t>
            </w:r>
          </w:p>
        </w:tc>
        <w:tc>
          <w:tcPr>
            <w:tcW w:w="3102" w:type="dxa"/>
          </w:tcPr>
          <w:p>
            <w:pPr>
              <w:pStyle w:val="TableText"/>
            </w:pPr>
            <w:r>
              <w:t xml:space="preserve">Ablaufdatum minus heute; rot unter 30, gelb unter 90 Tagen</w:t>
            </w:r>
          </w:p>
        </w:tc>
      </w:tr>
      <w:tr>
        <w:tc>
          <w:tcPr>
            <w:tcW w:w="3102" w:type="dxa"/>
          </w:tcPr>
          <w:p>
            <w:pPr>
              <w:pStyle w:val="TableText"/>
            </w:pPr>
            <w:r>
              <w:t xml:space="preserve">Aktiv</w:t>
            </w:r>
          </w:p>
        </w:tc>
        <w:tc>
          <w:tcPr>
            <w:tcW w:w="3102" w:type="dxa"/>
          </w:tcPr>
          <w:p>
            <w:pPr>
              <w:pStyle w:val="TableText"/>
            </w:pPr>
            <w:r>
              <w:t xml:space="preserve">Gerät hat sich kürzlich angemeldet</w:t>
            </w:r>
          </w:p>
        </w:tc>
        <w:tc>
          <w:tcPr>
            <w:tcW w:w="3102" w:type="dxa"/>
          </w:tcPr>
          <w:p>
            <w:pPr>
              <w:pStyle w:val="TableText"/>
            </w:pPr>
            <w:r>
              <w:t xml:space="preserve">Aktiviertes Konto mit Anmeldung in den letzten 44 Tagen</w:t>
            </w:r>
          </w:p>
        </w:tc>
      </w:tr>
      <w:tr>
        <w:tc>
          <w:tcPr>
            <w:tcW w:w="3102" w:type="dxa"/>
          </w:tcPr>
          <w:p>
            <w:pPr>
              <w:pStyle w:val="TableText"/>
            </w:pPr>
            <w:r>
              <w:t xml:space="preserve">Ohne Herstellersupport</w:t>
            </w:r>
          </w:p>
        </w:tc>
        <w:tc>
          <w:tcPr>
            <w:tcW w:w="3102" w:type="dxa"/>
          </w:tcPr>
          <w:p>
            <w:pPr>
              <w:pStyle w:val="TableText"/>
            </w:pPr>
            <w:r>
              <w:t xml:space="preserve">Gerät mit abgelaufenem Support</w:t>
            </w:r>
          </w:p>
        </w:tc>
        <w:tc>
          <w:tcPr>
            <w:tcW w:w="3102" w:type="dxa"/>
          </w:tcPr>
          <w:p>
            <w:pPr>
              <w:pStyle w:val="TableText"/>
            </w:pPr>
            <w:r>
              <w:t xml:space="preserve">Aktives Gerät, dessen Supportende laut Microsoft-Lifecycle vorbei ist</w:t>
            </w:r>
          </w:p>
        </w:tc>
      </w:tr>
      <w:tr>
        <w:tc>
          <w:tcPr>
            <w:tcW w:w="3102" w:type="dxa"/>
          </w:tcPr>
          <w:p>
            <w:pPr>
              <w:pStyle w:val="TableText"/>
            </w:pPr>
            <w:r>
              <w:t xml:space="preserve">Welle</w:t>
            </w:r>
          </w:p>
        </w:tc>
        <w:tc>
          <w:tcPr>
            <w:tcW w:w="3102" w:type="dxa"/>
          </w:tcPr>
          <w:p>
            <w:pPr>
              <w:pStyle w:val="TableText"/>
            </w:pPr>
            <w:r>
              <w:t xml:space="preserve">Gruppe gleichartiger Geräte für die Migration</w:t>
            </w:r>
          </w:p>
        </w:tc>
        <w:tc>
          <w:tcPr>
            <w:tcW w:w="3102" w:type="dxa"/>
          </w:tcPr>
          <w:p>
            <w:pPr>
              <w:pStyle w:val="TableText"/>
            </w:pPr>
            <w:r>
              <w:t xml:space="preserve">Aktive Geräte desselben Produkts mit demselben Supportende, Ende vorbei oder innerhalb von zwei Jahren</w:t>
            </w:r>
          </w:p>
        </w:tc>
      </w:tr>
      <w:tr>
        <w:tc>
          <w:tcPr>
            <w:tcW w:w="3102" w:type="dxa"/>
          </w:tcPr>
          <w:p>
            <w:pPr>
              <w:pStyle w:val="TableText"/>
            </w:pPr>
            <w:r>
              <w:t xml:space="preserve">Fortschritt Welle</w:t>
            </w:r>
          </w:p>
        </w:tc>
        <w:tc>
          <w:tcPr>
            <w:tcW w:w="3102" w:type="dxa"/>
          </w:tcPr>
          <w:p>
            <w:pPr>
              <w:pStyle w:val="TableText"/>
            </w:pPr>
            <w:r>
              <w:t xml:space="preserve">Wie weit die Ablösung ist</w:t>
            </w:r>
          </w:p>
        </w:tc>
        <w:tc>
          <w:tcPr>
            <w:tcW w:w="3102" w:type="dxa"/>
          </w:tcPr>
          <w:p>
            <w:pPr>
              <w:pStyle w:val="TableText"/>
            </w:pPr>
            <w:r>
              <w:t xml:space="preserve">Rückgang der Geräteanzahl gegenüber dem ersten Tagesschnappschuss, in Prozent</w:t>
            </w:r>
          </w:p>
        </w:tc>
      </w:tr>
      <w:tr>
        <w:tc>
          <w:tcPr>
            <w:tcW w:w="3102" w:type="dxa"/>
          </w:tcPr>
          <w:p>
            <w:pPr>
              <w:pStyle w:val="TableText"/>
            </w:pPr>
            <w:r>
              <w:t xml:space="preserve">Altlasten-Score</w:t>
            </w:r>
          </w:p>
        </w:tc>
        <w:tc>
          <w:tcPr>
            <w:tcW w:w="3102" w:type="dxa"/>
          </w:tcPr>
          <w:p>
            <w:pPr>
              <w:pStyle w:val="TableText"/>
            </w:pPr>
            <w:r>
              <w:t xml:space="preserve">Aufräumbedarf je Organisationseinheit</w:t>
            </w:r>
          </w:p>
        </w:tc>
        <w:tc>
          <w:tcPr>
            <w:tcW w:w="3102" w:type="dxa"/>
          </w:tcPr>
          <w:p>
            <w:pPr>
              <w:pStyle w:val="TableText"/>
            </w:pPr>
            <w:r>
              <w:t xml:space="preserve">Punkte je Computer (Delegation 5, ohne Support 3, Support endet in 180 Tagen 2, inaktiv 2, Passwort alt 2, nie angemeldet 1, lange deaktiviert 1), je Einheit summiert</w:t>
            </w:r>
          </w:p>
        </w:tc>
      </w:tr>
      <w:tr>
        <w:tc>
          <w:tcPr>
            <w:tcW w:w="3102" w:type="dxa"/>
          </w:tcPr>
          <w:p>
            <w:pPr>
              <w:pStyle w:val="TableText"/>
            </w:pPr>
            <w:r>
              <w:t xml:space="preserve">Abbrüche je Sitzung</w:t>
            </w:r>
          </w:p>
        </w:tc>
        <w:tc>
          <w:tcPr>
            <w:tcW w:w="3102" w:type="dxa"/>
          </w:tcPr>
          <w:p>
            <w:pPr>
              <w:pStyle w:val="TableText"/>
            </w:pPr>
            <w:r>
              <w:t xml:space="preserve">Verbindungsqualität eines Netzbereichs</w:t>
            </w:r>
          </w:p>
        </w:tc>
        <w:tc>
          <w:tcPr>
            <w:tcW w:w="3102" w:type="dxa"/>
          </w:tcPr>
          <w:p>
            <w:pPr>
              <w:pStyle w:val="TableText"/>
            </w:pPr>
            <w:r>
              <w:t xml:space="preserve">Anzahl Verbindungsabbrüche geteilt durch Anzahl Sitzungen im Netzbereich</w:t>
            </w:r>
          </w:p>
        </w:tc>
      </w:tr>
    </w:tbl>
    <w:p>
      <w:pPr>
        <w:spacing w:before="0" w:after="80"/>
      </w:pPr>
    </w:p>
    <w:p>
      <w:r>
        <w:br w:type="page"/>
      </w:r>
    </w:p>
    <w:p>
      <w:pPr>
        <w:pStyle w:val="Heading1"/>
      </w:pPr>
      <w:r>
        <w:t xml:space="preserve">Trafag Projekte</w:t>
      </w:r>
    </w:p>
    <w:p>
      <w:r>
        <w:t xml:space="preserve">Trafag Projekte ist das Projektmanagement im Cockpit. Es ersetzt seit dem 9. Oktober 2026 die frühere „Poor Man's Project Management Suite“, die nie genutzt wurde. Es verbindet drei bekannte Werkzeuge: von Trello das Board mit Listen, Karten zum Ziehen, Farben und Labels; von Jira die Schlüssel wie LOG-12, die Aufgabentypen, Epics, Backlog, Sprints mit Ziel, Story Points und Burndown; von Microsoft Planner die Buckets, Checklisten, „Meine Aufgaben“, Kalender und Diagramme. Der Menüpunkt heisst „Trafag Projekte“ und liegt auf oberster Ebene. Alle sehen alle Projekte; ändern dürfen die Mitglieder eines Projekts und Admins; Projekt, Team und Spalten verwaltet die Projektleitung. Geschrieben wird mit dem eigenen Windows-Namen. Daneben gibt es unter dem Menüpunkt „Pause“ ein kleines Spiel für die Pause, das keine Geschäftsdaten verwendet.</w:t>
      </w:r>
    </w:p>
    <w:p>
      <w:pPr>
        <w:pStyle w:val="Heading2"/>
      </w:pPr>
      <w:r>
        <w:t xml:space="preserve">Projektübersicht und Meine Aufgaben</w:t>
      </w:r>
    </w:p>
    <w:p>
      <w:pPr>
        <w:pStyle w:val="Heading3"/>
      </w:pPr>
      <w:r>
        <w:t xml:space="preserve">Wozu</w:t>
      </w:r>
    </w:p>
    <w:p>
      <w:r>
        <w:t xml:space="preserve">Die Übersicht zeigt alle Projekte auf einen Blick und, im zweiten Reiter, alle Aufgaben, die einem selbst zugewiesen sind, über alle Projekte hinweg.</w:t>
      </w:r>
    </w:p>
    <w:p>
      <w:pPr>
        <w:pStyle w:val="Heading3"/>
      </w:pPr>
      <w:r>
        <w:t xml:space="preserve">Was man sieht</w:t>
      </w:r>
    </w:p>
    <w:p>
      <w:r>
        <w:t xml:space="preserve">Oben ein Band mit Suche, der Schaltfläche „Neues Projekt“ und Zahlen zu Projekten, offenen und überfälligen Aufgaben. Jedes Projekt ist eine Kachel mit Farbe, Symbol, Schlüssel, Vorlage, Fortschrittsbalken (offen, in Arbeit, erledigt), Team, Ende und Zahl der überfälligen Aufgaben. Eigene Projekte stehen zuerst. „Meine Aufgaben“ gruppiert wie Planner nach Überfällig, Heute, Diese Woche, Später und Ohne Datum.</w:t>
      </w:r>
    </w:p>
    <w:p>
      <w:pPr>
        <w:pStyle w:val="Heading3"/>
      </w:pPr>
      <w:r>
        <w:t xml:space="preserve">Wie gerechnet wird</w:t>
      </w:r>
    </w:p>
    <w:p>
      <w:pPr>
        <w:pStyle w:val="ListBullet"/>
        <w:numPr>
          <w:ilvl w:val="0"/>
          <w:numId w:val="1"/>
        </w:numPr>
      </w:pPr>
      <w:r>
        <w:rPr>
          <w:b/>
        </w:rPr>
        <w:t xml:space="preserve">Fortschritt:</w:t>
      </w:r>
      <w:r>
        <w:t xml:space="preserve"> erledigte Aufgaben geteilt durch alle Aufgaben des Projekts, ohne Epics und ohne archivierte.</w:t>
      </w:r>
    </w:p>
    <w:p>
      <w:pPr>
        <w:pStyle w:val="ListBullet"/>
        <w:numPr>
          <w:ilvl w:val="0"/>
          <w:numId w:val="1"/>
        </w:numPr>
      </w:pPr>
      <w:r>
        <w:rPr>
          <w:b/>
        </w:rPr>
        <w:t xml:space="preserve">Erledigt, in Arbeit, offen:</w:t>
      </w:r>
      <w:r>
        <w:t xml:space="preserve"> nach der Art der Spalte, in der eine Aufgabe liegt. Jede Spalte gehört zu einer der drei Arten.</w:t>
      </w:r>
    </w:p>
    <w:p>
      <w:pPr>
        <w:pStyle w:val="ListBullet"/>
        <w:numPr>
          <w:ilvl w:val="0"/>
          <w:numId w:val="1"/>
        </w:numPr>
      </w:pPr>
      <w:r>
        <w:rPr>
          <w:b/>
        </w:rPr>
        <w:t xml:space="preserve">Überfällig:</w:t>
      </w:r>
      <w:r>
        <w:t xml:space="preserve"> Fälligkeitsdatum vor heute und nicht erledigt.</w:t>
      </w:r>
    </w:p>
    <w:p>
      <w:pPr>
        <w:pStyle w:val="Heading3"/>
      </w:pPr>
      <w:r>
        <w:t xml:space="preserve">Einsatz im Arbeitsalltag</w:t>
      </w:r>
    </w:p>
    <w:p>
      <w:pPr>
        <w:pStyle w:val="ListBullet"/>
        <w:numPr>
          <w:ilvl w:val="0"/>
          <w:numId w:val="1"/>
        </w:numPr>
      </w:pPr>
      <w:r>
        <w:rPr>
          <w:b/>
        </w:rPr>
        <w:t xml:space="preserve">Alle Mitarbeitenden:</w:t>
      </w:r>
      <w:r>
        <w:t xml:space="preserve"> Morgens „Meine Aufgaben“ öffnen; überfällige und heutige Aufgaben stehen oben.</w:t>
      </w:r>
    </w:p>
    <w:p>
      <w:pPr>
        <w:pStyle w:val="ListBullet"/>
        <w:numPr>
          <w:ilvl w:val="0"/>
          <w:numId w:val="1"/>
        </w:numPr>
      </w:pPr>
      <w:r>
        <w:rPr>
          <w:b/>
        </w:rPr>
        <w:t xml:space="preserve">Abteilungsleiter und Geschäftsleitung:</w:t>
      </w:r>
      <w:r>
        <w:t xml:space="preserve"> Die Kacheln zeigen ohne Klick, welche Projekte hinterherhinken.</w:t>
      </w:r>
    </w:p>
    <w:p>
      <w:pPr>
        <w:pStyle w:val="Heading3"/>
      </w:pPr>
      <w:r>
        <w:t xml:space="preserve">Grenzen und Fallstricke</w:t>
      </w:r>
    </w:p>
    <w:p>
      <w:r>
        <w:t xml:space="preserve">Es gibt keine Mail-Benachrichtigung; offene Seiten aktualisieren sich aber live, wenn jemand etwas ändert.</w:t>
      </w:r>
    </w:p>
    <w:p>
      <w:pPr>
        <w:pStyle w:val="Heading2"/>
      </w:pPr>
      <w:r>
        <w:t xml:space="preserve">Neues Projekt</w:t>
      </w:r>
    </w:p>
    <w:p>
      <w:pPr>
        <w:pStyle w:val="Heading3"/>
      </w:pPr>
      <w:r>
        <w:t xml:space="preserve">Wozu</w:t>
      </w:r>
    </w:p>
    <w:p>
      <w:r>
        <w:t xml:space="preserve">Ein Projekt wird mit einer Vorlage angelegt, die Spalten und Arbeitsweise vorgibt.</w:t>
      </w:r>
    </w:p>
    <w:p>
      <w:pPr>
        <w:pStyle w:val="Heading3"/>
      </w:pPr>
      <w:r>
        <w:t xml:space="preserve">Was man sieht</w:t>
      </w:r>
    </w:p>
    <w:p>
      <w:r>
        <w:t xml:space="preserve">Drei Vorlagen: </w:t>
      </w:r>
      <w:r>
        <w:rPr>
          <w:b/>
        </w:rPr>
        <w:t xml:space="preserve">Kanban-Board</w:t>
      </w:r>
      <w:r>
        <w:t xml:space="preserve"> (Trello, Spalten Zu erledigen, In Arbeit, Review, Erledigt), </w:t>
      </w:r>
      <w:r>
        <w:rPr>
          <w:b/>
        </w:rPr>
        <w:t xml:space="preserve">Scrum mit Sprints</w:t>
      </w:r>
      <w:r>
        <w:t xml:space="preserve"> (Jira, Spalten Zu erledigen, In Arbeit, Test, Erledigt und ein erster Sprint), </w:t>
      </w:r>
      <w:r>
        <w:rPr>
          <w:b/>
        </w:rPr>
        <w:t xml:space="preserve">Planner mit Buckets</w:t>
      </w:r>
      <w:r>
        <w:t xml:space="preserve"> (Ideen, Geplant, In Arbeit, Erledigt). Dazu Name, Schlüssel (2 bis 6 Grossbuchstaben, wird aus dem Namen vorgeschlagen), Beschreibung, Farbe und Symbol.</w:t>
      </w:r>
    </w:p>
    <w:p>
      <w:pPr>
        <w:pStyle w:val="Heading3"/>
      </w:pPr>
      <w:r>
        <w:t xml:space="preserve">Wie gerechnet wird</w:t>
      </w:r>
    </w:p>
    <w:p>
      <w:pPr>
        <w:pStyle w:val="ListBullet"/>
        <w:numPr>
          <w:ilvl w:val="0"/>
          <w:numId w:val="1"/>
        </w:numPr>
      </w:pPr>
      <w:r>
        <w:rPr>
          <w:b/>
        </w:rPr>
        <w:t xml:space="preserve">Schlüssel:</w:t>
      </w:r>
      <w:r>
        <w:t xml:space="preserve"> bei mehreren Wörtern die Anfangsbuchstaben, sonst die ersten vier Buchstaben. Er bleibt danach fest, damit Verweise wie LOG-12 gültig bleiben.</w:t>
      </w:r>
    </w:p>
    <w:p>
      <w:pPr>
        <w:pStyle w:val="ListBullet"/>
        <w:numPr>
          <w:ilvl w:val="0"/>
          <w:numId w:val="1"/>
        </w:numPr>
      </w:pPr>
      <w:r>
        <w:rPr>
          <w:b/>
        </w:rPr>
        <w:t xml:space="preserve">Projektleitung:</w:t>
      </w:r>
      <w:r>
        <w:t xml:space="preserve"> wer das Projekt anlegt; diese Person kann das Team zusammenstellen.</w:t>
      </w:r>
    </w:p>
    <w:p>
      <w:pPr>
        <w:pStyle w:val="Heading3"/>
      </w:pPr>
      <w:r>
        <w:t xml:space="preserve">Einsatz im Arbeitsalltag</w:t>
      </w:r>
    </w:p>
    <w:p>
      <w:pPr>
        <w:pStyle w:val="ListBullet"/>
        <w:numPr>
          <w:ilvl w:val="0"/>
          <w:numId w:val="1"/>
        </w:numPr>
      </w:pPr>
      <w:r>
        <w:rPr>
          <w:b/>
        </w:rPr>
        <w:t xml:space="preserve">Projektleiter:</w:t>
      </w:r>
      <w:r>
        <w:t xml:space="preserve"> Nach dem Anlegen unter „Einstellungen“ das Team aus dem AD suchen und aufnehmen.</w:t>
      </w:r>
    </w:p>
    <w:p>
      <w:pPr>
        <w:pStyle w:val="Heading3"/>
      </w:pPr>
      <w:r>
        <w:t xml:space="preserve">Grenzen und Fallstricke</w:t>
      </w:r>
    </w:p>
    <w:p>
      <w:r>
        <w:t xml:space="preserve">Die Vorlage legt nur den Start fest; Spalten lassen sich jederzeit umbenennen, ergänzen, verschieben oder löschen.</w:t>
      </w:r>
    </w:p>
    <w:p>
      <w:pPr>
        <w:pStyle w:val="Heading2"/>
      </w:pPr>
      <w:r>
        <w:t xml:space="preserve">Board</w:t>
      </w:r>
    </w:p>
    <w:p>
      <w:pPr>
        <w:pStyle w:val="Heading3"/>
      </w:pPr>
      <w:r>
        <w:t xml:space="preserve">Wozu</w:t>
      </w:r>
    </w:p>
    <w:p>
      <w:r>
        <w:t xml:space="preserve">Das Board ist die tägliche Arbeitsfläche: jede Aufgabe ist eine Karte, jede Spalte ein Arbeitsschritt.</w:t>
      </w:r>
    </w:p>
    <w:p>
      <w:pPr>
        <w:pStyle w:val="Heading3"/>
      </w:pPr>
      <w:r>
        <w:t xml:space="preserve">Was man sieht</w:t>
      </w:r>
    </w:p>
    <w:p>
      <w:r>
        <w:t xml:space="preserve">Spalten mit Karten. Eine Karte zeigt Farbband, Labels, Epic, Titel, Typ, Schlüssel, Priorität, Fälligkeit (orange bei bald, rot bei überfällig), Fortschritt der Checkliste und der Unteraufgaben, Kommentare, Story Points und die zugewiesene Person. Karten zieht man mit der Maus in eine andere Spalte oder an eine andere Stelle. Am Spaltenende legt „Karte hinzufügen“ eine neue Karte an. Über der Fläche stehen Filter: Suche, Personen (Klick auf die Avatare), Nur meine, Überfällig, Typ, Priorität, Label, Epic, dazu Swimlanes nach Person, Epic oder Priorität. Bei Scrum zeigt das Board nur den laufenden Sprint.</w:t>
      </w:r>
    </w:p>
    <w:p>
      <w:pPr>
        <w:pStyle w:val="Heading3"/>
      </w:pPr>
      <w:r>
        <w:t xml:space="preserve">Wie gerechnet wird</w:t>
      </w:r>
    </w:p>
    <w:p>
      <w:pPr>
        <w:pStyle w:val="ListBullet"/>
        <w:numPr>
          <w:ilvl w:val="0"/>
          <w:numId w:val="1"/>
        </w:numPr>
      </w:pPr>
      <w:r>
        <w:rPr>
          <w:b/>
        </w:rPr>
        <w:t xml:space="preserve">WIP-Grenze:</w:t>
      </w:r>
      <w:r>
        <w:t xml:space="preserve"> liegt mehr als die eingestellte Zahl Karten in einer Spalte, wird sie rot (Jira Kanban).</w:t>
      </w:r>
    </w:p>
    <w:p>
      <w:pPr>
        <w:pStyle w:val="ListBullet"/>
        <w:numPr>
          <w:ilvl w:val="0"/>
          <w:numId w:val="1"/>
        </w:numPr>
      </w:pPr>
      <w:r>
        <w:rPr>
          <w:b/>
        </w:rPr>
        <w:t xml:space="preserve">Erledigt-Zeitpunkt:</w:t>
      </w:r>
      <w:r>
        <w:t xml:space="preserve"> wird gesetzt, wenn eine Karte in eine Spalte der Art „Erledigt“ kommt, und gelöscht, wenn sie zurückgeht.</w:t>
      </w:r>
    </w:p>
    <w:p>
      <w:pPr>
        <w:pStyle w:val="ListBullet"/>
        <w:numPr>
          <w:ilvl w:val="0"/>
          <w:numId w:val="1"/>
        </w:numPr>
      </w:pPr>
      <w:r>
        <w:rPr>
          <w:b/>
        </w:rPr>
        <w:t xml:space="preserve">Ausblenden:</w:t>
      </w:r>
      <w:r>
        <w:t xml:space="preserve"> Erledigte Karten älter als 14 Tage sind standardmässig ausgeblendet.</w:t>
      </w:r>
    </w:p>
    <w:p>
      <w:pPr>
        <w:pStyle w:val="ListBullet"/>
        <w:numPr>
          <w:ilvl w:val="0"/>
          <w:numId w:val="1"/>
        </w:numPr>
      </w:pPr>
      <w:r>
        <w:rPr>
          <w:b/>
        </w:rPr>
        <w:t xml:space="preserve">Swimlanes:</w:t>
      </w:r>
      <w:r>
        <w:t xml:space="preserve"> Zieht man eine Karte in eine andere Swimlane, ändert sich auch Person, Epic oder Priorität.</w:t>
      </w:r>
    </w:p>
    <w:p>
      <w:pPr>
        <w:pStyle w:val="Heading3"/>
      </w:pPr>
      <w:r>
        <w:t xml:space="preserve">Einsatz im Arbeitsalltag</w:t>
      </w:r>
    </w:p>
    <w:p>
      <w:pPr>
        <w:pStyle w:val="ListBullet"/>
        <w:numPr>
          <w:ilvl w:val="0"/>
          <w:numId w:val="1"/>
        </w:numPr>
      </w:pPr>
      <w:r>
        <w:rPr>
          <w:b/>
        </w:rPr>
        <w:t xml:space="preserve">Teams:</w:t>
      </w:r>
      <w:r>
        <w:t xml:space="preserve"> Im Stand-up das Board nach Person gruppieren und von rechts nach links durchgehen: Was ist fast fertig?</w:t>
      </w:r>
    </w:p>
    <w:p>
      <w:pPr>
        <w:pStyle w:val="ListBullet"/>
        <w:numPr>
          <w:ilvl w:val="0"/>
          <w:numId w:val="1"/>
        </w:numPr>
      </w:pPr>
      <w:r>
        <w:rPr>
          <w:b/>
        </w:rPr>
        <w:t xml:space="preserve">Projektleiter:</w:t>
      </w:r>
      <w:r>
        <w:t xml:space="preserve"> WIP-Grenzen setzen, damit nicht zu viel gleichzeitig angefangen wird.</w:t>
      </w:r>
    </w:p>
    <w:p>
      <w:pPr>
        <w:pStyle w:val="Heading3"/>
      </w:pPr>
      <w:r>
        <w:t xml:space="preserve">Grenzen und Fallstricke</w:t>
      </w:r>
    </w:p>
    <w:p>
      <w:r>
        <w:t xml:space="preserve">Ziehen braucht einen Browser mit Maus; auf dem Telefon ändert man den Status im Aufgabenpanel. Nicht-Mitglieder sehen das Board, können aber nichts ziehen.</w:t>
      </w:r>
    </w:p>
    <w:p>
      <w:pPr>
        <w:pStyle w:val="Heading2"/>
      </w:pPr>
      <w:r>
        <w:t xml:space="preserve">Aufgabe im Detail</w:t>
      </w:r>
    </w:p>
    <w:p>
      <w:pPr>
        <w:pStyle w:val="Heading3"/>
      </w:pPr>
      <w:r>
        <w:t xml:space="preserve">Wozu</w:t>
      </w:r>
    </w:p>
    <w:p>
      <w:r>
        <w:t xml:space="preserve">Ein Klick auf eine Karte öffnet rechts das Panel mit allen Angaben. Jede Aufgabe hat eine eigene Adresse und lässt sich als Link teilen.</w:t>
      </w:r>
    </w:p>
    <w:p>
      <w:pPr>
        <w:pStyle w:val="Heading3"/>
      </w:pPr>
      <w:r>
        <w:t xml:space="preserve">Was man sieht</w:t>
      </w:r>
    </w:p>
    <w:p>
      <w:r>
        <w:t xml:space="preserve">Titel, Status, zugewiesene Person (mit „Mir zuweisen“), Typ (Aufgabe, Story, Fehler, Epic, Unteraufgabe), Priorität in fünf Stufen, Start, Fälligkeit, Story Points, Epic, Sprint, Labels, Farbe, Beschreibung mit Formatierung, Checkliste mit Fortschrittsbalken, Unteraufgaben, Kommentare und der Verlauf aller Änderungen. Änderungen werden sofort gespeichert.</w:t>
      </w:r>
    </w:p>
    <w:p>
      <w:pPr>
        <w:pStyle w:val="Heading3"/>
      </w:pPr>
      <w:r>
        <w:t xml:space="preserve">Wie gerechnet wird</w:t>
      </w:r>
    </w:p>
    <w:p>
      <w:pPr>
        <w:pStyle w:val="ListBullet"/>
        <w:numPr>
          <w:ilvl w:val="0"/>
          <w:numId w:val="1"/>
        </w:numPr>
      </w:pPr>
      <w:r>
        <w:rPr>
          <w:b/>
        </w:rPr>
        <w:t xml:space="preserve">Verlauf:</w:t>
      </w:r>
      <w:r>
        <w:t xml:space="preserve"> jede Änderung mit Person und Zeit, zum Beispiel „hat LOG-12 geändert: Priorität High, fällig 20.10.2026“.</w:t>
      </w:r>
    </w:p>
    <w:p>
      <w:pPr>
        <w:pStyle w:val="ListBullet"/>
        <w:numPr>
          <w:ilvl w:val="0"/>
          <w:numId w:val="1"/>
        </w:numPr>
      </w:pPr>
      <w:r>
        <w:rPr>
          <w:b/>
        </w:rPr>
        <w:t xml:space="preserve">Unteraufgaben:</w:t>
      </w:r>
      <w:r>
        <w:t xml:space="preserve"> zählen als erledigt, wenn sie in einer Spalte der Art „Erledigt“ liegen.</w:t>
      </w:r>
    </w:p>
    <w:p>
      <w:pPr>
        <w:pStyle w:val="Heading3"/>
      </w:pPr>
      <w:r>
        <w:t xml:space="preserve">Einsatz im Arbeitsalltag</w:t>
      </w:r>
    </w:p>
    <w:p>
      <w:pPr>
        <w:pStyle w:val="ListBullet"/>
        <w:numPr>
          <w:ilvl w:val="0"/>
          <w:numId w:val="1"/>
        </w:numPr>
      </w:pPr>
      <w:r>
        <w:rPr>
          <w:b/>
        </w:rPr>
        <w:t xml:space="preserve">Alle Mitarbeitenden:</w:t>
      </w:r>
      <w:r>
        <w:t xml:space="preserve"> Grosse Aufgaben in Unteraufgaben oder eine Checkliste zerlegen; der Fortschritt erscheint auf der Karte.</w:t>
      </w:r>
    </w:p>
    <w:p>
      <w:pPr>
        <w:pStyle w:val="ListBullet"/>
        <w:numPr>
          <w:ilvl w:val="0"/>
          <w:numId w:val="1"/>
        </w:numPr>
      </w:pPr>
      <w:r>
        <w:rPr>
          <w:b/>
        </w:rPr>
        <w:t xml:space="preserve">Fachspezialisten:</w:t>
      </w:r>
      <w:r>
        <w:t xml:space="preserve"> Rückfragen als Kommentar statt per Mail; kommentieren darf jeder Angemeldete, auch ohne Mitgliedschaft.</w:t>
      </w:r>
    </w:p>
    <w:p>
      <w:pPr>
        <w:pStyle w:val="Heading3"/>
      </w:pPr>
      <w:r>
        <w:t xml:space="preserve">Grenzen und Fallstricke</w:t>
      </w:r>
    </w:p>
    <w:p>
      <w:r>
        <w:t xml:space="preserve">Archivieren statt Löschen: archivierte Aufgaben verschwinden aus allen Ansichten, bleiben aber in der Datenbank. Zuweisen kann man nur an Mitglieder des Projekts.</w:t>
      </w:r>
    </w:p>
    <w:p>
      <w:pPr>
        <w:pStyle w:val="Heading2"/>
      </w:pPr>
      <w:r>
        <w:t xml:space="preserve">Backlog und Sprints</w:t>
      </w:r>
    </w:p>
    <w:p>
      <w:pPr>
        <w:pStyle w:val="Heading3"/>
      </w:pPr>
      <w:r>
        <w:t xml:space="preserve">Wozu</w:t>
      </w:r>
    </w:p>
    <w:p>
      <w:r>
        <w:t xml:space="preserve">Wie in Jira: Aufgaben sammeln, nach Wichtigkeit ordnen und in Sprints einplanen.</w:t>
      </w:r>
    </w:p>
    <w:p>
      <w:pPr>
        <w:pStyle w:val="Heading3"/>
      </w:pPr>
      <w:r>
        <w:t xml:space="preserve">Was man sieht</w:t>
      </w:r>
    </w:p>
    <w:p>
      <w:r>
        <w:t xml:space="preserve">Oben der laufende Sprint, darunter geplante Sprints und zuunterst der Backlog. Je Abschnitt Zahl der Aufgaben und Summe der Story Points. Aufgaben zieht man zwischen den Abschnitten und innerhalb der Liste. „Sprint starten“ fragt nach Ziel und Dauer (1 bis 4 Wochen), „Sprint abschliessen“ verschiebt offene Aufgaben in den nächsten Sprint oder zurück in den Backlog.</w:t>
      </w:r>
    </w:p>
    <w:p>
      <w:pPr>
        <w:pStyle w:val="Heading3"/>
      </w:pPr>
      <w:r>
        <w:t xml:space="preserve">Wie gerechnet wird</w:t>
      </w:r>
    </w:p>
    <w:p>
      <w:pPr>
        <w:pStyle w:val="ListBullet"/>
        <w:numPr>
          <w:ilvl w:val="0"/>
          <w:numId w:val="1"/>
        </w:numPr>
      </w:pPr>
      <w:r>
        <w:rPr>
          <w:b/>
        </w:rPr>
        <w:t xml:space="preserve">Es läuft höchstens ein Sprint gleichzeitig.</w:t>
      </w:r>
    </w:p>
    <w:p>
      <w:pPr>
        <w:pStyle w:val="ListBullet"/>
        <w:numPr>
          <w:ilvl w:val="0"/>
          <w:numId w:val="1"/>
        </w:numPr>
      </w:pPr>
      <w:r>
        <w:rPr>
          <w:b/>
        </w:rPr>
        <w:t xml:space="preserve">Unteraufgaben</w:t>
      </w:r>
      <w:r>
        <w:t xml:space="preserve"> stehen nicht einzeln im Backlog; sie folgen ihrer Aufgabe.</w:t>
      </w:r>
    </w:p>
    <w:p>
      <w:pPr>
        <w:pStyle w:val="Heading3"/>
      </w:pPr>
      <w:r>
        <w:t xml:space="preserve">Einsatz im Arbeitsalltag</w:t>
      </w:r>
    </w:p>
    <w:p>
      <w:pPr>
        <w:pStyle w:val="ListBullet"/>
        <w:numPr>
          <w:ilvl w:val="0"/>
          <w:numId w:val="1"/>
        </w:numPr>
      </w:pPr>
      <w:r>
        <w:rPr>
          <w:b/>
        </w:rPr>
        <w:t xml:space="preserve">Product Owner und Projektleiter:</w:t>
      </w:r>
      <w:r>
        <w:t xml:space="preserve"> Den Backlog vor der Sprintplanung von oben nach unten ordnen.</w:t>
      </w:r>
    </w:p>
    <w:p>
      <w:pPr>
        <w:pStyle w:val="ListBullet"/>
        <w:numPr>
          <w:ilvl w:val="0"/>
          <w:numId w:val="1"/>
        </w:numPr>
      </w:pPr>
      <w:r>
        <w:rPr>
          <w:b/>
        </w:rPr>
        <w:t xml:space="preserve">Team:</w:t>
      </w:r>
      <w:r>
        <w:t xml:space="preserve"> In der Planung so viele Story Points in den Sprint ziehen, wie im letzten Sprint erledigt wurden.</w:t>
      </w:r>
    </w:p>
    <w:p>
      <w:pPr>
        <w:pStyle w:val="Heading3"/>
      </w:pPr>
      <w:r>
        <w:t xml:space="preserve">Grenzen und Fallstricke</w:t>
      </w:r>
    </w:p>
    <w:p>
      <w:r>
        <w:t xml:space="preserve">Den Backlog gibt es auch bei Kanban- und Planner-Projekten; Sprints sind dort freiwillig.</w:t>
      </w:r>
    </w:p>
    <w:p>
      <w:pPr>
        <w:pStyle w:val="Heading2"/>
      </w:pPr>
      <w:r>
        <w:t xml:space="preserve">Liste, Zeitachse und Kalender</w:t>
      </w:r>
    </w:p>
    <w:p>
      <w:pPr>
        <w:pStyle w:val="Heading3"/>
      </w:pPr>
      <w:r>
        <w:t xml:space="preserve">Wozu</w:t>
      </w:r>
    </w:p>
    <w:p>
      <w:r>
        <w:t xml:space="preserve">Dieselben Aufgaben in drei weiteren Sichten: als Tabelle, als Zeitplan und als Monatskalender.</w:t>
      </w:r>
    </w:p>
    <w:p>
      <w:pPr>
        <w:pStyle w:val="Heading3"/>
      </w:pPr>
      <w:r>
        <w:t xml:space="preserve">Was man sieht</w:t>
      </w:r>
    </w:p>
    <w:p>
      <w:r>
        <w:t xml:space="preserve">Die </w:t>
      </w:r>
      <w:r>
        <w:rPr>
          <w:b/>
        </w:rPr>
        <w:t xml:space="preserve">Liste</w:t>
      </w:r>
      <w:r>
        <w:t xml:space="preserve"> ist eine sortierbare Tabelle mit Status zum Umstellen und CSV-Export. Die </w:t>
      </w:r>
      <w:r>
        <w:rPr>
          <w:b/>
        </w:rPr>
        <w:t xml:space="preserve">Zeitachse</w:t>
      </w:r>
      <w:r>
        <w:t xml:space="preserve"> zeigt Balken von Start bis Fälligkeit, nach Epic gruppiert, mit Heute-Linie; Epics zeigen ihren Fortschritt. Der </w:t>
      </w:r>
      <w:r>
        <w:rPr>
          <w:b/>
        </w:rPr>
        <w:t xml:space="preserve">Kalender</w:t>
      </w:r>
      <w:r>
        <w:t xml:space="preserve"> zeigt die Aufgaben am Fälligkeitstag; zieht man eine Aufgabe auf einen anderen Tag, ändert sich die Fälligkeit.</w:t>
      </w:r>
    </w:p>
    <w:p>
      <w:pPr>
        <w:pStyle w:val="Heading3"/>
      </w:pPr>
      <w:r>
        <w:t xml:space="preserve">Wie gerechnet wird</w:t>
      </w:r>
    </w:p>
    <w:p>
      <w:pPr>
        <w:pStyle w:val="ListBullet"/>
        <w:numPr>
          <w:ilvl w:val="0"/>
          <w:numId w:val="1"/>
        </w:numPr>
      </w:pPr>
      <w:r>
        <w:rPr>
          <w:b/>
        </w:rPr>
        <w:t xml:space="preserve">Zeitachse:</w:t>
      </w:r>
      <w:r>
        <w:t xml:space="preserve"> ohne Startdatum gilt das Erstelldatum; ohne Fälligkeit erscheint ein Punkt.</w:t>
      </w:r>
    </w:p>
    <w:p>
      <w:pPr>
        <w:pStyle w:val="ListBullet"/>
        <w:numPr>
          <w:ilvl w:val="0"/>
          <w:numId w:val="1"/>
        </w:numPr>
      </w:pPr>
      <w:r>
        <w:rPr>
          <w:b/>
        </w:rPr>
        <w:t xml:space="preserve">Epic-Balken:</w:t>
      </w:r>
      <w:r>
        <w:t xml:space="preserve"> vom frühesten Start bis zur spätesten Fälligkeit der zugehörigen Aufgaben.</w:t>
      </w:r>
    </w:p>
    <w:p>
      <w:pPr>
        <w:pStyle w:val="Heading3"/>
      </w:pPr>
      <w:r>
        <w:t xml:space="preserve">Einsatz im Arbeitsalltag</w:t>
      </w:r>
    </w:p>
    <w:p>
      <w:pPr>
        <w:pStyle w:val="ListBullet"/>
        <w:numPr>
          <w:ilvl w:val="0"/>
          <w:numId w:val="1"/>
        </w:numPr>
      </w:pPr>
      <w:r>
        <w:rPr>
          <w:b/>
        </w:rPr>
        <w:t xml:space="preserve">Geschäftsleitung:</w:t>
      </w:r>
      <w:r>
        <w:t xml:space="preserve"> Die Zeitachse zeigt, welche Epics über das geplante Ende hinauslaufen.</w:t>
      </w:r>
    </w:p>
    <w:p>
      <w:pPr>
        <w:pStyle w:val="ListBullet"/>
        <w:numPr>
          <w:ilvl w:val="0"/>
          <w:numId w:val="1"/>
        </w:numPr>
      </w:pPr>
      <w:r>
        <w:rPr>
          <w:b/>
        </w:rPr>
        <w:t xml:space="preserve">Projektleiter:</w:t>
      </w:r>
      <w:r>
        <w:t xml:space="preserve"> Die Liste nach Fälligkeit sortieren und als CSV für Besprechungen exportieren.</w:t>
      </w:r>
    </w:p>
    <w:p>
      <w:pPr>
        <w:pStyle w:val="Heading3"/>
      </w:pPr>
      <w:r>
        <w:t xml:space="preserve">Grenzen und Fallstricke</w:t>
      </w:r>
    </w:p>
    <w:p>
      <w:r>
        <w:t xml:space="preserve">Abhängigkeiten zwischen Aufgaben werden nicht gezeichnet.</w:t>
      </w:r>
    </w:p>
    <w:p>
      <w:pPr>
        <w:pStyle w:val="Heading2"/>
      </w:pPr>
      <w:r>
        <w:t xml:space="preserve">Diagramme</w:t>
      </w:r>
    </w:p>
    <w:p>
      <w:pPr>
        <w:pStyle w:val="Heading3"/>
      </w:pPr>
      <w:r>
        <w:t xml:space="preserve">Wozu</w:t>
      </w:r>
    </w:p>
    <w:p>
      <w:r>
        <w:t xml:space="preserve">Planner-Diagramme und Jira-Berichte für den Stand des Projekts.</w:t>
      </w:r>
    </w:p>
    <w:p>
      <w:pPr>
        <w:pStyle w:val="Heading3"/>
      </w:pPr>
      <w:r>
        <w:t xml:space="preserve">Was man sieht</w:t>
      </w:r>
    </w:p>
    <w:p>
      <w:r>
        <w:t xml:space="preserve">Ring nach Status mit Anzahl und Anteil, Balken nach Person (gestapelt offen, in Arbeit, erledigt), offene Aufgaben nach Priorität, Burndown des laufenden Sprints und Durchsatz der letzten acht Wochen (angelegt und erledigt je Kalenderwoche). Die Filter oben wirken auch hier.</w:t>
      </w:r>
    </w:p>
    <w:p>
      <w:pPr>
        <w:pStyle w:val="Heading3"/>
      </w:pPr>
      <w:r>
        <w:t xml:space="preserve">Wie gerechnet wird</w:t>
      </w:r>
    </w:p>
    <w:p>
      <w:pPr>
        <w:pStyle w:val="ListBullet"/>
        <w:numPr>
          <w:ilvl w:val="0"/>
          <w:numId w:val="1"/>
        </w:numPr>
      </w:pPr>
      <w:r>
        <w:rPr>
          <w:b/>
        </w:rPr>
        <w:t xml:space="preserve">Burndown:</w:t>
      </w:r>
      <w:r>
        <w:t xml:space="preserve"> je Sprinttag die Summe der Story Points der noch nicht erledigten Aufgaben; ohne Punkte die Anzahl Aufgaben. Die gestrichelte Linie ist der ideale gleichmässige Verlauf bis null am Sprintende. Gerechnet wird mit der heutigen Sprintbelegung; später hinzugefügte Aufgaben zählen ab Sprintbeginn mit.</w:t>
      </w:r>
    </w:p>
    <w:p>
      <w:pPr>
        <w:pStyle w:val="ListBullet"/>
        <w:numPr>
          <w:ilvl w:val="0"/>
          <w:numId w:val="1"/>
        </w:numPr>
      </w:pPr>
      <w:r>
        <w:rPr>
          <w:b/>
        </w:rPr>
        <w:t xml:space="preserve">Durchsatz:</w:t>
      </w:r>
      <w:r>
        <w:t xml:space="preserve"> angelegt nach Erstelldatum, erledigt nach Erledigt-Zeitpunkt, je Kalenderwoche.</w:t>
      </w:r>
    </w:p>
    <w:p>
      <w:pPr>
        <w:pStyle w:val="Heading3"/>
      </w:pPr>
      <w:r>
        <w:t xml:space="preserve">Einsatz im Arbeitsalltag</w:t>
      </w:r>
    </w:p>
    <w:p>
      <w:pPr>
        <w:pStyle w:val="ListBullet"/>
        <w:numPr>
          <w:ilvl w:val="0"/>
          <w:numId w:val="1"/>
        </w:numPr>
      </w:pPr>
      <w:r>
        <w:rPr>
          <w:b/>
        </w:rPr>
        <w:t xml:space="preserve">Team und Scrum Master:</w:t>
      </w:r>
      <w:r>
        <w:t xml:space="preserve"> Liegt die Burndown-Linie deutlich über der Ideallinie, im Daily ansprechen, was den Sprint gefährdet.</w:t>
      </w:r>
    </w:p>
    <w:p>
      <w:pPr>
        <w:pStyle w:val="ListBullet"/>
        <w:numPr>
          <w:ilvl w:val="0"/>
          <w:numId w:val="1"/>
        </w:numPr>
      </w:pPr>
      <w:r>
        <w:rPr>
          <w:b/>
        </w:rPr>
        <w:t xml:space="preserve">Abteilungsleiter:</w:t>
      </w:r>
      <w:r>
        <w:t xml:space="preserve"> Mehr angelegt als erledigt über mehrere Wochen heisst: das Team nimmt mehr an, als es abschliessen kann.</w:t>
      </w:r>
    </w:p>
    <w:p>
      <w:pPr>
        <w:pStyle w:val="Heading3"/>
      </w:pPr>
      <w:r>
        <w:t xml:space="preserve">Grenzen und Fallstricke</w:t>
      </w:r>
    </w:p>
    <w:p>
      <w:r>
        <w:t xml:space="preserve">Statusfarben: Bernstein = offen, Blau = in Arbeit, Grün = erledigt; die Zahl steht immer daneben.</w:t>
      </w:r>
    </w:p>
    <w:p>
      <w:pPr>
        <w:pStyle w:val="Heading2"/>
      </w:pPr>
      <w:r>
        <w:t xml:space="preserve">Aktivität und Einstellungen</w:t>
      </w:r>
    </w:p>
    <w:p>
      <w:pPr>
        <w:pStyle w:val="Heading3"/>
      </w:pPr>
      <w:r>
        <w:t xml:space="preserve">Wozu</w:t>
      </w:r>
    </w:p>
    <w:p>
      <w:r>
        <w:t xml:space="preserve">Die Aktivität zeigt alles, was im Projekt passiert ist. Die Einstellungen verwalten Projekt, Team und Spalten.</w:t>
      </w:r>
    </w:p>
    <w:p>
      <w:pPr>
        <w:pStyle w:val="Heading3"/>
      </w:pPr>
      <w:r>
        <w:t xml:space="preserve">Was man sieht</w:t>
      </w:r>
    </w:p>
    <w:p>
      <w:r>
        <w:rPr>
          <w:b/>
        </w:rPr>
        <w:t xml:space="preserve">Aktivität:</w:t>
      </w:r>
      <w:r>
        <w:t xml:space="preserve"> die letzten 80 Änderungen mit Person, Text, Aufgabe und Zeit. </w:t>
      </w:r>
      <w:r>
        <w:rPr>
          <w:b/>
        </w:rPr>
        <w:t xml:space="preserve">Einstellungen:</w:t>
      </w:r>
      <w:r>
        <w:t xml:space="preserve"> Name, Beschreibung, Start, Ende, Farbe, Symbol, Archivieren; Team mit Personensuche im AD (Name oder Kürzel); Spalten mit Name, Art (offen, in Arbeit, erledigt), WIP-Grenze, Verschieben und Löschen.</w:t>
      </w:r>
    </w:p>
    <w:p>
      <w:pPr>
        <w:pStyle w:val="Heading3"/>
      </w:pPr>
      <w:r>
        <w:t xml:space="preserve">Wie gerechnet wird</w:t>
      </w:r>
    </w:p>
    <w:p>
      <w:pPr>
        <w:pStyle w:val="ListBullet"/>
        <w:numPr>
          <w:ilvl w:val="0"/>
          <w:numId w:val="1"/>
        </w:numPr>
      </w:pPr>
      <w:r>
        <w:rPr>
          <w:b/>
        </w:rPr>
        <w:t xml:space="preserve">Spalte löschen:</w:t>
      </w:r>
      <w:r>
        <w:t xml:space="preserve"> Karten wandern in die erste Spalte derselben Art, sonst in die erste Spalte.</w:t>
      </w:r>
    </w:p>
    <w:p>
      <w:pPr>
        <w:pStyle w:val="Heading3"/>
      </w:pPr>
      <w:r>
        <w:t xml:space="preserve">Einsatz im Arbeitsalltag</w:t>
      </w:r>
    </w:p>
    <w:p>
      <w:pPr>
        <w:pStyle w:val="ListBullet"/>
        <w:numPr>
          <w:ilvl w:val="0"/>
          <w:numId w:val="1"/>
        </w:numPr>
      </w:pPr>
      <w:r>
        <w:rPr>
          <w:b/>
        </w:rPr>
        <w:t xml:space="preserve">Projektleiter:</w:t>
      </w:r>
      <w:r>
        <w:t xml:space="preserve"> Zum Projektstart Team aufnehmen und die Spalten an den eigenen Ablauf anpassen, zum Beispiel eine Spalte „Freigabe“.</w:t>
      </w:r>
    </w:p>
    <w:p>
      <w:pPr>
        <w:pStyle w:val="Heading3"/>
      </w:pPr>
      <w:r>
        <w:t xml:space="preserve">Grenzen und Fallstricke</w:t>
      </w:r>
    </w:p>
    <w:p>
      <w:r>
        <w:t xml:space="preserve">Die Projektleitung bleibt immer im Team und kann nicht entfernt werden. Der Schlüssel lässt sich nicht ändern.</w:t>
      </w:r>
    </w:p>
    <w:p>
      <w:pPr>
        <w:pStyle w:val="Heading2"/>
      </w:pPr>
      <w:r>
        <w:t xml:space="preserve">Portfolio nach HERMES</w:t>
      </w:r>
    </w:p>
    <w:p>
      <w:pPr>
        <w:pStyle w:val="Heading3"/>
      </w:pPr>
      <w:r>
        <w:t xml:space="preserve">Wozu</w:t>
      </w:r>
    </w:p>
    <w:p>
      <w:r>
        <w:t xml:space="preserve">Der Reiter </w:t>
      </w:r>
      <w:r>
        <w:rPr>
          <w:b/>
        </w:rPr>
        <w:t xml:space="preserve">Portfolio (HERMES)</w:t>
      </w:r>
      <w:r>
        <w:t xml:space="preserve"> zeigt alle Projekte so, wie die Geschäftsleitung sie nach HERMES sehen will: Stufe, Ampel, Phase und der nächste Entscheid auf einen Blick.</w:t>
      </w:r>
    </w:p>
    <w:p>
      <w:pPr>
        <w:pStyle w:val="Heading3"/>
      </w:pPr>
      <w:r>
        <w:t xml:space="preserve">Was man sieht</w:t>
      </w:r>
    </w:p>
    <w:p>
      <w:r>
        <w:t xml:space="preserve">Oben ein Ampelring und die Verteilung auf Kleinauftrag, Vorhaben und Projekt; ein Klick darauf filtert. Darunter die Phasenlandkarte mit den Phasen Initialisierung, Umsetzung, Einführung und abgeschlossen, getrennt durch die Entscheidungspunkte ① Freigabe, ② Abnahme und ③ Abschluss. Jedes Projekt ist eine Kachel in seiner Phase, der Rand hat die Farbe seiner Ampel. Ganz unten die Tabelle für die Geschäftsleitung, rote Projekte zuerst.</w:t>
      </w:r>
    </w:p>
    <w:p>
      <w:pPr>
        <w:pStyle w:val="Heading3"/>
      </w:pPr>
      <w:r>
        <w:t xml:space="preserve">Wie gerechnet wird</w:t>
      </w:r>
    </w:p>
    <w:p>
      <w:r>
        <w:t xml:space="preserve">Die Phase ergibt sich aus den eingetragenen Entscheidungspunkten. Die Stufe schlägt die App nach dem geschätzten Aufwand vor: unter 5 Personentagen Kleinauftrag, bis 40 Vorhaben, darüber Projekt. Gepflegt werden die Angaben in den Einstellungen des Projekts im Block „HERMES“.</w:t>
      </w:r>
    </w:p>
    <w:p>
      <w:pPr>
        <w:pStyle w:val="Heading3"/>
      </w:pPr>
      <w:r>
        <w:t xml:space="preserve">Einsatz im Arbeitsalltag</w:t>
      </w:r>
    </w:p>
    <w:p>
      <w:r>
        <w:t xml:space="preserve">Vor der Freigabe Auftraggeber, Anwendervertreter und „Erledigt, wenn“ eintragen; das Datum der Freigabe setzen, sobald der Projektauftrag unterschrieben ist. Ampel und Stand in einem Satz bei jeder Statusrunde nachführen. Das Demoprojekt HDEMO zeigt ein ausgefülltes Beispiel.</w:t>
      </w:r>
    </w:p>
    <w:p>
      <w:pPr>
        <w:pStyle w:val="Heading3"/>
      </w:pPr>
      <w:r>
        <w:t xml:space="preserve">Grenzen und Fallstricke</w:t>
      </w:r>
    </w:p>
    <w:p>
      <w:r>
        <w:t xml:space="preserve">Projekte ohne HERMES-Angaben erscheinen nicht auf der Landkarte, nur als Liste darüber. Abnahme und Abschluss lassen sich erst nach der Freigabe eintragen. Die Vorhaben aus der Wochen-Todo werden nicht automatisch übernommen.</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Fortschritt</w:t>
            </w:r>
          </w:p>
        </w:tc>
        <w:tc>
          <w:tcPr>
            <w:tcW w:w="3102" w:type="dxa"/>
          </w:tcPr>
          <w:p>
            <w:pPr>
              <w:pStyle w:val="TableText"/>
            </w:pPr>
            <w:r>
              <w:t xml:space="preserve">Erledigungsgrad eines Projekts</w:t>
            </w:r>
          </w:p>
        </w:tc>
        <w:tc>
          <w:tcPr>
            <w:tcW w:w="3102" w:type="dxa"/>
          </w:tcPr>
          <w:p>
            <w:pPr>
              <w:pStyle w:val="TableText"/>
            </w:pPr>
            <w:r>
              <w:t xml:space="preserve">Erledigte Aufgaben geteilt durch alle Aufgaben, ohne Epics und Archiv</w:t>
            </w:r>
          </w:p>
        </w:tc>
      </w:tr>
      <w:tr>
        <w:tc>
          <w:tcPr>
            <w:tcW w:w="3102" w:type="dxa"/>
          </w:tcPr>
          <w:p>
            <w:pPr>
              <w:pStyle w:val="TableText"/>
            </w:pPr>
            <w:r>
              <w:t xml:space="preserve">Offen, In Arbeit, Erledigt</w:t>
            </w:r>
          </w:p>
        </w:tc>
        <w:tc>
          <w:tcPr>
            <w:tcW w:w="3102" w:type="dxa"/>
          </w:tcPr>
          <w:p>
            <w:pPr>
              <w:pStyle w:val="TableText"/>
            </w:pPr>
            <w:r>
              <w:t xml:space="preserve">Arbeitsstand</w:t>
            </w:r>
          </w:p>
        </w:tc>
        <w:tc>
          <w:tcPr>
            <w:tcW w:w="3102" w:type="dxa"/>
          </w:tcPr>
          <w:p>
            <w:pPr>
              <w:pStyle w:val="TableText"/>
            </w:pPr>
            <w:r>
              <w:t xml:space="preserve">Nach der Art der Spalte, in der die Aufgabe liegt</w:t>
            </w:r>
          </w:p>
        </w:tc>
      </w:tr>
      <w:tr>
        <w:tc>
          <w:tcPr>
            <w:tcW w:w="3102" w:type="dxa"/>
          </w:tcPr>
          <w:p>
            <w:pPr>
              <w:pStyle w:val="TableText"/>
            </w:pPr>
            <w:r>
              <w:t xml:space="preserve">Überfällig</w:t>
            </w:r>
          </w:p>
        </w:tc>
        <w:tc>
          <w:tcPr>
            <w:tcW w:w="3102" w:type="dxa"/>
          </w:tcPr>
          <w:p>
            <w:pPr>
              <w:pStyle w:val="TableText"/>
            </w:pPr>
            <w:r>
              <w:t xml:space="preserve">Termin verpasst</w:t>
            </w:r>
          </w:p>
        </w:tc>
        <w:tc>
          <w:tcPr>
            <w:tcW w:w="3102" w:type="dxa"/>
          </w:tcPr>
          <w:p>
            <w:pPr>
              <w:pStyle w:val="TableText"/>
            </w:pPr>
            <w:r>
              <w:t xml:space="preserve">Fälligkeit vor heute und nicht erledigt</w:t>
            </w:r>
          </w:p>
        </w:tc>
      </w:tr>
      <w:tr>
        <w:tc>
          <w:tcPr>
            <w:tcW w:w="3102" w:type="dxa"/>
          </w:tcPr>
          <w:p>
            <w:pPr>
              <w:pStyle w:val="TableText"/>
            </w:pPr>
            <w:r>
              <w:t xml:space="preserve">WIP-Grenze</w:t>
            </w:r>
          </w:p>
        </w:tc>
        <w:tc>
          <w:tcPr>
            <w:tcW w:w="3102" w:type="dxa"/>
          </w:tcPr>
          <w:p>
            <w:pPr>
              <w:pStyle w:val="TableText"/>
            </w:pPr>
            <w:r>
              <w:t xml:space="preserve">Höchstzahl Karten in Arbeit</w:t>
            </w:r>
          </w:p>
        </w:tc>
        <w:tc>
          <w:tcPr>
            <w:tcW w:w="3102" w:type="dxa"/>
          </w:tcPr>
          <w:p>
            <w:pPr>
              <w:pStyle w:val="TableText"/>
            </w:pPr>
            <w:r>
              <w:t xml:space="preserve">Von der Projektleitung je Spalte gesetzt, 0 = keine</w:t>
            </w:r>
          </w:p>
        </w:tc>
      </w:tr>
      <w:tr>
        <w:tc>
          <w:tcPr>
            <w:tcW w:w="3102" w:type="dxa"/>
          </w:tcPr>
          <w:p>
            <w:pPr>
              <w:pStyle w:val="TableText"/>
            </w:pPr>
            <w:r>
              <w:t xml:space="preserve">Story Points</w:t>
            </w:r>
          </w:p>
        </w:tc>
        <w:tc>
          <w:tcPr>
            <w:tcW w:w="3102" w:type="dxa"/>
          </w:tcPr>
          <w:p>
            <w:pPr>
              <w:pStyle w:val="TableText"/>
            </w:pPr>
            <w:r>
              <w:t xml:space="preserve">Geschätzter Aufwand</w:t>
            </w:r>
          </w:p>
        </w:tc>
        <w:tc>
          <w:tcPr>
            <w:tcW w:w="3102" w:type="dxa"/>
          </w:tcPr>
          <w:p>
            <w:pPr>
              <w:pStyle w:val="TableText"/>
            </w:pPr>
            <w:r>
              <w:t xml:space="preserve">Von Hand je Aufgabe, 0 bis 100</w:t>
            </w:r>
          </w:p>
        </w:tc>
      </w:tr>
      <w:tr>
        <w:tc>
          <w:tcPr>
            <w:tcW w:w="3102" w:type="dxa"/>
          </w:tcPr>
          <w:p>
            <w:pPr>
              <w:pStyle w:val="TableText"/>
            </w:pPr>
            <w:r>
              <w:t xml:space="preserve">Burndown</w:t>
            </w:r>
          </w:p>
        </w:tc>
        <w:tc>
          <w:tcPr>
            <w:tcW w:w="3102" w:type="dxa"/>
          </w:tcPr>
          <w:p>
            <w:pPr>
              <w:pStyle w:val="TableText"/>
            </w:pPr>
            <w:r>
              <w:t xml:space="preserve">Restaufwand im Sprint</w:t>
            </w:r>
          </w:p>
        </w:tc>
        <w:tc>
          <w:tcPr>
            <w:tcW w:w="3102" w:type="dxa"/>
          </w:tcPr>
          <w:p>
            <w:pPr>
              <w:pStyle w:val="TableText"/>
            </w:pPr>
            <w:r>
              <w:t xml:space="preserve">Story Points (sonst Anzahl) der unerledigten Sprint-Aufgaben je Tag</w:t>
            </w:r>
          </w:p>
        </w:tc>
      </w:tr>
      <w:tr>
        <w:tc>
          <w:tcPr>
            <w:tcW w:w="3102" w:type="dxa"/>
          </w:tcPr>
          <w:p>
            <w:pPr>
              <w:pStyle w:val="TableText"/>
            </w:pPr>
            <w:r>
              <w:t xml:space="preserve">Durchsatz</w:t>
            </w:r>
          </w:p>
        </w:tc>
        <w:tc>
          <w:tcPr>
            <w:tcW w:w="3102" w:type="dxa"/>
          </w:tcPr>
          <w:p>
            <w:pPr>
              <w:pStyle w:val="TableText"/>
            </w:pPr>
            <w:r>
              <w:t xml:space="preserve">Tempo des Teams</w:t>
            </w:r>
          </w:p>
        </w:tc>
        <w:tc>
          <w:tcPr>
            <w:tcW w:w="3102" w:type="dxa"/>
          </w:tcPr>
          <w:p>
            <w:pPr>
              <w:pStyle w:val="TableText"/>
            </w:pPr>
            <w:r>
              <w:t xml:space="preserve">Angelegte und erledigte Aufgaben je Kalenderwoche</w:t>
            </w:r>
          </w:p>
        </w:tc>
      </w:tr>
    </w:tbl>
    <w:p>
      <w:pPr>
        <w:spacing w:before="0" w:after="80"/>
      </w:pPr>
    </w:p>
    <w:p>
      <w:r>
        <w:br w:type="page"/>
      </w:r>
    </w:p>
    <w:p>
      <w:pPr>
        <w:pStyle w:val="Heading1"/>
      </w:pPr>
      <w:r>
        <w:t xml:space="preserve">Trafag Reddit</w:t>
      </w:r>
    </w:p>
    <w:p>
      <w:r>
        <w:t xml:space="preserve">Trafag Reddit ist das interne Forum des Cockpits. Hier ist Platz für alles, was in SharePoint keinen Ort findet: Fragen an Kolleginnen und Kollegen, Ideen und Verbesserungen, SAP- und Excel-Tipps, lesenswerte Links, der Marktplatz und Themen rund um Kantine und Freizeit. Es verbindet zwei bekannte Vorbilder: von Reddit die Communities, das Abstimmen mit Pfeil hoch und Pfeil runter und die verschachtelten Kommentare, von StackOverflow die Fragen mit akzeptierter Antwort, die Tags und die Reputation. Der Reiter liegt auf oberster Menüebene und ist für alle sichtbar. Geschrieben wird immer mit dem eigenen Windows-Namen; ohne Windows-Anmeldung kann man nur lesen.</w:t>
      </w:r>
    </w:p>
    <w:p>
      <w:pPr>
        <w:pStyle w:val="Heading2"/>
      </w:pPr>
      <w:r>
        <w:t xml:space="preserve">Startseite und Feed</w:t>
      </w:r>
    </w:p>
    <w:p>
      <w:pPr>
        <w:pStyle w:val="Heading3"/>
      </w:pPr>
      <w:r>
        <w:t xml:space="preserve">Wozu</w:t>
      </w:r>
    </w:p>
    <w:p>
      <w:r>
        <w:t xml:space="preserve">Der Feed zeigt alle Beiträge, die besten zuoberst. Wer eine Frage hat, sieht zuerst, ob es dazu schon eine Antwort gibt; wer eine Idee hat, sieht, ob andere sie unterstützen.</w:t>
      </w:r>
    </w:p>
    <w:p>
      <w:pPr>
        <w:pStyle w:val="Heading3"/>
      </w:pPr>
      <w:r>
        <w:t xml:space="preserve">Was man sieht</w:t>
      </w:r>
    </w:p>
    <w:p>
      <w:r>
        <w:t xml:space="preserve">Oben ein orangefarbenes Band mit Suche, der Schaltfläche „Beitrag erstellen“ und Zahlen zu Beiträgen, Kommentaren, Stimmen, Mitwirkenden und offenen Fragen. Darunter die Sortierleiste: Angesagt, Neu, Top (mit Zeitraum Heute bis Seit Beginn), Aktiv, Offene Fragen und Kontrovers. Jeder Beitrag ist eine Karte mit den Abstimmungspfeilen links, der Community, der Art (Diskussion, Frage, Link, Idee; eine Frage mit akzeptierter Antwort heisst „Gelöst“), dem Titel, einer Vorschau des Textes, den Tags, dem Namen mit Stufe und Reputation sowie der Zahl der Kommentare und Aufrufe. Rechts die eigene Reputation mit Fortschrittsbalken zur nächsten Stufe, die Liste der Communities, die Ruhmeshalle der Mitwirkenden mit der höchsten Reputation, beliebte Tags und die Spielregeln.</w:t>
      </w:r>
    </w:p>
    <w:p>
      <w:pPr>
        <w:pStyle w:val="Heading3"/>
      </w:pPr>
      <w:r>
        <w:t xml:space="preserve">Wie gerechnet wird</w:t>
      </w:r>
    </w:p>
    <w:p>
      <w:pPr>
        <w:pStyle w:val="ListBullet"/>
        <w:numPr>
          <w:ilvl w:val="0"/>
          <w:numId w:val="1"/>
        </w:numPr>
      </w:pPr>
      <w:r>
        <w:rPr>
          <w:b/>
        </w:rPr>
        <w:t xml:space="preserve">Punkte eines Beitrags:</w:t>
      </w:r>
      <w:r>
        <w:t xml:space="preserve"> Stimmen hoch minus Stimmen runter. Ein zweiter Klick auf denselben Pfeil nimmt die eigene Stimme zurück. Für eigene Beiträge kann man nicht abstimmen.</w:t>
      </w:r>
    </w:p>
    <w:p>
      <w:pPr>
        <w:pStyle w:val="ListBullet"/>
        <w:numPr>
          <w:ilvl w:val="0"/>
          <w:numId w:val="1"/>
        </w:numPr>
      </w:pPr>
      <w:r>
        <w:rPr>
          <w:b/>
        </w:rPr>
        <w:t xml:space="preserve">Angesagt:</w:t>
      </w:r>
      <w:r>
        <w:t xml:space="preserve"> wie bei Reddit. Der Zehnerlogarithmus der Punkte plus das Alter, wobei 12,5 Stunden so viel wiegen wie eine Zehnerpotenz an Punkten. Neue Beiträge mit wenigen Stimmen stehen so eine Weile oben, alte rutschen nach unten. Angeheftete Beiträge stehen immer zuerst.</w:t>
      </w:r>
    </w:p>
    <w:p>
      <w:pPr>
        <w:pStyle w:val="ListBullet"/>
        <w:numPr>
          <w:ilvl w:val="0"/>
          <w:numId w:val="1"/>
        </w:numPr>
      </w:pPr>
      <w:r>
        <w:rPr>
          <w:b/>
        </w:rPr>
        <w:t xml:space="preserve">Top:</w:t>
      </w:r>
      <w:r>
        <w:t xml:space="preserve"> nach Punkten im gewählten Zeitraum.</w:t>
      </w:r>
    </w:p>
    <w:p>
      <w:pPr>
        <w:pStyle w:val="ListBullet"/>
        <w:numPr>
          <w:ilvl w:val="0"/>
          <w:numId w:val="1"/>
        </w:numPr>
      </w:pPr>
      <w:r>
        <w:rPr>
          <w:b/>
        </w:rPr>
        <w:t xml:space="preserve">Aktiv:</w:t>
      </w:r>
      <w:r>
        <w:t xml:space="preserve"> nach der letzten Aktivität (neuer Kommentar, akzeptierte Antwort).</w:t>
      </w:r>
    </w:p>
    <w:p>
      <w:pPr>
        <w:pStyle w:val="ListBullet"/>
        <w:numPr>
          <w:ilvl w:val="0"/>
          <w:numId w:val="1"/>
        </w:numPr>
      </w:pPr>
      <w:r>
        <w:rPr>
          <w:b/>
        </w:rPr>
        <w:t xml:space="preserve">Offene Fragen:</w:t>
      </w:r>
      <w:r>
        <w:t xml:space="preserve"> Fragen ohne akzeptierte Antwort, die mit den wenigsten Kommentaren zuerst.</w:t>
      </w:r>
    </w:p>
    <w:p>
      <w:pPr>
        <w:pStyle w:val="ListBullet"/>
        <w:numPr>
          <w:ilvl w:val="0"/>
          <w:numId w:val="1"/>
        </w:numPr>
      </w:pPr>
      <w:r>
        <w:rPr>
          <w:b/>
        </w:rPr>
        <w:t xml:space="preserve">Kontrovers:</w:t>
      </w:r>
      <w:r>
        <w:t xml:space="preserve"> viele Stimmen, beide Seiten ähnlich stark.</w:t>
      </w:r>
    </w:p>
    <w:p>
      <w:pPr>
        <w:pStyle w:val="ListBullet"/>
        <w:numPr>
          <w:ilvl w:val="0"/>
          <w:numId w:val="1"/>
        </w:numPr>
      </w:pPr>
      <w:r>
        <w:rPr>
          <w:b/>
        </w:rPr>
        <w:t xml:space="preserve">Suche:</w:t>
      </w:r>
      <w:r>
        <w:t xml:space="preserve"> alle eingegebenen Wörter müssen in Titel, Text, Tags oder Autorname vorkommen.</w:t>
      </w:r>
    </w:p>
    <w:p>
      <w:pPr>
        <w:pStyle w:val="Heading3"/>
      </w:pPr>
      <w:r>
        <w:t xml:space="preserve">Einsatz im Arbeitsalltag</w:t>
      </w:r>
    </w:p>
    <w:p>
      <w:pPr>
        <w:pStyle w:val="ListBullet"/>
        <w:numPr>
          <w:ilvl w:val="0"/>
          <w:numId w:val="1"/>
        </w:numPr>
      </w:pPr>
      <w:r>
        <w:rPr>
          <w:b/>
        </w:rPr>
        <w:t xml:space="preserve">Alle Mitarbeitenden:</w:t>
      </w:r>
      <w:r>
        <w:t xml:space="preserve"> Erst suchen, dann fragen. Beim Tippen des Titels zeigt das Formular ähnliche Beiträge.</w:t>
      </w:r>
    </w:p>
    <w:p>
      <w:pPr>
        <w:pStyle w:val="ListBullet"/>
        <w:numPr>
          <w:ilvl w:val="0"/>
          <w:numId w:val="1"/>
        </w:numPr>
      </w:pPr>
      <w:r>
        <w:rPr>
          <w:b/>
        </w:rPr>
        <w:t xml:space="preserve">Fachspezialisten (SAP, IT, Einkauf):</w:t>
      </w:r>
      <w:r>
        <w:t xml:space="preserve"> Unter „Offene Fragen“ nachsehen, wo eine Antwort fehlt; gute Antworten bringen Reputation.</w:t>
      </w:r>
    </w:p>
    <w:p>
      <w:pPr>
        <w:pStyle w:val="ListBullet"/>
        <w:numPr>
          <w:ilvl w:val="0"/>
          <w:numId w:val="1"/>
        </w:numPr>
      </w:pPr>
      <w:r>
        <w:rPr>
          <w:b/>
        </w:rPr>
        <w:t xml:space="preserve">Abteilungsleiter und Geschäftsleitung:</w:t>
      </w:r>
      <w:r>
        <w:t xml:space="preserve"> Unter „Ideen“ mit „Top“ sehen, welche Verbesserungen die meisten Stimmen haben.</w:t>
      </w:r>
    </w:p>
    <w:p>
      <w:pPr>
        <w:pStyle w:val="Heading3"/>
      </w:pPr>
      <w:r>
        <w:t xml:space="preserve">Grenzen und Fallstricke</w:t>
      </w:r>
    </w:p>
    <w:p>
      <w:r>
        <w:t xml:space="preserve">Die Inhalte sind für alle im Cockpit sichtbar. Vertrauliche Kunden-, Personal- oder Finanzdaten gehören nicht hinein. Es gibt keine Benachrichtigung per Mail; neue Beiträge sieht man beim nächsten Besuch, offene Seiten zeigen einen Hinweis „Neues im Forum“. Bilder und Dateianhänge sind nicht vorgesehen, Links schon.</w:t>
      </w:r>
    </w:p>
    <w:p>
      <w:pPr>
        <w:pStyle w:val="Heading2"/>
      </w:pPr>
      <w:r>
        <w:t xml:space="preserve">Beitrag und Antworten</w:t>
      </w:r>
    </w:p>
    <w:p>
      <w:pPr>
        <w:pStyle w:val="Heading3"/>
      </w:pPr>
      <w:r>
        <w:t xml:space="preserve">Wozu</w:t>
      </w:r>
    </w:p>
    <w:p>
      <w:r>
        <w:t xml:space="preserve">Auf der Beitragsseite wird diskutiert und geantwortet. Bei Fragen markiert die fragende Person die Antwort, die geholfen hat.</w:t>
      </w:r>
    </w:p>
    <w:p>
      <w:pPr>
        <w:pStyle w:val="Heading3"/>
      </w:pPr>
      <w:r>
        <w:t xml:space="preserve">Was man sieht</w:t>
      </w:r>
    </w:p>
    <w:p>
      <w:r>
        <w:t xml:space="preserve">Titel, Autor, der vollständige Text mit Formatierung, ein Link als Karte, Tags und darunter die Aktionen Speichern, Teilen (kopiert den Link), Bearbeiten und Löschen (nur eigene Beiträge). Darunter das Antwortfeld und die Kommentare als Baum. Jede Ebene hat eine Linie, mit der man den Zweig einklappt. Die akzeptierte Antwort steht grün umrandet zuoberst. Die Autorin oder der Autor des Beitrags ist bei den Kommentaren mit „OP“ markiert.</w:t>
      </w:r>
    </w:p>
    <w:p>
      <w:pPr>
        <w:pStyle w:val="Heading3"/>
      </w:pPr>
      <w:r>
        <w:t xml:space="preserve">Wie gerechnet wird</w:t>
      </w:r>
    </w:p>
    <w:p>
      <w:pPr>
        <w:pStyle w:val="ListBullet"/>
        <w:numPr>
          <w:ilvl w:val="0"/>
          <w:numId w:val="1"/>
        </w:numPr>
      </w:pPr>
      <w:r>
        <w:rPr>
          <w:b/>
        </w:rPr>
        <w:t xml:space="preserve">Reihenfolge der Kommentare:</w:t>
      </w:r>
      <w:r>
        <w:t xml:space="preserve"> akzeptierte Antwort zuerst, dann nach der Wilson-Untergrenze der Stimmen (wie Reddit „Beste“). Ein Kommentar mit 50 Stimmen hoch und 2 runter steht vor einem mit 3 zu 0.</w:t>
      </w:r>
    </w:p>
    <w:p>
      <w:pPr>
        <w:pStyle w:val="ListBullet"/>
        <w:numPr>
          <w:ilvl w:val="0"/>
          <w:numId w:val="1"/>
        </w:numPr>
      </w:pPr>
      <w:r>
        <w:rPr>
          <w:b/>
        </w:rPr>
        <w:t xml:space="preserve">Reputation:</w:t>
      </w:r>
      <w:r>
        <w:t xml:space="preserve"> Jede Stimme hoch für einen eigenen Beitrag oder Kommentar gibt 10 Punkte, jede Stimme runter kostet 2. Eine akzeptierte Antwort gibt der antwortenden Person 15 Punkte und der fragenden 2. Nie unter 0.</w:t>
      </w:r>
    </w:p>
    <w:p>
      <w:pPr>
        <w:pStyle w:val="ListBullet"/>
        <w:numPr>
          <w:ilvl w:val="0"/>
          <w:numId w:val="1"/>
        </w:numPr>
      </w:pPr>
      <w:r>
        <w:rPr>
          <w:b/>
        </w:rPr>
        <w:t xml:space="preserve">Stufen:</w:t>
      </w:r>
      <w:r>
        <w:t xml:space="preserve"> Neuling unter 50, Mitglied ab 50, Kenner ab 200, Experte ab 1000, Legende ab 5000 Punkten.</w:t>
      </w:r>
    </w:p>
    <w:p>
      <w:pPr>
        <w:pStyle w:val="ListBullet"/>
        <w:numPr>
          <w:ilvl w:val="0"/>
          <w:numId w:val="1"/>
        </w:numPr>
      </w:pPr>
      <w:r>
        <w:rPr>
          <w:b/>
        </w:rPr>
        <w:t xml:space="preserve">Aufrufe:</w:t>
      </w:r>
      <w:r>
        <w:t xml:space="preserve"> jeder Besuch der Beitragsseite zählt einmal.</w:t>
      </w:r>
    </w:p>
    <w:p>
      <w:pPr>
        <w:pStyle w:val="Heading3"/>
      </w:pPr>
      <w:r>
        <w:t xml:space="preserve">Einsatz im Arbeitsalltag</w:t>
      </w:r>
    </w:p>
    <w:p>
      <w:pPr>
        <w:pStyle w:val="ListBullet"/>
        <w:numPr>
          <w:ilvl w:val="0"/>
          <w:numId w:val="1"/>
        </w:numPr>
      </w:pPr>
      <w:r>
        <w:rPr>
          <w:b/>
        </w:rPr>
        <w:t xml:space="preserve">Fragende:</w:t>
      </w:r>
      <w:r>
        <w:t xml:space="preserve"> Wenn eine Antwort geholfen hat, mit dem Haken akzeptieren. So sehen andere sofort die Lösung, und die Frage verschwindet aus „Offene Fragen“.</w:t>
      </w:r>
    </w:p>
    <w:p>
      <w:pPr>
        <w:pStyle w:val="ListBullet"/>
        <w:numPr>
          <w:ilvl w:val="0"/>
          <w:numId w:val="1"/>
        </w:numPr>
      </w:pPr>
      <w:r>
        <w:rPr>
          <w:b/>
        </w:rPr>
        <w:t xml:space="preserve">Antwortende:</w:t>
      </w:r>
      <w:r>
        <w:t xml:space="preserve"> Kurz, konkret, mit Transaktion oder Menüpfad. Formatierung: </w:t>
      </w:r>
      <w:r>
        <w:rPr>
          <w:b/>
        </w:rPr>
        <w:t xml:space="preserve">fett</w:t>
      </w:r>
      <w:r>
        <w:t xml:space="preserve">, *kursiv*, - Liste, &gt; Zitat, Code in Backticks und Links als [Text](https://...).</w:t>
      </w:r>
    </w:p>
    <w:p>
      <w:pPr>
        <w:pStyle w:val="Heading3"/>
      </w:pPr>
      <w:r>
        <w:t xml:space="preserve">Grenzen und Fallstricke</w:t>
      </w:r>
    </w:p>
    <w:p>
      <w:r>
        <w:t xml:space="preserve">Gelöschte Kommentare mit Antworten bleiben als „[gelöscht]“ stehen, damit der Faden lesbar bleibt. Bearbeitete Beiträge tragen den Vermerk „bearbeitet“, eine Änderungshistorie gibt es nicht. Anheften und das Löschen fremder Beiträge sind Admins vorbehalten (Admin-Passwort entsperrt).</w:t>
      </w:r>
    </w:p>
    <w:p>
      <w:pPr>
        <w:pStyle w:val="Heading2"/>
      </w:pPr>
      <w:r>
        <w:t xml:space="preserve">Communities</w:t>
      </w:r>
    </w:p>
    <w:p>
      <w:pPr>
        <w:pStyle w:val="Heading3"/>
      </w:pPr>
      <w:r>
        <w:t xml:space="preserve">Wozu</w:t>
      </w:r>
    </w:p>
    <w:p>
      <w:r>
        <w:t xml:space="preserve">Communities ordnen die Beiträge nach Thema, damit man nur sieht, was einen interessiert.</w:t>
      </w:r>
    </w:p>
    <w:p>
      <w:pPr>
        <w:pStyle w:val="Heading3"/>
      </w:pPr>
      <w:r>
        <w:t xml:space="preserve">Was man sieht</w:t>
      </w:r>
    </w:p>
    <w:p>
      <w:r>
        <w:t xml:space="preserve">Zu Beginn gibt es acht Communities: Allgemein, Fragen &amp; Antworten, Ideen &amp; Verbesserungen, SAP-Tipps, IT &amp; Tools, Fundstücke &amp; Links, Marktplatz, Kantine &amp; Freizeit. Jede hat eine Farbe, ein Symbol und eine Kurzadresse wie r/sap. Wer angemeldet ist, kann mit dem Plus eine neue Community anlegen (Name, Beschreibung, Symbol, Farbe).</w:t>
      </w:r>
    </w:p>
    <w:p>
      <w:pPr>
        <w:pStyle w:val="Heading3"/>
      </w:pPr>
      <w:r>
        <w:t xml:space="preserve">Wie gerechnet wird</w:t>
      </w:r>
    </w:p>
    <w:p>
      <w:pPr>
        <w:pStyle w:val="ListBullet"/>
        <w:numPr>
          <w:ilvl w:val="0"/>
          <w:numId w:val="1"/>
        </w:numPr>
      </w:pPr>
      <w:r>
        <w:rPr>
          <w:b/>
        </w:rPr>
        <w:t xml:space="preserve">Beiträge:</w:t>
      </w:r>
      <w:r>
        <w:t xml:space="preserve"> Anzahl nicht gelöschter Beiträge der Community.</w:t>
      </w:r>
    </w:p>
    <w:p>
      <w:pPr>
        <w:pStyle w:val="ListBullet"/>
        <w:numPr>
          <w:ilvl w:val="0"/>
          <w:numId w:val="1"/>
        </w:numPr>
      </w:pPr>
      <w:r>
        <w:rPr>
          <w:b/>
        </w:rPr>
        <w:t xml:space="preserve">Mitwirkende:</w:t>
      </w:r>
      <w:r>
        <w:t xml:space="preserve"> Anzahl verschiedener Personen, die dort geschrieben oder kommentiert haben.</w:t>
      </w:r>
    </w:p>
    <w:p>
      <w:pPr>
        <w:pStyle w:val="Heading3"/>
      </w:pPr>
      <w:r>
        <w:t xml:space="preserve">Einsatz im Arbeitsalltag</w:t>
      </w:r>
    </w:p>
    <w:p>
      <w:pPr>
        <w:pStyle w:val="ListBullet"/>
        <w:numPr>
          <w:ilvl w:val="0"/>
          <w:numId w:val="1"/>
        </w:numPr>
      </w:pPr>
      <w:r>
        <w:rPr>
          <w:b/>
        </w:rPr>
        <w:t xml:space="preserve">Teams und Abteilungen:</w:t>
      </w:r>
      <w:r>
        <w:t xml:space="preserve"> Für wiederkehrende Themen eine eigene Community anlegen, zum Beispiel für Lean, 5S oder ein Projekt.</w:t>
      </w:r>
    </w:p>
    <w:p>
      <w:pPr>
        <w:pStyle w:val="Heading3"/>
      </w:pPr>
      <w:r>
        <w:t xml:space="preserve">Grenzen und Fallstricke</w:t>
      </w:r>
    </w:p>
    <w:p>
      <w:r>
        <w:t xml:space="preserve">Doppelte Namen sind nicht möglich. Communities lassen sich in der Oberfläche nicht umbenennen oder löschen; das erledigt bei Bedarf ein Admin.</w:t>
      </w:r>
    </w:p>
    <w:p>
      <w:r>
        <w:br w:type="page"/>
      </w:r>
    </w:p>
    <w:p>
      <w:pPr>
        <w:pStyle w:val="Heading1"/>
      </w:pPr>
      <w:r>
        <w:t xml:space="preserve">Operations</w:t>
      </w:r>
    </w:p>
    <w:p>
      <w:r>
        <w:t xml:space="preserve">Der Reiter Operations bündelt die Steuerung der Produktion. Unter </w:t>
      </w:r>
      <w:r>
        <w:rPr>
          <w:b/>
        </w:rPr>
        <w:t xml:space="preserve">KPI</w:t>
      </w:r>
      <w:r>
        <w:t xml:space="preserve"> stehen die Kennzahlen der Operations, zuerst die Liefertreue der Trafag AG (Verkaufsorganisation 1100) mit OTD, OTIF und OTP. Unter </w:t>
      </w:r>
      <w:r>
        <w:rPr>
          <w:b/>
        </w:rPr>
        <w:t xml:space="preserve">Shopfloor</w:t>
      </w:r>
      <w:r>
        <w:t xml:space="preserve"> liegt das digitale Shop-Floor-Board, das die Excel-Datei „PPA-Shop-Floor-File“ ersetzt: Pendenzen, Abteilungswerte, Rückstandslisten, Fehlteile, Forecast und die Auslastungsgrafik für das tägliche Shop-Floor-Meeting. Hauptnutzer sind die Leitung Operations, die Produktionsplanung (PPD), die Abteilungsleiter und Teamleiter der Produktion, Einkauf, Verkauf und Logistik. Der Zugang läuft über eine eigene Anmeldung (Benutzer „operations“) oder ein freigegebenes Windows-Konto. Die Liefertreue kommt monatlich direkt aus SAP, das Shopfloor wird werktags um 05:45 und 12:45 Uhr aus SAP ergänzt und sonst im Meeting von Hand gepflegt.</w:t>
      </w:r>
    </w:p>
    <w:p>
      <w:pPr>
        <w:pStyle w:val="Heading2"/>
      </w:pPr>
      <w:r>
        <w:t xml:space="preserve">KPI Übersicht</w:t>
      </w:r>
    </w:p>
    <w:p>
      <w:pPr>
        <w:pStyle w:val="Heading3"/>
      </w:pPr>
      <w:r>
        <w:t xml:space="preserve">Wozu</w:t>
      </w:r>
    </w:p>
    <w:p>
      <w:r>
        <w:t xml:space="preserve">Die Übersicht ist der Einstieg in die Operations-Kennzahlen. Sie zeigt die drei Liefertreue-Werte auf einen Blick und führt per Klick zum ausführlichen Report. Weitere Operations-Kennzahlen kommen später dazu; ihren Inhalt legt die Leitung Supply Chain Operations fest.</w:t>
      </w:r>
    </w:p>
    <w:p>
      <w:pPr>
        <w:pStyle w:val="Heading3"/>
      </w:pPr>
      <w:r>
        <w:t xml:space="preserve">Was man sieht</w:t>
      </w:r>
    </w:p>
    <w:p>
      <w:pPr>
        <w:pStyle w:val="ListBullet"/>
        <w:numPr>
          <w:ilvl w:val="0"/>
          <w:numId w:val="1"/>
        </w:numPr>
      </w:pPr>
      <w:r>
        <w:t xml:space="preserve">Drei Kacheln OTD, OTIF und OTP mit dem Wert mit Toleranz, darunter der Wert ohne Toleranz und die Basis (Anzahl Positionen bzw. Aufträge).</w:t>
      </w:r>
    </w:p>
    <w:p>
      <w:pPr>
        <w:pStyle w:val="ListBullet"/>
        <w:numPr>
          <w:ilvl w:val="0"/>
          <w:numId w:val="1"/>
        </w:numPr>
      </w:pPr>
      <w:r>
        <w:t xml:space="preserve">Die Quelle und der Stand, zum Beispiel „SAP 14.10.2026“, sowie die Werte des Berichtsmonats.</w:t>
      </w:r>
    </w:p>
    <w:p>
      <w:pPr>
        <w:pStyle w:val="ListBullet"/>
        <w:numPr>
          <w:ilvl w:val="0"/>
          <w:numId w:val="1"/>
        </w:numPr>
      </w:pPr>
      <w:r>
        <w:t xml:space="preserve">Den Bereich „Abruf aus SAP“ mit den gespeicherten Monatsständen und einem Knopf, der den Abruf sofort startet.</w:t>
      </w:r>
    </w:p>
    <w:p>
      <w:pPr>
        <w:pStyle w:val="ListBullet"/>
        <w:numPr>
          <w:ilvl w:val="0"/>
          <w:numId w:val="1"/>
        </w:numPr>
      </w:pPr>
      <w:r>
        <w:t xml:space="preserve">Die Tabelle </w:t>
      </w:r>
      <w:r>
        <w:rPr>
          <w:b/>
        </w:rPr>
        <w:t xml:space="preserve">Ausschlüsse</w:t>
      </w:r>
      <w:r>
        <w:t xml:space="preserve">: Kunden und Materialien, die nicht in die Kennzahlen einfliessen.</w:t>
      </w:r>
    </w:p>
    <w:p>
      <w:pPr>
        <w:pStyle w:val="Heading3"/>
      </w:pPr>
      <w:r>
        <w:t xml:space="preserve">Wie gerechnet wird</w:t>
      </w:r>
    </w:p>
    <w:p>
      <w:r>
        <w:t xml:space="preserve">Die Kacheln zeigen dieselben Zahlen wie der Report (siehe nächster Abschnitt). Der Abruf läuft automatisch ab dem 2. Kalendertag jedes Monats für den Zeitraum 1. Januar bis Ende Vormonat und dauert einige Minuten. Solange der Vormonat fehlt, versucht die App es alle zwei Stunden erneut, auch nach einem Neustart. Jeder Versuch wird gespeichert und steht in den Admin-Logs unter „Operations KPI“. Fehlt der Vormonat ab dem 3. noch immer, erscheint auf der Übersicht und im Report ein roter Warnhinweis. Pro Berichtsmonat wird ein Stand gespeichert; ein neuer Abruf ersetzt den Stand desselben Monats.</w:t>
      </w:r>
    </w:p>
    <w:p>
      <w:pPr>
        <w:pStyle w:val="Heading3"/>
      </w:pPr>
      <w:r>
        <w:t xml:space="preserve">Einsatz im Arbeitsalltag</w:t>
      </w:r>
    </w:p>
    <w:p>
      <w:r>
        <w:rPr>
          <w:b/>
        </w:rPr>
        <w:t xml:space="preserve">Leitung Operations:</w:t>
      </w:r>
      <w:r>
        <w:t xml:space="preserve"> Anfang Monat die Liefertreue des Vormonats prüfen und für das Monatsgespräch übernehmen. </w:t>
      </w:r>
      <w:r>
        <w:rPr>
          <w:b/>
        </w:rPr>
        <w:t xml:space="preserve">Supply Chain:</w:t>
      </w:r>
      <w:r>
        <w:t xml:space="preserve"> Ausschlüsse pflegen, etwa wenn eine neue Konzerngesellschaft als Kunde dazukommt. Eine Änderung an den Ausschlüssen wirkt erst ab dem nächsten Abruf; wer sie sofort sehen will, startet den Abruf von Hand.</w:t>
      </w:r>
    </w:p>
    <w:p>
      <w:pPr>
        <w:pStyle w:val="Heading3"/>
      </w:pPr>
      <w:r>
        <w:t xml:space="preserve">Grenzen und Fallstricke</w:t>
      </w:r>
    </w:p>
    <w:p>
      <w:r>
        <w:t xml:space="preserve">Konzerninterne Kunden (Trafag CZ, Trafag Controls India) und GFS Germany sind ausgeschlossen, ebenso Zertifikate nach EN 10204, die das System am Materialtext erkennt. Wer einen Ausschluss löscht, verändert die Vergleichbarkeit mit früheren Monaten. Der Abruf braucht in SAP die Berechtigung des technischen Cockpit-Benutzers für die Liefertreue-Abfrage; fehlt sie, meldet die Seite den Grund und zeigt weiter den letzten gültigen Stand.</w:t>
      </w:r>
    </w:p>
    <w:p>
      <w:pPr>
        <w:pStyle w:val="Heading2"/>
      </w:pPr>
      <w:r>
        <w:t xml:space="preserve">OTD / OTIF / OTP</w:t>
      </w:r>
    </w:p>
    <w:p>
      <w:pPr>
        <w:pStyle w:val="Heading3"/>
      </w:pPr>
      <w:r>
        <w:t xml:space="preserve">Wozu</w:t>
      </w:r>
    </w:p>
    <w:p>
      <w:r>
        <w:t xml:space="preserve">Der Report beantwortet, wie zuverlässig die Trafag AG ihre Zusagen an die Kunden einhält: pünktlich gegenüber dem bestätigten Termin (OTD), vollständig und pünktlich pro Auftrag (OTIF) und gegenüber dem Wunschtermin des Kunden (OTP). Er ersetzt den monatlichen Liefertreue-Report als PDF und Excel.</w:t>
      </w:r>
    </w:p>
    <w:p>
      <w:pPr>
        <w:pStyle w:val="Heading3"/>
      </w:pPr>
      <w:r>
        <w:t xml:space="preserve">Was man sieht</w:t>
      </w:r>
    </w:p>
    <w:p>
      <w:pPr>
        <w:pStyle w:val="ListBullet"/>
        <w:numPr>
          <w:ilvl w:val="0"/>
          <w:numId w:val="1"/>
        </w:numPr>
      </w:pPr>
      <w:r>
        <w:t xml:space="preserve">Vier Kacheln: OTD, OTIF, OTP und „Nicht pünktlich (OTD)“ mit dem durchschnittlichen Verzug in Arbeitstagen.</w:t>
      </w:r>
    </w:p>
    <w:p>
      <w:pPr>
        <w:pStyle w:val="ListBullet"/>
        <w:numPr>
          <w:ilvl w:val="0"/>
          <w:numId w:val="1"/>
        </w:numPr>
      </w:pPr>
      <w:r>
        <w:t xml:space="preserve">Ein Diagramm mit drei Säulen je Monat (OTD blau, OTIF orange, OTP grün); der Wert ohne Toleranz ist als gestrichelte Marke eingezeichnet.</w:t>
      </w:r>
    </w:p>
    <w:p>
      <w:pPr>
        <w:pStyle w:val="ListBullet"/>
        <w:numPr>
          <w:ilvl w:val="0"/>
          <w:numId w:val="1"/>
        </w:numPr>
      </w:pPr>
      <w:r>
        <w:t xml:space="preserve">Die Monatstabelle mit fälligen Positionen, pünktlichen Positionen, fälligen und kompletten Aufträgen, Positionen nach Wunschtermin und den zu früh gelieferten Positionen.</w:t>
      </w:r>
    </w:p>
    <w:p>
      <w:pPr>
        <w:pStyle w:val="ListBullet"/>
        <w:numPr>
          <w:ilvl w:val="0"/>
          <w:numId w:val="1"/>
        </w:numPr>
      </w:pPr>
      <w:r>
        <w:rPr>
          <w:b/>
        </w:rPr>
        <w:t xml:space="preserve">OTP nach Machbarkeit:</w:t>
      </w:r>
      <w:r>
        <w:t xml:space="preserve"> ob der Wunschtermin des Kunden überhaupt realistisch war, mit Tabelle je Produktgruppe.</w:t>
      </w:r>
    </w:p>
    <w:p>
      <w:pPr>
        <w:pStyle w:val="ListBullet"/>
        <w:numPr>
          <w:ilvl w:val="0"/>
          <w:numId w:val="1"/>
        </w:numPr>
      </w:pPr>
      <w:r>
        <w:t xml:space="preserve">Die Analyse der verspäteten Positionen nach Verzugsklassen, die Top 10 Kunden und Top 10 Materialien, jeweils als Filter anklickbar.</w:t>
      </w:r>
    </w:p>
    <w:p>
      <w:pPr>
        <w:pStyle w:val="ListBullet"/>
        <w:numPr>
          <w:ilvl w:val="0"/>
          <w:numId w:val="1"/>
        </w:numPr>
      </w:pPr>
      <w:r>
        <w:t xml:space="preserve">Die </w:t>
      </w:r>
      <w:r>
        <w:rPr>
          <w:b/>
        </w:rPr>
        <w:t xml:space="preserve">Abweichungsliste</w:t>
      </w:r>
      <w:r>
        <w:t xml:space="preserve"> aller zu späten oder zu frühen Positionen mit Filter, Sortierung und Export als Excel.</w:t>
      </w:r>
    </w:p>
    <w:p>
      <w:pPr>
        <w:pStyle w:val="Heading3"/>
      </w:pPr>
      <w:r>
        <w:t xml:space="preserve">Wie gerechnet wird</w:t>
      </w:r>
    </w:p>
    <w:p>
      <w:r>
        <w:t xml:space="preserve">Massgebend ist der letzte tatsächliche Warenausgang aller Lieferungen einer Auftragsposition, verglichen mit dem Termin aus dem Auftrag. Gezählt werden Arbeitstage Montag bis Freitag; Feiertage werden bewusst nicht abgezogen. Eine Position ist pünktlich, wenn sie vollständig geliefert ist und der letzte Warenausgang höchstens 4 Arbeitstage nach dem bestätigten Termin liegt (Toleranz für feste Liefertage). Jede Kennzahl gibt es zusätzlich ohne Toleranz, also auf den Tag genau. Offene oder teilgelieferte fällige Positionen zählen als nicht pünktlich. OTIF zählt einen Auftrag erst, wenn alle seine Positionen fällig sind, und nur dann als pünktlich, wenn jede Position pünktlich ist. OTP rechnet wie OTD, aber gegen den Wunschtermin. Zu früh ist eine Position, die 5 oder mehr Arbeitstage vor dem bestätigten Termin ausgeliefert wurde.</w:t>
      </w:r>
    </w:p>
    <w:p>
      <w:pPr>
        <w:pStyle w:val="Heading3"/>
      </w:pPr>
      <w:r>
        <w:t xml:space="preserve">Einsatz im Arbeitsalltag</w:t>
      </w:r>
    </w:p>
    <w:p>
      <w:r>
        <w:rPr>
          <w:b/>
        </w:rPr>
        <w:t xml:space="preserve">Leitung Operations und Geschäftsleitung:</w:t>
      </w:r>
      <w:r>
        <w:t xml:space="preserve"> Entwicklung über die Monate verfolgen und mit Zielen vergleichen. </w:t>
      </w:r>
      <w:r>
        <w:rPr>
          <w:b/>
        </w:rPr>
        <w:t xml:space="preserve">Produktionsplanung:</w:t>
      </w:r>
      <w:r>
        <w:t xml:space="preserve"> in der Abweichungsliste die grössten Verzüge nach Material und Kunde suchen und die Ursachen im Shop-Floor-Meeting klären. </w:t>
      </w:r>
      <w:r>
        <w:rPr>
          <w:b/>
        </w:rPr>
        <w:t xml:space="preserve">Verkauf:</w:t>
      </w:r>
      <w:r>
        <w:t xml:space="preserve"> mit „OTP nach Machbarkeit“ zeigen, bei welchen Produktgruppen Kunden Termine wünschen, die kürzer als die übliche Lieferzeit sind. </w:t>
      </w:r>
      <w:r>
        <w:rPr>
          <w:b/>
        </w:rPr>
        <w:t xml:space="preserve">Kundenbetreuung:</w:t>
      </w:r>
      <w:r>
        <w:t xml:space="preserve"> vor einem Kundengespräch die Liste nach dem Kunden filtern.</w:t>
      </w:r>
    </w:p>
    <w:p>
      <w:pPr>
        <w:pStyle w:val="Heading3"/>
      </w:pPr>
      <w:r>
        <w:t xml:space="preserve">Grenzen und Fallstricke</w:t>
      </w:r>
    </w:p>
    <w:p>
      <w:r>
        <w:t xml:space="preserve">Der bestätigte Termin ist ein Liefertermin; bei Export-Positionen mit Transitzeit ist der Vergleich mit dem Warenausgang deshalb grosszügiger, als er für den Kunden wirkt. Fehlt zu einer gelieferten Position der Warenausgang, übernimmt der Report die SAP-Kennzahl „Verzug“; solche Positionen sind in der Liste markiert. Nachbuchungen in SAP können einen bereits berichteten Monat beim nächsten Abruf leicht verändern. Die Werte gelten nur für die Verkaufsorganisation 1100.</w:t>
      </w:r>
    </w:p>
    <w:p>
      <w:pPr>
        <w:pStyle w:val="Heading2"/>
      </w:pPr>
      <w:r>
        <w:t xml:space="preserve">Shopfloor: Startseite und Ablauf</w:t>
      </w:r>
    </w:p>
    <w:p>
      <w:pPr>
        <w:pStyle w:val="Heading3"/>
      </w:pPr>
      <w:r>
        <w:t xml:space="preserve">Wozu</w:t>
      </w:r>
    </w:p>
    <w:p>
      <w:r>
        <w:t xml:space="preserve">Die Startseite führt durch das tägliche Shop-Floor-Meeting. Sie zeigt die Tagesordnung, welche Pflichtpunkte schon erfasst sind und wo es brennt, damit das Meeting in 10 bis 20 Minuten bleibt.</w:t>
      </w:r>
    </w:p>
    <w:p>
      <w:pPr>
        <w:pStyle w:val="Heading3"/>
      </w:pPr>
      <w:r>
        <w:t xml:space="preserve">Was man sieht</w:t>
      </w:r>
    </w:p>
    <w:p>
      <w:pPr>
        <w:pStyle w:val="ListBullet"/>
        <w:numPr>
          <w:ilvl w:val="0"/>
          <w:numId w:val="1"/>
        </w:numPr>
      </w:pPr>
      <w:r>
        <w:t xml:space="preserve">Den </w:t>
      </w:r>
      <w:r>
        <w:rPr>
          <w:b/>
        </w:rPr>
        <w:t xml:space="preserve">Ablauf</w:t>
      </w:r>
      <w:r>
        <w:t xml:space="preserve"> in der Reihenfolge der Tagesordnung, von Highlights über Pendenzen und die Abteilungen SEH, TR5, TX und DW bis Logistik, Einkauf und Verkauf; Pflichtpunkte sind orange markiert.</w:t>
      </w:r>
    </w:p>
    <w:p>
      <w:pPr>
        <w:pStyle w:val="ListBullet"/>
        <w:numPr>
          <w:ilvl w:val="0"/>
          <w:numId w:val="1"/>
        </w:numPr>
      </w:pPr>
      <w:r>
        <w:t xml:space="preserve">Eine Zeitanzeige für das Meeting mit dem Ziel 10 bis 20 Minuten.</w:t>
      </w:r>
    </w:p>
    <w:p>
      <w:pPr>
        <w:pStyle w:val="ListBullet"/>
        <w:numPr>
          <w:ilvl w:val="0"/>
          <w:numId w:val="1"/>
        </w:numPr>
      </w:pPr>
      <w:r>
        <w:t xml:space="preserve">Kacheln mit dem Fortschritt der Pflichtpunkte, den offenen und überfälligen Pendenzen, den Rückständen je Abteilung und der Fehlteile-Kennzahl ZD05.</w:t>
      </w:r>
    </w:p>
    <w:p>
      <w:pPr>
        <w:pStyle w:val="ListBullet"/>
        <w:numPr>
          <w:ilvl w:val="0"/>
          <w:numId w:val="1"/>
        </w:numPr>
      </w:pPr>
      <w:r>
        <w:t xml:space="preserve">Am Freitag eine erweiterte Teilnehmerliste mit GFS, CZ, Masterdata, Qualität und weiteren Bereichen.</w:t>
      </w:r>
    </w:p>
    <w:p>
      <w:pPr>
        <w:pStyle w:val="Heading3"/>
      </w:pPr>
      <w:r>
        <w:t xml:space="preserve">Wie gerechnet wird</w:t>
      </w:r>
    </w:p>
    <w:p>
      <w:r>
        <w:t xml:space="preserve">Ein Pflichtpunkt gilt als erfasst, sobald für den Tag Werte oder Einträge vorliegen. Überfällig ist ein Eintrag, dessen Termin vor heute liegt und dessen Status nicht abgeschlossen ist.</w:t>
      </w:r>
    </w:p>
    <w:p>
      <w:pPr>
        <w:pStyle w:val="Heading3"/>
      </w:pPr>
      <w:r>
        <w:t xml:space="preserve">Einsatz im Arbeitsalltag</w:t>
      </w:r>
    </w:p>
    <w:p>
      <w:r>
        <w:rPr>
          <w:b/>
        </w:rPr>
        <w:t xml:space="preserve">Moderation des Meetings:</w:t>
      </w:r>
      <w:r>
        <w:t xml:space="preserve"> von oben nach unten durch den Ablauf gehen und offene Pflichtpunkte ansprechen. </w:t>
      </w:r>
      <w:r>
        <w:rPr>
          <w:b/>
        </w:rPr>
        <w:t xml:space="preserve">Abteilungsleiter:</w:t>
      </w:r>
      <w:r>
        <w:t xml:space="preserve"> vor dem Meeting die eigenen Werte eintragen, damit die Kachel grün ist.</w:t>
      </w:r>
    </w:p>
    <w:p>
      <w:pPr>
        <w:pStyle w:val="Heading3"/>
      </w:pPr>
      <w:r>
        <w:t xml:space="preserve">Grenzen und Fallstricke</w:t>
      </w:r>
    </w:p>
    <w:p>
      <w:r>
        <w:t xml:space="preserve">Die Startseite zeigt nur, ob etwas erfasst ist, nicht ob es stimmt. Der Ablauf ist fest eingestellt; Änderungen an der Tagesordnung macht die Plattform-Betreuung.</w:t>
      </w:r>
    </w:p>
    <w:p>
      <w:pPr>
        <w:pStyle w:val="Heading2"/>
      </w:pPr>
      <w:r>
        <w:t xml:space="preserve">Shopfloor: Listen (Pendenzen, Rückstände, Anfragen)</w:t>
      </w:r>
    </w:p>
    <w:p>
      <w:pPr>
        <w:pStyle w:val="Heading3"/>
      </w:pPr>
      <w:r>
        <w:t xml:space="preserve">Wozu</w:t>
      </w:r>
    </w:p>
    <w:p>
      <w:r>
        <w:t xml:space="preserve">Die Listen halten fest, was über den Tag hinaus verfolgt werden muss: Pendenzen, Entwicklungsaufträge, Highlights, die Rückstandslisten je Abteilung, die Terminverbesserungsanfragen und Angebote des Verkaufs sowie die Kommunikationstools CZ ↔ CH und Einkauf ↔ Produktion.</w:t>
      </w:r>
    </w:p>
    <w:p>
      <w:pPr>
        <w:pStyle w:val="Heading3"/>
      </w:pPr>
      <w:r>
        <w:t xml:space="preserve">Was man sieht</w:t>
      </w:r>
    </w:p>
    <w:p>
      <w:r>
        <w:t xml:space="preserve">Jede Liste zeigt Einträge mit Nummer, Termin, Zuständigkeit und Status, dazu ein Statusband „im Termin, überfällig, erledigt“. Ein Eintrag lässt sich öffnen, bearbeiten und mit seiner Änderungsgeschichte ansehen. Jede Liste kann als CSV exportiert werden.</w:t>
      </w:r>
    </w:p>
    <w:p>
      <w:pPr>
        <w:pStyle w:val="Heading3"/>
      </w:pPr>
      <w:r>
        <w:t xml:space="preserve">Wie gerechnet wird</w:t>
      </w:r>
    </w:p>
    <w:p>
      <w:r>
        <w:t xml:space="preserve">Neue Einträge bekommen automatisch eine fortlaufende Nummer. Jede Änderung wird mit Windows-Konto und Zeit gespeichert. Gelöschte Einträge verschwinden aus der Liste, bleiben aber in der Datenbank erhalten.</w:t>
      </w:r>
    </w:p>
    <w:p>
      <w:pPr>
        <w:pStyle w:val="Heading3"/>
      </w:pPr>
      <w:r>
        <w:t xml:space="preserve">Einsatz im Arbeitsalltag</w:t>
      </w:r>
    </w:p>
    <w:p>
      <w:r>
        <w:rPr>
          <w:b/>
        </w:rPr>
        <w:t xml:space="preserve">PPD und Abteilungsleiter:</w:t>
      </w:r>
      <w:r>
        <w:t xml:space="preserve"> Rückstände je Kundenauftragsposition besprechen und den geplanten Wareneingang nachführen. </w:t>
      </w:r>
      <w:r>
        <w:rPr>
          <w:b/>
        </w:rPr>
        <w:t xml:space="preserve">Verkauf:</w:t>
      </w:r>
      <w:r>
        <w:t xml:space="preserve"> Terminverbesserungsanfragen erfassen und die Antwort der Produktion verfolgen. </w:t>
      </w:r>
      <w:r>
        <w:rPr>
          <w:b/>
        </w:rPr>
        <w:t xml:space="preserve">Einkauf:</w:t>
      </w:r>
      <w:r>
        <w:t xml:space="preserve"> offene Punkte mit der Produktion im Kommunikationstool klären.</w:t>
      </w:r>
    </w:p>
    <w:p>
      <w:pPr>
        <w:pStyle w:val="Heading3"/>
      </w:pPr>
      <w:r>
        <w:t xml:space="preserve">Grenzen und Fallstricke</w:t>
      </w:r>
    </w:p>
    <w:p>
      <w:r>
        <w:t xml:space="preserve">Bei Zuständigkeitswechseln legt das System eine Mail in den Postausgang; versendet wird sie nicht automatisch, sondern über „In Outlook öffnen“. Die Rückstandslisten sollen künftig aus SAP gefüllt werden; bis dahin werden sie von Hand gepflegt.</w:t>
      </w:r>
    </w:p>
    <w:p>
      <w:pPr>
        <w:pStyle w:val="Heading2"/>
      </w:pPr>
      <w:r>
        <w:t xml:space="preserve">Shopfloor: Abteilungen und Tageswerte</w:t>
      </w:r>
    </w:p>
    <w:p>
      <w:pPr>
        <w:pStyle w:val="Heading3"/>
      </w:pPr>
      <w:r>
        <w:t xml:space="preserve">Wozu</w:t>
      </w:r>
    </w:p>
    <w:p>
      <w:r>
        <w:t xml:space="preserve">Die Abteilungsseiten (SEH, TR5, TX, DW, CZ, MTF, PPD, Logistik, Unterhalt, Verkauf, Sensorbestände) erfassen pro Tag die Kennzahlen, die im Meeting besprochen werden, etwa Auftragsvorrat, offene Menge der laufenden Woche, produzierte Menge, Besetzung und FPY.</w:t>
      </w:r>
    </w:p>
    <w:p>
      <w:pPr>
        <w:pStyle w:val="Heading3"/>
      </w:pPr>
      <w:r>
        <w:t xml:space="preserve">Was man sieht</w:t>
      </w:r>
    </w:p>
    <w:p>
      <w:r>
        <w:t xml:space="preserve">Eine Tabelle mit einer Zeile pro Tag; Werte werden direkt eingetragen und beim Verlassen des Feldes gespeichert. Darüber stehen bis zu vier Verlaufskacheln mit dem Trend der letzten Erfassungen und der Veränderung zum Vortag. Felder, die aus SAP oder dem MES kommen, tragen einen farbigen Punkt.</w:t>
      </w:r>
    </w:p>
    <w:p>
      <w:pPr>
        <w:pStyle w:val="Heading3"/>
      </w:pPr>
      <w:r>
        <w:t xml:space="preserve">Wie gerechnet wird</w:t>
      </w:r>
    </w:p>
    <w:p>
      <w:r>
        <w:t xml:space="preserve">Einige Werte sind berechnet, zum Beispiel Summen über Schichten. Die Abteilung eines Auftrags ergibt sich aus dem Disponenten im Werk 1100: SEH = Disponenten mit S, TR5 = EK, TX = EL, DW = D, CZ = 017 bis 028.</w:t>
      </w:r>
    </w:p>
    <w:p>
      <w:pPr>
        <w:pStyle w:val="Heading3"/>
      </w:pPr>
      <w:r>
        <w:t xml:space="preserve">Einsatz im Arbeitsalltag</w:t>
      </w:r>
    </w:p>
    <w:p>
      <w:r>
        <w:rPr>
          <w:b/>
        </w:rPr>
        <w:t xml:space="preserve">Abteilungsleiter und Teamleiter:</w:t>
      </w:r>
      <w:r>
        <w:t xml:space="preserve"> vor dem Meeting die Tageswerte erfassen. </w:t>
      </w:r>
      <w:r>
        <w:rPr>
          <w:b/>
        </w:rPr>
        <w:t xml:space="preserve">Leitung Operations:</w:t>
      </w:r>
      <w:r>
        <w:t xml:space="preserve"> in den Verlaufskacheln sehen, ob der Auftragsvorrat wächst oder die Produktion hinterherhinkt.</w:t>
      </w:r>
    </w:p>
    <w:p>
      <w:pPr>
        <w:pStyle w:val="Heading3"/>
      </w:pPr>
      <w:r>
        <w:t xml:space="preserve">Grenzen und Fallstricke</w:t>
      </w:r>
    </w:p>
    <w:p>
      <w:r>
        <w:t xml:space="preserve">Aus dem MES kommen nur die FPY-Werte, alle anderen automatischen Werte aus SAP. Solange die Anbindung nicht steht, werden diese Felder von Hand erfasst; die Seite „Schnittstelle SAP / MES“ zeigt, welches Feld woher kommen soll und wie weit das Mapping ist.</w:t>
      </w:r>
    </w:p>
    <w:p>
      <w:pPr>
        <w:pStyle w:val="Heading2"/>
      </w:pPr>
      <w:r>
        <w:t xml:space="preserve">Shopfloor: Fehlteile (ZD05)</w:t>
      </w:r>
    </w:p>
    <w:p>
      <w:pPr>
        <w:pStyle w:val="Heading3"/>
      </w:pPr>
      <w:r>
        <w:t xml:space="preserve">Wozu</w:t>
      </w:r>
    </w:p>
    <w:p>
      <w:r>
        <w:t xml:space="preserve">Die Seite ersetzt den täglichen ZD05-Export aus SAP und zeigt, bei welchen Materialien eine Unterdeckung droht und wie gut der Einkauf die Fehlteile im Griff hat.</w:t>
      </w:r>
    </w:p>
    <w:p>
      <w:pPr>
        <w:pStyle w:val="Heading3"/>
      </w:pPr>
      <w:r>
        <w:t xml:space="preserve">Was man sieht</w:t>
      </w:r>
    </w:p>
    <w:p>
      <w:r>
        <w:t xml:space="preserve">Die Positionen des Tages mit Unterdeckungsdatum, Lieferzeit-Code, Sicherheitsbestand, Bemerkung, Liefertermin und Code, dazu Filter (im Horizont, Code 2, ohne Code, neu) und Kacheln mit der Bewertungskennzahl, den Positionen im Horizont und den Fehlmaterialien zu Kundenaufträgen (Code 2) nach ABC-Klasse.</w:t>
      </w:r>
    </w:p>
    <w:p>
      <w:pPr>
        <w:pStyle w:val="Heading3"/>
      </w:pPr>
      <w:r>
        <w:t xml:space="preserve">Wie gerechnet wird</w:t>
      </w:r>
    </w:p>
    <w:p>
      <w:r>
        <w:t xml:space="preserve">Die Daten kommen werktags um 05:45 und 12:45 Uhr aus SAP (Report ZD05, Disponenten 001 und 003). Bemerkung, Liefertermin und Code werden je Material vom Vortag übernommen. Die </w:t>
      </w:r>
      <w:r>
        <w:rPr>
          <w:b/>
        </w:rPr>
        <w:t xml:space="preserve">Bewertungskennzahl</w:t>
      </w:r>
      <w:r>
        <w:t xml:space="preserve"> ist der Durchschnitt der vergebenen Codes über alle Positionen, deren Unterdeckung bis heute plus 3 Arbeitstage eintritt; das Ziel ist höchstens 1,20.</w:t>
      </w:r>
    </w:p>
    <w:p>
      <w:pPr>
        <w:pStyle w:val="Heading3"/>
      </w:pPr>
      <w:r>
        <w:t xml:space="preserve">Einsatz im Arbeitsalltag</w:t>
      </w:r>
    </w:p>
    <w:p>
      <w:r>
        <w:rPr>
          <w:b/>
        </w:rPr>
        <w:t xml:space="preserve">Einkäufer:</w:t>
      </w:r>
      <w:r>
        <w:t xml:space="preserve"> vor dem Meeting jede neue Position mit Code und Liefertermin versehen. </w:t>
      </w:r>
      <w:r>
        <w:rPr>
          <w:b/>
        </w:rPr>
        <w:t xml:space="preserve">Leitung Operations:</w:t>
      </w:r>
      <w:r>
        <w:t xml:space="preserve"> an der Kennzahl und ihrem Verlauf sehen, ob die Versorgung stabil ist.</w:t>
      </w:r>
    </w:p>
    <w:p>
      <w:pPr>
        <w:pStyle w:val="Heading3"/>
      </w:pPr>
      <w:r>
        <w:t xml:space="preserve">Grenzen und Fallstricke</w:t>
      </w:r>
    </w:p>
    <w:p>
      <w:r>
        <w:t xml:space="preserve">Positionen ohne Code fliessen nicht in die Kennzahl ein; eine gute Kennzahl kann also auch bedeuten, dass Codes fehlen. Hinweis: Die Bedeutung der einzelnen Codes ausser Code 2 (Fehlmaterial Kundenauftrag) ist in diesem Handbuch nicht geprüft.</w:t>
      </w:r>
    </w:p>
    <w:p>
      <w:pPr>
        <w:pStyle w:val="Heading2"/>
      </w:pPr>
      <w:r>
        <w:t xml:space="preserve">Shopfloor: Forecast und PPA-Grafik</w:t>
      </w:r>
    </w:p>
    <w:p>
      <w:pPr>
        <w:pStyle w:val="Heading3"/>
      </w:pPr>
      <w:r>
        <w:t xml:space="preserve">Wozu</w:t>
      </w:r>
    </w:p>
    <w:p>
      <w:r>
        <w:t xml:space="preserve">Der </w:t>
      </w:r>
      <w:r>
        <w:rPr>
          <w:b/>
        </w:rPr>
        <w:t xml:space="preserve">Forecast</w:t>
      </w:r>
      <w:r>
        <w:t xml:space="preserve"> plant die nächste Woche: Wie viel ist pro Abteilung und Tag zu produzieren, und reicht die geplante Besetzung? Die </w:t>
      </w:r>
      <w:r>
        <w:rPr>
          <w:b/>
        </w:rPr>
        <w:t xml:space="preserve">PPA-Grafik</w:t>
      </w:r>
      <w:r>
        <w:t xml:space="preserve"> zeigt die Auslastung über die letzten 26 Wochen.</w:t>
      </w:r>
    </w:p>
    <w:p>
      <w:pPr>
        <w:pStyle w:val="Heading3"/>
      </w:pPr>
      <w:r>
        <w:t xml:space="preserve">Was man sieht</w:t>
      </w:r>
    </w:p>
    <w:p>
      <w:r>
        <w:t xml:space="preserve">Im Forecast je Abteilung und Tag die geplante Menge, die Besetzung, die Kapazität, die Auslastung als Ampel und Empfehlungen wie „2. Schicht öffnen“; dazu eine Heatmap und ein Diagramm Menge gegen Kapazität. Die PPA-Grafik zeigt Auftragsvorrat und produzierte Wochenmenge je Abteilung.</w:t>
      </w:r>
    </w:p>
    <w:p>
      <w:pPr>
        <w:pStyle w:val="Heading3"/>
      </w:pPr>
      <w:r>
        <w:t xml:space="preserve">Wie gerechnet wird</w:t>
      </w:r>
    </w:p>
    <w:p>
      <w:r>
        <w:t xml:space="preserve">Die geplanten Mengen kommen aus den offenen Plan- und Fertigungsaufträgen in SAP für die nächsten 28 Tage. Die Leistung pro Person und Tag ergibt sich aus dem Median der letzten 40 Tage mit erfasster Produktion und Besetzung, sofern sie nicht von Hand eingestellt ist. Kapazität ist Besetzung mal Leistung, Auslastung ist geplante Menge geteilt durch Kapazität; über 105 % gilt als überlastet, unter 85 % als unterlastet. Menge und Besetzung lassen sich pro Tag von Hand überschreiben.</w:t>
      </w:r>
    </w:p>
    <w:p>
      <w:pPr>
        <w:pStyle w:val="Heading3"/>
      </w:pPr>
      <w:r>
        <w:t xml:space="preserve">Einsatz im Arbeitsalltag</w:t>
      </w:r>
    </w:p>
    <w:p>
      <w:r>
        <w:rPr>
          <w:b/>
        </w:rPr>
        <w:t xml:space="preserve">PPD und Abteilungsleiter:</w:t>
      </w:r>
      <w:r>
        <w:t xml:space="preserve"> am Donnerstag oder Freitag die nächste Woche planen und Personal verschieben. </w:t>
      </w:r>
      <w:r>
        <w:rPr>
          <w:b/>
        </w:rPr>
        <w:t xml:space="preserve">Leitung Operations:</w:t>
      </w:r>
      <w:r>
        <w:t xml:space="preserve"> in der PPA-Grafik erkennen, ob der Auftragsvorrat dauerhaft steigt.</w:t>
      </w:r>
    </w:p>
    <w:p>
      <w:pPr>
        <w:pStyle w:val="Heading3"/>
      </w:pPr>
      <w:r>
        <w:t xml:space="preserve">Grenzen und Fallstricke</w:t>
      </w:r>
    </w:p>
    <w:p>
      <w:r>
        <w:t xml:space="preserve">Aufträge, deren Disponent keiner Abteilung zugeordnet ist, erscheinen unter „Nicht zugeordnete Aufträge“ und fehlen in der Planung der Abteilungen. Ohne erfasste Besetzung oder Produktion kann der Forecast keine Leistung schätzen und fragt danach.</w:t>
      </w:r>
    </w:p>
    <w:p>
      <w:pPr>
        <w:pStyle w:val="Heading2"/>
      </w:pPr>
      <w:r>
        <w:t xml:space="preserve">Kennzahlen-Glossar</w:t>
      </w:r>
    </w:p>
    <w:tbl>
      <w:tblPr>
        <w:tblStyle w:val="Gitter"/>
        <w:tblW w:w="5000" w:type="pct"/>
        <w:tblLayout w:type="autofit"/>
      </w:tblPr>
      <w:tblGrid>
        <w:gridCol w:w="3102"/>
        <w:gridCol w:w="3102"/>
        <w:gridCol w:w="3102"/>
      </w:tblGrid>
      <w:tr>
        <w:trPr>
          <w:tblHeader/>
        </w:trPr>
        <w:tc>
          <w:tcPr>
            <w:tcW w:w="3102" w:type="dxa"/>
            <w:shd w:val="clear" w:color="auto" w:fill="F9E3D9"/>
          </w:tcPr>
          <w:p>
            <w:pPr>
              <w:pStyle w:val="TableText"/>
            </w:pPr>
            <w:r>
              <w:rPr>
                <w:b/>
              </w:rPr>
              <w:t xml:space="preserve">Kennzahl</w:t>
            </w:r>
          </w:p>
        </w:tc>
        <w:tc>
          <w:tcPr>
            <w:tcW w:w="3102" w:type="dxa"/>
            <w:shd w:val="clear" w:color="auto" w:fill="F9E3D9"/>
          </w:tcPr>
          <w:p>
            <w:pPr>
              <w:pStyle w:val="TableText"/>
            </w:pPr>
            <w:r>
              <w:rPr>
                <w:b/>
              </w:rPr>
              <w:t xml:space="preserve">Bedeutung</w:t>
            </w:r>
          </w:p>
        </w:tc>
        <w:tc>
          <w:tcPr>
            <w:tcW w:w="3102" w:type="dxa"/>
            <w:shd w:val="clear" w:color="auto" w:fill="F9E3D9"/>
          </w:tcPr>
          <w:p>
            <w:pPr>
              <w:pStyle w:val="TableText"/>
            </w:pPr>
            <w:r>
              <w:rPr>
                <w:b/>
              </w:rPr>
              <w:t xml:space="preserve">Berechnung in Worten</w:t>
            </w:r>
          </w:p>
        </w:tc>
      </w:tr>
      <w:tr>
        <w:tc>
          <w:tcPr>
            <w:tcW w:w="3102" w:type="dxa"/>
          </w:tcPr>
          <w:p>
            <w:pPr>
              <w:pStyle w:val="TableText"/>
            </w:pPr>
            <w:r>
              <w:t xml:space="preserve">OTD (On Time Delivery)</w:t>
            </w:r>
          </w:p>
        </w:tc>
        <w:tc>
          <w:tcPr>
            <w:tcW w:w="3102" w:type="dxa"/>
          </w:tcPr>
          <w:p>
            <w:pPr>
              <w:pStyle w:val="TableText"/>
            </w:pPr>
            <w:r>
              <w:t xml:space="preserve">Liefertreue gegenüber dem bestätigten Termin</w:t>
            </w:r>
          </w:p>
        </w:tc>
        <w:tc>
          <w:tcPr>
            <w:tcW w:w="3102" w:type="dxa"/>
          </w:tcPr>
          <w:p>
            <w:pPr>
              <w:pStyle w:val="TableText"/>
            </w:pPr>
            <w:r>
              <w:t xml:space="preserve">Anteil der fälligen Auftragspositionen, die vollständig geliefert sind und deren letzter Warenausgang höchstens 4 Arbeitstage nach dem bestätigten Termin liegt</w:t>
            </w:r>
          </w:p>
        </w:tc>
      </w:tr>
      <w:tr>
        <w:tc>
          <w:tcPr>
            <w:tcW w:w="3102" w:type="dxa"/>
          </w:tcPr>
          <w:p>
            <w:pPr>
              <w:pStyle w:val="TableText"/>
            </w:pPr>
            <w:r>
              <w:t xml:space="preserve">OTIF (On Time In Full)</w:t>
            </w:r>
          </w:p>
        </w:tc>
        <w:tc>
          <w:tcPr>
            <w:tcW w:w="3102" w:type="dxa"/>
          </w:tcPr>
          <w:p>
            <w:pPr>
              <w:pStyle w:val="TableText"/>
            </w:pPr>
            <w:r>
              <w:t xml:space="preserve">Liefertreue pro Kundenauftrag</w:t>
            </w:r>
          </w:p>
        </w:tc>
        <w:tc>
          <w:tcPr>
            <w:tcW w:w="3102" w:type="dxa"/>
          </w:tcPr>
          <w:p>
            <w:pPr>
              <w:pStyle w:val="TableText"/>
            </w:pPr>
            <w:r>
              <w:t xml:space="preserve">Anteil der vollständig fälligen Aufträge, bei denen jede Position OTD erfüllt; Monat = spätester bestätigter Termin</w:t>
            </w:r>
          </w:p>
        </w:tc>
      </w:tr>
      <w:tr>
        <w:tc>
          <w:tcPr>
            <w:tcW w:w="3102" w:type="dxa"/>
          </w:tcPr>
          <w:p>
            <w:pPr>
              <w:pStyle w:val="TableText"/>
            </w:pPr>
            <w:r>
              <w:t xml:space="preserve">OTP (On Time Performance)</w:t>
            </w:r>
          </w:p>
        </w:tc>
        <w:tc>
          <w:tcPr>
            <w:tcW w:w="3102" w:type="dxa"/>
          </w:tcPr>
          <w:p>
            <w:pPr>
              <w:pStyle w:val="TableText"/>
            </w:pPr>
            <w:r>
              <w:t xml:space="preserve">Liefertreue gegenüber dem Kundenwunsch</w:t>
            </w:r>
          </w:p>
        </w:tc>
        <w:tc>
          <w:tcPr>
            <w:tcW w:w="3102" w:type="dxa"/>
          </w:tcPr>
          <w:p>
            <w:pPr>
              <w:pStyle w:val="TableText"/>
            </w:pPr>
            <w:r>
              <w:t xml:space="preserve">wie OTD, aber gegen den Wunschliefertermin; Monat = Monat des Wunschtermins</w:t>
            </w:r>
          </w:p>
        </w:tc>
      </w:tr>
      <w:tr>
        <w:tc>
          <w:tcPr>
            <w:tcW w:w="3102" w:type="dxa"/>
          </w:tcPr>
          <w:p>
            <w:pPr>
              <w:pStyle w:val="TableText"/>
            </w:pPr>
            <w:r>
              <w:t xml:space="preserve">Ohne Toleranz</w:t>
            </w:r>
          </w:p>
        </w:tc>
        <w:tc>
          <w:tcPr>
            <w:tcW w:w="3102" w:type="dxa"/>
          </w:tcPr>
          <w:p>
            <w:pPr>
              <w:pStyle w:val="TableText"/>
            </w:pPr>
            <w:r>
              <w:t xml:space="preserve">strenge Lesart jeder Liefertreue</w:t>
            </w:r>
          </w:p>
        </w:tc>
        <w:tc>
          <w:tcPr>
            <w:tcW w:w="3102" w:type="dxa"/>
          </w:tcPr>
          <w:p>
            <w:pPr>
              <w:pStyle w:val="TableText"/>
            </w:pPr>
            <w:r>
              <w:t xml:space="preserve">wie die Kennzahl, aber pünktlich nur bei Warenausgang am oder vor dem Termin</w:t>
            </w:r>
          </w:p>
        </w:tc>
      </w:tr>
      <w:tr>
        <w:tc>
          <w:tcPr>
            <w:tcW w:w="3102" w:type="dxa"/>
          </w:tcPr>
          <w:p>
            <w:pPr>
              <w:pStyle w:val="TableText"/>
            </w:pPr>
            <w:r>
              <w:t xml:space="preserve">Zu früh</w:t>
            </w:r>
          </w:p>
        </w:tc>
        <w:tc>
          <w:tcPr>
            <w:tcW w:w="3102" w:type="dxa"/>
          </w:tcPr>
          <w:p>
            <w:pPr>
              <w:pStyle w:val="TableText"/>
            </w:pPr>
            <w:r>
              <w:t xml:space="preserve">vorgezogene Lieferungen</w:t>
            </w:r>
          </w:p>
        </w:tc>
        <w:tc>
          <w:tcPr>
            <w:tcW w:w="3102" w:type="dxa"/>
          </w:tcPr>
          <w:p>
            <w:pPr>
              <w:pStyle w:val="TableText"/>
            </w:pPr>
            <w:r>
              <w:t xml:space="preserve">Positionen mit Warenausgang 5 oder mehr Arbeitstage vor dem bestätigten Termin</w:t>
            </w:r>
          </w:p>
        </w:tc>
      </w:tr>
      <w:tr>
        <w:tc>
          <w:tcPr>
            <w:tcW w:w="3102" w:type="dxa"/>
          </w:tcPr>
          <w:p>
            <w:pPr>
              <w:pStyle w:val="TableText"/>
            </w:pPr>
            <w:r>
              <w:t xml:space="preserve">Arbeitstage</w:t>
            </w:r>
          </w:p>
        </w:tc>
        <w:tc>
          <w:tcPr>
            <w:tcW w:w="3102" w:type="dxa"/>
          </w:tcPr>
          <w:p>
            <w:pPr>
              <w:pStyle w:val="TableText"/>
            </w:pPr>
            <w:r>
              <w:t xml:space="preserve">Zähleinheit für Verzug und Lieferzeit</w:t>
            </w:r>
          </w:p>
        </w:tc>
        <w:tc>
          <w:tcPr>
            <w:tcW w:w="3102" w:type="dxa"/>
          </w:tcPr>
          <w:p>
            <w:pPr>
              <w:pStyle w:val="TableText"/>
            </w:pPr>
            <w:r>
              <w:t xml:space="preserve">Montag bis Freitag, Feiertage werden nicht abgezogen</w:t>
            </w:r>
          </w:p>
        </w:tc>
      </w:tr>
      <w:tr>
        <w:tc>
          <w:tcPr>
            <w:tcW w:w="3102" w:type="dxa"/>
          </w:tcPr>
          <w:p>
            <w:pPr>
              <w:pStyle w:val="TableText"/>
            </w:pPr>
            <w:r>
              <w:t xml:space="preserve">Wunsch realistisch / zu kurz</w:t>
            </w:r>
          </w:p>
        </w:tc>
        <w:tc>
          <w:tcPr>
            <w:tcW w:w="3102" w:type="dxa"/>
          </w:tcPr>
          <w:p>
            <w:pPr>
              <w:pStyle w:val="TableText"/>
            </w:pPr>
            <w:r>
              <w:t xml:space="preserve">Machbarkeit des Kundenwunsches</w:t>
            </w:r>
          </w:p>
        </w:tc>
        <w:tc>
          <w:tcPr>
            <w:tcW w:w="3102" w:type="dxa"/>
          </w:tcPr>
          <w:p>
            <w:pPr>
              <w:pStyle w:val="TableText"/>
            </w:pPr>
            <w:r>
              <w:t xml:space="preserve">Lieferzeit vom Auftragsdatum bis zum Wunschtermin verglichen mit dem Median der bestätigten Lieferzeit derselben Produktgruppe (bei weniger als 20 Positionen der Gesamtmedian)</w:t>
            </w:r>
          </w:p>
        </w:tc>
      </w:tr>
      <w:tr>
        <w:tc>
          <w:tcPr>
            <w:tcW w:w="3102" w:type="dxa"/>
          </w:tcPr>
          <w:p>
            <w:pPr>
              <w:pStyle w:val="TableText"/>
            </w:pPr>
            <w:r>
              <w:t xml:space="preserve">Bewertungskennzahl ZD05</w:t>
            </w:r>
          </w:p>
        </w:tc>
        <w:tc>
          <w:tcPr>
            <w:tcW w:w="3102" w:type="dxa"/>
          </w:tcPr>
          <w:p>
            <w:pPr>
              <w:pStyle w:val="TableText"/>
            </w:pPr>
            <w:r>
              <w:t xml:space="preserve">Güte der Fehlteilbearbeitung</w:t>
            </w:r>
          </w:p>
        </w:tc>
        <w:tc>
          <w:tcPr>
            <w:tcW w:w="3102" w:type="dxa"/>
          </w:tcPr>
          <w:p>
            <w:pPr>
              <w:pStyle w:val="TableText"/>
            </w:pPr>
            <w:r>
              <w:t xml:space="preserve">Durchschnitt der Codes aller Positionen mit Unterdeckung bis heute plus 3 Arbeitstage; Ziel höchstens 1,20</w:t>
            </w:r>
          </w:p>
        </w:tc>
      </w:tr>
      <w:tr>
        <w:tc>
          <w:tcPr>
            <w:tcW w:w="3102" w:type="dxa"/>
          </w:tcPr>
          <w:p>
            <w:pPr>
              <w:pStyle w:val="TableText"/>
            </w:pPr>
            <w:r>
              <w:t xml:space="preserve">Auslastung (Forecast)</w:t>
            </w:r>
          </w:p>
        </w:tc>
        <w:tc>
          <w:tcPr>
            <w:tcW w:w="3102" w:type="dxa"/>
          </w:tcPr>
          <w:p>
            <w:pPr>
              <w:pStyle w:val="TableText"/>
            </w:pPr>
            <w:r>
              <w:t xml:space="preserve">Belastung einer Abteilung an einem Tag</w:t>
            </w:r>
          </w:p>
        </w:tc>
        <w:tc>
          <w:tcPr>
            <w:tcW w:w="3102" w:type="dxa"/>
          </w:tcPr>
          <w:p>
            <w:pPr>
              <w:pStyle w:val="TableText"/>
            </w:pPr>
            <w:r>
              <w:t xml:space="preserve">geplante Menge geteilt durch Kapazität (Besetzung mal Leistung pro Person)</w:t>
            </w:r>
          </w:p>
        </w:tc>
      </w:tr>
    </w:tbl>
    <w:p>
      <w:pPr>
        <w:spacing w:before="0" w:after="80"/>
      </w:pPr>
    </w:p>
    <w:sectPr>
      <w:headerReference xmlns:r="http://schemas.openxmlformats.org/officeDocument/2006/relationships" w:type="default" r:id="R4b36b99c914445cb"/>
      <w:footerReference xmlns:r="http://schemas.openxmlformats.org/officeDocument/2006/relationships" w:type="default" r:id="Re805da03ebf34a9e"/>
      <w:titlePg/>
      <w:pgSz w:w="11906" w:h="16838"/>
      <w:pgMar w:top="1300" w:right="1300" w:bottom="1300" w:left="1300" w:header="600" w:footer="600"/>
    </w:sectPr>
  </w:body>
</w:document>
</file>

<file path=word/footer1.xml><?xml version="1.0" encoding="utf-8"?>
<w:ftr xmlns:w="http://schemas.openxmlformats.org/wordprocessingml/2006/main">
  <w:p>
    <w:pPr>
      <w:jc w:val="center"/>
    </w:pPr>
    <w:r>
      <w:rPr>
        <w:color w:val="595959"/>
        <w:sz w:val="16"/>
      </w:rPr>
      <w:t xml:space="preserve">Trafag Cockpit · Anwenderhandbuch · Seite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p>
</w:ftr>
</file>

<file path=word/header1.xml><?xml version="1.0" encoding="utf-8"?>
<w:hdr xmlns:w="http://schemas.openxmlformats.org/wordprocessingml/2006/main">
  <w:p>
    <w:pPr>
      <w:tabs>
        <w:tab w:val="right" w:pos="9306"/>
      </w:tabs>
      <w:pBdr>
        <w:bottom w:val="single" w:color="C8501E" w:sz="12" w:space="4"/>
      </w:pBdr>
    </w:pPr>
    <w:r>
      <w:drawing>
        <wp:inline xmlns:wp="http://schemas.openxmlformats.org/drawingml/2006/wordprocessingDrawing" distT="0" distB="0" distL="0" distR="0">
          <wp:extent cx="720000" cy="349200"/>
          <wp:docPr id="10" name="Trafag Logo Kopf"/>
          <a:graphic xmlns:a="http://schemas.openxmlformats.org/drawingml/2006/main">
            <a:graphicData uri="http://schemas.openxmlformats.org/drawingml/2006/picture">
              <pic:pic xmlns:pic="http://schemas.openxmlformats.org/drawingml/2006/picture">
                <pic:nvPicPr>
                  <pic:cNvPr id="10" name="Trafag Logo Kopf"/>
                  <pic:cNvPicPr/>
                </pic:nvPicPr>
                <pic:blipFill>
                  <a:blip xmlns:r="http://schemas.openxmlformats.org/officeDocument/2006/relationships" r:embed="R5059f29e514d4dfa"/>
                  <a:stretch>
                    <a:fillRect/>
                  </a:stretch>
                </pic:blipFill>
                <pic:spPr>
                  <a:xfrm>
                    <a:off x="0" y="0"/>
                    <a:ext cx="720000" cy="349200"/>
                  </a:xfrm>
                  <a:prstGeom prst="rect"/>
                </pic:spPr>
              </pic:pic>
            </a:graphicData>
          </a:graphic>
        </wp:inline>
      </w:drawing>
    </w:r>
    <w:r>
      <w:tab/>
    </w:r>
    <w:r>
      <w:rPr>
        <w:color w:val="C8501E"/>
        <w:sz w:val="16"/>
      </w:rPr>
      <w:t>Trafag Cockpit · Anwenderhandbuch</w:t>
    </w:r>
  </w:p>
</w:hdr>
</file>

<file path=word/numbering.xml><?xml version="1.0" encoding="utf-8"?>
<w:numbering xmlns:w="http://schemas.openxmlformats.org/wordprocessingml/2006/main">
  <w:abstractNum w:abstractNumId="1">
    <w:lvl w:ilvl="0">
      <w:numFmt w:val="bullet"/>
      <w:lvlText w:val="•"/>
      <w:lvlJc w:val="left"/>
      <w:pPr>
        <w:ind w:left="360" w:hanging="240"/>
      </w:pPr>
      <w:rPr>
        <w:rFonts w:ascii="Calibri" w:hAnsi="Calibri"/>
        <w:color w:val="C8501E"/>
      </w:rPr>
    </w:lvl>
  </w:abstractNum>
  <w:num w:numId="1">
    <w:abstractNumId w:val="1"/>
  </w:num>
</w:numbering>
</file>

<file path=word/settings.xml><?xml version="1.0" encoding="utf-8"?>
<w:settings xmlns:w="http://schemas.openxmlformats.org/wordprocessingml/2006/main">
  <w:updateFields w:val="true"/>
  <w:defaultTabStop w:val="708"/>
</w:settings>
</file>

<file path=word/styles.xml><?xml version="1.0" encoding="utf-8"?>
<w:styles xmlns:w="http://schemas.openxmlformats.org/wordprocessingml/2006/main">
  <w:style w:type="paragraph" w:styleId="Normal" w:default="true">
    <w:name w:val="Normal"/>
    <w:qFormat/>
    <w:pPr>
      <w:spacing w:after="120" w:line="276" w:lineRule="auto"/>
    </w:pPr>
    <w:rPr>
      <w:rFonts w:ascii="Open Sans" w:hAnsi="Open Sans" w:eastAsia="Open Sans" w:cs="Arial"/>
      <w:sz w:val="21"/>
    </w:rPr>
  </w:style>
  <w:style w:type="paragraph" w:styleId="Title">
    <w:name w:val="Title"/>
    <w:qFormat/>
    <w:basedOn w:val="Normal"/>
    <w:pPr>
      <w:spacing w:before="0" w:after="200"/>
    </w:pPr>
    <w:rPr>
      <w:b/>
      <w:color w:val="C8501E"/>
      <w:sz w:val="60"/>
    </w:rPr>
  </w:style>
  <w:style w:type="paragraph" w:styleId="Subtitle">
    <w:name w:val="Subtitle"/>
    <w:qFormat/>
    <w:basedOn w:val="Normal"/>
    <w:pPr>
      <w:spacing w:before="0" w:after="300"/>
    </w:pPr>
    <w:rPr>
      <w:color w:val="595959"/>
      <w:sz w:val="32"/>
    </w:rPr>
  </w:style>
  <w:style w:type="paragraph" w:styleId="Meta">
    <w:name w:val="Meta"/>
    <w:qFormat/>
    <w:basedOn w:val="Normal"/>
    <w:pPr>
      <w:spacing w:before="0" w:after="60"/>
    </w:pPr>
    <w:rPr>
      <w:color w:val="595959"/>
      <w:sz w:val="20"/>
    </w:rPr>
  </w:style>
  <w:style w:type="paragraph" w:styleId="TocTitle">
    <w:name w:val="TOC Heading"/>
    <w:qFormat/>
    <w:basedOn w:val="Normal"/>
    <w:pPr>
      <w:spacing w:before="0" w:after="240"/>
    </w:pPr>
    <w:rPr>
      <w:b/>
      <w:color w:val="C8501E"/>
      <w:sz w:val="36"/>
    </w:rPr>
  </w:style>
  <w:style w:type="paragraph" w:styleId="Heading1">
    <w:name w:val="heading 1"/>
    <w:qFormat/>
    <w:basedOn w:val="Normal"/>
    <w:pPr>
      <w:keepNext/>
      <w:spacing w:before="0" w:after="240"/>
      <w:outlineLvl w:val="0"/>
      <w:pBdr>
        <w:bottom w:val="single" w:color="C8501E" w:sz="8" w:space="6"/>
      </w:pBdr>
    </w:pPr>
    <w:rPr>
      <w:b/>
      <w:color w:val="C8501E"/>
      <w:sz w:val="40"/>
    </w:rPr>
  </w:style>
  <w:style w:type="paragraph" w:styleId="Heading2">
    <w:name w:val="heading 2"/>
    <w:qFormat/>
    <w:basedOn w:val="Normal"/>
    <w:pPr>
      <w:keepNext/>
      <w:spacing w:before="360" w:after="120"/>
      <w:outlineLvl w:val="1"/>
    </w:pPr>
    <w:rPr>
      <w:b/>
      <w:color w:val="B5481B"/>
      <w:sz w:val="28"/>
    </w:rPr>
  </w:style>
  <w:style w:type="paragraph" w:styleId="Heading3">
    <w:name w:val="heading 3"/>
    <w:qFormat/>
    <w:basedOn w:val="Normal"/>
    <w:pPr>
      <w:keepNext/>
      <w:spacing w:before="200" w:after="60"/>
      <w:outlineLvl w:val="2"/>
    </w:pPr>
    <w:rPr>
      <w:b/>
      <w:color w:val="C8501E"/>
      <w:sz w:val="22"/>
    </w:rPr>
  </w:style>
  <w:style w:type="paragraph" w:styleId="ListBullet">
    <w:name w:val="List Bullet"/>
    <w:qFormat/>
    <w:basedOn w:val="Normal"/>
    <w:pPr>
      <w:spacing w:before="0" w:after="60"/>
    </w:pPr>
    <w:rPr>
      <w:sz w:val="20"/>
    </w:rPr>
  </w:style>
  <w:style w:type="paragraph" w:styleId="TableText">
    <w:name w:val="Table Text"/>
    <w:qFormat/>
    <w:basedOn w:val="Normal"/>
    <w:pPr>
      <w:spacing w:before="0" w:after="0"/>
    </w:pPr>
    <w:rPr>
      <w:sz w:val="18"/>
    </w:rPr>
  </w:style>
  <w:style w:type="paragraph" w:styleId="TOC1">
    <w:name w:val="toc 1"/>
    <w:qFormat/>
    <w:basedOn w:val="Normal"/>
    <w:pPr>
      <w:spacing w:before="0" w:after="60"/>
    </w:pPr>
    <w:rPr>
      <w:b/>
      <w:sz w:val="22"/>
    </w:rPr>
  </w:style>
  <w:style w:type="paragraph" w:styleId="TOC2">
    <w:name w:val="toc 2"/>
    <w:qFormat/>
    <w:basedOn w:val="Normal"/>
    <w:pPr>
      <w:spacing w:before="0" w:after="20"/>
      <w:ind w:left="300"/>
    </w:pPr>
    <w:rPr>
      <w:sz w:val="20"/>
    </w:rPr>
  </w:style>
  <w:style w:type="table" w:styleId="Gitter">
    <w:name w:val="Gitter"/>
    <w:tblPr>
      <w:tblBorders>
        <w:top w:val="single" w:color="BFBFBF" w:sz="4"/>
        <w:bottom w:val="single" w:color="BFBFBF" w:sz="4"/>
        <w:left w:val="single" w:color="BFBFBF" w:sz="4"/>
        <w:right w:val="single" w:color="BFBFBF" w:sz="4"/>
        <w:insideH w:val="single" w:color="BFBFBF" w:sz="4"/>
        <w:insideV w:val="single" w:color="BFBFBF" w:sz="4"/>
      </w:tblBorders>
      <w:tblCellMar>
        <w:top w:w="40" w:type="dxa"/>
        <w:bottom w:w="40" w:type="dxa"/>
        <w:left w:w="80" w:type="dxa"/>
        <w:right w:w="80" w:type="dxa"/>
      </w:tblCellMar>
    </w:tblPr>
  </w:style>
</w:styles>
</file>

<file path=word/_rels/document.xml.rels>&#65279;<?xml version="1.0" encoding="utf-8"?><Relationships xmlns="http://schemas.openxmlformats.org/package/2006/relationships"><Relationship Type="http://schemas.openxmlformats.org/officeDocument/2006/relationships/styles" Target="/word/styles.xml" Id="R174d785aeb244c3f" /><Relationship Type="http://schemas.openxmlformats.org/officeDocument/2006/relationships/numbering" Target="/word/numbering.xml" Id="Rff7b981317114135" /><Relationship Type="http://schemas.openxmlformats.org/officeDocument/2006/relationships/settings" Target="/word/settings.xml" Id="Rc2a1a2f2ebb3404c" /><Relationship Type="http://schemas.openxmlformats.org/officeDocument/2006/relationships/footer" Target="/word/footer1.xml" Id="Re805da03ebf34a9e" /><Relationship Type="http://schemas.openxmlformats.org/officeDocument/2006/relationships/image" Target="/media/image.jpg" Id="Rbc86227cb49a4c85" /><Relationship Type="http://schemas.openxmlformats.org/officeDocument/2006/relationships/header" Target="/word/header1.xml" Id="R4b36b99c914445cb" /></Relationships>
</file>

<file path=word/_rels/header1.xml.rels>&#65279;<?xml version="1.0" encoding="utf-8"?><Relationships xmlns="http://schemas.openxmlformats.org/package/2006/relationships"><Relationship Type="http://schemas.openxmlformats.org/officeDocument/2006/relationships/image" Target="/media/image2.jpg" Id="R5059f29e514d4dfa" /></Relationships>
</file>