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5801915759a463b" /></Relationships>
</file>

<file path=word/document.xml><?xml version="1.0" encoding="utf-8"?>
<w:document xmlns:w="http://schemas.openxmlformats.org/wordprocessingml/2006/main">
  <w:body>
    <w:p>
      <w:pPr>
        <w:pStyle w:val="Title"/>
      </w:pPr>
      <w:r>
        <w:rPr/>
        <w:t xml:space="preserve">Analytics, BI und Reporting bei Trafag</w:t>
      </w:r>
    </w:p>
    <w:p>
      <w:pPr>
        <w:pStyle w:val="Subtitle"/>
      </w:pPr>
      <w:r>
        <w:rPr/>
        <w:t xml:space="preserve">Woran ich arbeite, was in meiner Verantwortung liegt und wo ich einen Entscheid brauche</w:t>
      </w:r>
    </w:p>
    <w:p>
      <w:pPr>
        <w:pStyle w:val="Meta"/>
      </w:pPr>
      <w:r>
        <w:rPr/>
        <w:t xml:space="preserve">Ingo Kohler · IT Analytics · Stand 02.09.2026</w:t>
      </w:r>
    </w:p>
    <w:p>
      <w:pPr>
        <w:pStyle w:val="Intro"/>
      </w:pPr>
      <w:r>
        <w:rPr/>
        <w:t xml:space="preserve">Dieses Dokument gibt einen vollständigen Überblick über meinen Aufgabenbereich. Es ist so aufgebaut, dass jedes Arbeitspaket dieselben fünf Angaben trägt: Auftrag, Stand mit Datum, nächster Schritt, wer entscheidet und Termin. Damit ist auf einen Blick erkennbar, was läuft, was fertig ist und was auf eine Entscheidung wartet. Jede Zahl trägt das Datum ihrer Messung. Statusangaben stammen aus dem geführten Issue-Log und aus dem Projektstatus, nicht aus Arbeitsnotizen.</w:t>
      </w:r>
    </w:p>
    <w:p>
      <w:pPr>
        <w:pStyle w:val="Heading1"/>
      </w:pPr>
      <w:r>
        <w:rPr/>
        <w:t xml:space="preserve">Inhalt</w:t>
      </w:r>
    </w:p>
    <w:p>
      <w:pPr>
        <w:pStyle w:val="BodyText"/>
        <w:numPr>
          <w:ilvl w:val="0"/>
          <w:numId w:val="1"/>
        </w:numPr>
        <w:spacing w:after="60" w:line="288" w:lineRule="auto"/>
      </w:pPr>
      <w:r>
        <w:t xml:space="preserve">1. Rolle und Auftrag</w:t>
      </w:r>
    </w:p>
    <w:p>
      <w:pPr>
        <w:pStyle w:val="BodyText"/>
        <w:numPr>
          <w:ilvl w:val="0"/>
          <w:numId w:val="1"/>
        </w:numPr>
        <w:spacing w:after="60" w:line="288" w:lineRule="auto"/>
      </w:pPr>
      <w:r>
        <w:t xml:space="preserve">2. Was in meiner Verantwortung liegt und was nicht</w:t>
      </w:r>
    </w:p>
    <w:p>
      <w:pPr>
        <w:pStyle w:val="BodyText"/>
        <w:numPr>
          <w:ilvl w:val="0"/>
          <w:numId w:val="1"/>
        </w:numPr>
        <w:spacing w:after="60" w:line="288" w:lineRule="auto"/>
      </w:pPr>
      <w:r>
        <w:t xml:space="preserve">3. Der einzige harte Termin: 08.09.2026</w:t>
      </w:r>
    </w:p>
    <w:p>
      <w:pPr>
        <w:pStyle w:val="BodyText"/>
        <w:numPr>
          <w:ilvl w:val="0"/>
          <w:numId w:val="1"/>
        </w:numPr>
        <w:spacing w:after="60" w:line="288" w:lineRule="auto"/>
      </w:pPr>
      <w:r>
        <w:t xml:space="preserve">4. Wo ich einen Entscheid oder eine Zulieferung brauche</w:t>
      </w:r>
    </w:p>
    <w:p>
      <w:pPr>
        <w:pStyle w:val="BodyText"/>
        <w:numPr>
          <w:ilvl w:val="0"/>
          <w:numId w:val="1"/>
        </w:numPr>
        <w:spacing w:after="60" w:line="288" w:lineRule="auto"/>
      </w:pPr>
      <w:r>
        <w:t xml:space="preserve">5. Die acht Arbeitspakete im Einzelnen</w:t>
      </w:r>
    </w:p>
    <w:p>
      <w:pPr>
        <w:pStyle w:val="BodyText"/>
        <w:numPr>
          <w:ilvl w:val="0"/>
          <w:numId w:val="1"/>
        </w:numPr>
        <w:spacing w:after="60" w:line="288" w:lineRule="auto"/>
      </w:pPr>
      <w:r>
        <w:t xml:space="preserve">6. Was in den nächsten sechs Monaten fertig wird</w:t>
      </w:r>
    </w:p>
    <w:p>
      <w:pPr>
        <w:pStyle w:val="BodyText"/>
        <w:numPr>
          <w:ilvl w:val="0"/>
          <w:numId w:val="1"/>
        </w:numPr>
        <w:spacing w:after="60" w:line="288" w:lineRule="auto"/>
      </w:pPr>
      <w:r>
        <w:t xml:space="preserve">7. Datenqualität und Nachweisführung</w:t>
      </w:r>
    </w:p>
    <w:p>
      <w:pPr>
        <w:pStyle w:val="BodyText"/>
        <w:numPr>
          <w:ilvl w:val="0"/>
          <w:numId w:val="1"/>
        </w:numPr>
        <w:spacing w:after="60" w:line="288" w:lineRule="auto"/>
      </w:pPr>
      <w:r>
        <w:t xml:space="preserve">8. Know-how-Risiko und Wiederanlauf</w:t>
      </w:r>
    </w:p>
    <w:p>
      <w:pPr>
        <w:pStyle w:val="BodyText"/>
        <w:numPr>
          <w:ilvl w:val="0"/>
          <w:numId w:val="1"/>
        </w:numPr>
        <w:spacing w:after="60" w:line="288" w:lineRule="auto"/>
      </w:pPr>
      <w:r>
        <w:t xml:space="preserve">9. Personen, mit denen ich zusammenarbeite</w:t>
      </w:r>
    </w:p>
    <w:p>
      <w:pPr>
        <w:pStyle w:val="BodyText"/>
        <w:numPr>
          <w:ilvl w:val="0"/>
          <w:numId w:val="1"/>
        </w:numPr>
        <w:spacing w:after="60" w:line="288" w:lineRule="auto"/>
      </w:pPr>
      <w:r>
        <w:t xml:space="preserve">10. Vorschlag für die Zusammenarbeit</w:t>
      </w:r>
    </w:p>
    <w:p>
      <w:pPr>
        <w:pStyle w:val="Heading1"/>
      </w:pPr>
      <w:r>
        <w:rPr/>
        <w:t xml:space="preserve">1. Rolle und Auftrag</w:t>
      </w:r>
    </w:p>
    <w:p>
      <w:pPr>
        <w:pStyle w:val="BodyText"/>
      </w:pPr>
      <w:r>
        <w:rPr/>
        <w:t xml:space="preserve">Meine Aufgabe ist es, aus den ERP-Systemen der einzelnen Landesgesellschaften ein gemeinsames, nachvollziehbares Zahlenbild für die Gruppe zu machen. Jede Tochtergesellschaft arbeitet mit einem eigenen System und mit eigenen Bezeichnungen. Ich hole diese Daten täglich ab, vereinheitliche sie, rechne die Kennzahlen und stelle sie im Cockpit, in Power BI und in einer zentralen Excel-Datei bereit.</w:t>
      </w:r>
    </w:p>
    <w:p>
      <w:pPr>
        <w:pStyle w:val="BodyText"/>
      </w:pPr>
      <w:r>
        <w:rPr/>
        <w:t xml:space="preserve">Dazu kommen die Auswertungen für Personal und für den Einkauf sowie die Pflege der SAP-Auswertungsprogramme, soweit sie für das Reporting gebraucht werden. Der Betrieb der Auswertungsplattform, ihre Weiterentwicklung und die Sicherstellung der Datenqualität gehören ebenfalls dazu.</w:t>
      </w:r>
    </w:p>
    <w:p>
      <w:pPr>
        <w:pStyle w:val="BodyText"/>
      </w:pPr>
      <w:r>
        <w:rPr/>
        <w:t xml:space="preserve">Wichtig für die Einordnung: Ich liefere die Zahlen, die Rechenwege und den Nachweis dafür. Die fachliche Freigabe einer Zahl als offizielle Kennzahl liegt bei der jeweiligen Fachstelle, im Finanzbereich bei Andreas Stoller. Diese Trennung ist bewusst so festgelegt und wird eingehalten.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500"/>
        <w:gridCol w:w="3500"/>
      </w:tblGrid>
      <w:tr>
        <w:tc>
          <w:tcPr>
            <w:tcW w:w="1500" w:type="pct"/>
            <w:shd w:val="clear" w:fill="D9E2F3"/>
            <w:tcMar>
              <w:top w:w="80" w:type="dxa"/>
              <w:left w:w="100" w:type="dxa"/>
              <w:bottom w:w="80" w:type="dxa"/>
              <w:right w:w="100" w:type="dxa"/>
            </w:tcMar>
          </w:tcPr>
          <w:p>
            <w:pPr>
              <w:pStyle w:val="Meta"/>
            </w:pPr>
            <w:r>
              <w:rPr>
                <w:b/>
                <w:color w:val="17365D"/>
              </w:rPr>
              <w:t xml:space="preserve">Verantwortung</w:t>
            </w:r>
          </w:p>
        </w:tc>
        <w:tc>
          <w:tcPr>
            <w:tcW w:w="3500" w:type="pct"/>
            <w:shd w:val="clear" w:fill="FFFFFF"/>
            <w:tcMar>
              <w:top w:w="80" w:type="dxa"/>
              <w:left w:w="100" w:type="dxa"/>
              <w:bottom w:w="80" w:type="dxa"/>
              <w:right w:w="100" w:type="dxa"/>
            </w:tcMar>
          </w:tcPr>
          <w:p>
            <w:pPr>
              <w:pStyle w:val="Meta"/>
            </w:pPr>
            <w:r>
              <w:rPr/>
              <w:t xml:space="preserve">Analytics, BI-Dashboards, Reporting-Auswertungen und die .NET-Auswertungswebseite</w:t>
            </w:r>
          </w:p>
        </w:tc>
      </w:tr>
      <w:tr>
        <w:tc>
          <w:tcPr>
            <w:tcW w:w="1500" w:type="pct"/>
            <w:shd w:val="clear" w:fill="D9E2F3"/>
            <w:tcMar>
              <w:top w:w="80" w:type="dxa"/>
              <w:left w:w="100" w:type="dxa"/>
              <w:bottom w:w="80" w:type="dxa"/>
              <w:right w:w="100" w:type="dxa"/>
            </w:tcMar>
          </w:tcPr>
          <w:p>
            <w:pPr>
              <w:pStyle w:val="Meta"/>
            </w:pPr>
            <w:r>
              <w:rPr>
                <w:b/>
                <w:color w:val="17365D"/>
              </w:rPr>
              <w:t xml:space="preserve">Datenumfang</w:t>
            </w:r>
          </w:p>
        </w:tc>
        <w:tc>
          <w:tcPr>
            <w:tcW w:w="3500" w:type="pct"/>
            <w:shd w:val="clear" w:fill="FFFFFF"/>
            <w:tcMar>
              <w:top w:w="80" w:type="dxa"/>
              <w:left w:w="100" w:type="dxa"/>
              <w:bottom w:w="80" w:type="dxa"/>
              <w:right w:w="100" w:type="dxa"/>
            </w:tcMar>
          </w:tcPr>
          <w:p>
            <w:pPr>
              <w:pStyle w:val="Meta"/>
            </w:pPr>
            <w:r>
              <w:rPr/>
              <w:t xml:space="preserve">Neun Standorte; 105'282 Verkaufszeilen in der zentralen Datei, gemessen am 01.09.2026</w:t>
            </w:r>
          </w:p>
        </w:tc>
      </w:tr>
      <w:tr>
        <w:tc>
          <w:tcPr>
            <w:tcW w:w="1500" w:type="pct"/>
            <w:shd w:val="clear" w:fill="D9E2F3"/>
            <w:tcMar>
              <w:top w:w="80" w:type="dxa"/>
              <w:left w:w="100" w:type="dxa"/>
              <w:bottom w:w="80" w:type="dxa"/>
              <w:right w:w="100" w:type="dxa"/>
            </w:tcMar>
          </w:tcPr>
          <w:p>
            <w:pPr>
              <w:pStyle w:val="Meta"/>
            </w:pPr>
            <w:r>
              <w:rPr>
                <w:b/>
                <w:color w:val="17365D"/>
              </w:rPr>
              <w:t xml:space="preserve">Systeme</w:t>
            </w:r>
          </w:p>
        </w:tc>
        <w:tc>
          <w:tcPr>
            <w:tcW w:w="3500" w:type="pct"/>
            <w:shd w:val="clear" w:fill="FFFFFF"/>
            <w:tcMar>
              <w:top w:w="80" w:type="dxa"/>
              <w:left w:w="100" w:type="dxa"/>
              <w:bottom w:w="80" w:type="dxa"/>
              <w:right w:w="100" w:type="dxa"/>
            </w:tcMar>
          </w:tcPr>
          <w:p>
            <w:pPr>
              <w:pStyle w:val="Meta"/>
            </w:pPr>
            <w:r>
              <w:rPr/>
              <w:t xml:space="preserve">SAP, Sage 200 (Spanien), SAP Business One, Alphaplan (Deutschland), eigene .NET-Plattform</w:t>
            </w:r>
          </w:p>
        </w:tc>
      </w:tr>
      <w:tr>
        <w:tc>
          <w:tcPr>
            <w:tcW w:w="1500" w:type="pct"/>
            <w:shd w:val="clear" w:fill="D9E2F3"/>
            <w:tcMar>
              <w:top w:w="80" w:type="dxa"/>
              <w:left w:w="100" w:type="dxa"/>
              <w:bottom w:w="80" w:type="dxa"/>
              <w:right w:w="100" w:type="dxa"/>
            </w:tcMar>
          </w:tcPr>
          <w:p>
            <w:pPr>
              <w:pStyle w:val="Meta"/>
            </w:pPr>
            <w:r>
              <w:rPr>
                <w:b/>
                <w:color w:val="17365D"/>
              </w:rPr>
              <w:t xml:space="preserve">Betriebsrhythmus</w:t>
            </w:r>
          </w:p>
        </w:tc>
        <w:tc>
          <w:tcPr>
            <w:tcW w:w="3500" w:type="pct"/>
            <w:shd w:val="clear" w:fill="FFFFFF"/>
            <w:tcMar>
              <w:top w:w="80" w:type="dxa"/>
              <w:left w:w="100" w:type="dxa"/>
              <w:bottom w:w="80" w:type="dxa"/>
              <w:right w:w="100" w:type="dxa"/>
            </w:tcMar>
          </w:tcPr>
          <w:p>
            <w:pPr>
              <w:pStyle w:val="Meta"/>
            </w:pPr>
            <w:r>
              <w:rPr/>
              <w:t xml:space="preserve">Täglicher automatischer Datenabzug je Standort, täglich erzeugte zentrale Excel-Datei</w:t>
            </w:r>
          </w:p>
        </w:tc>
      </w:tr>
      <w:tr>
        <w:tc>
          <w:tcPr>
            <w:tcW w:w="1500" w:type="pct"/>
            <w:shd w:val="clear" w:fill="D9E2F3"/>
            <w:tcMar>
              <w:top w:w="80" w:type="dxa"/>
              <w:left w:w="100" w:type="dxa"/>
              <w:bottom w:w="80" w:type="dxa"/>
              <w:right w:w="100" w:type="dxa"/>
            </w:tcMar>
          </w:tcPr>
          <w:p>
            <w:pPr>
              <w:pStyle w:val="Meta"/>
            </w:pPr>
            <w:r>
              <w:rPr>
                <w:b/>
                <w:color w:val="17365D"/>
              </w:rPr>
              <w:t xml:space="preserve">Planungshorizont</w:t>
            </w:r>
          </w:p>
        </w:tc>
        <w:tc>
          <w:tcPr>
            <w:tcW w:w="3500" w:type="pct"/>
            <w:shd w:val="clear" w:fill="FFFFFF"/>
            <w:tcMar>
              <w:top w:w="80" w:type="dxa"/>
              <w:left w:w="100" w:type="dxa"/>
              <w:bottom w:w="80" w:type="dxa"/>
              <w:right w:w="100" w:type="dxa"/>
            </w:tcMar>
          </w:tcPr>
          <w:p>
            <w:pPr>
              <w:pStyle w:val="Meta"/>
            </w:pPr>
            <w:r>
              <w:rPr/>
              <w:t xml:space="preserve">18.06.2026 bis 15.12.2026, danach Fortschreibung für 2027</w:t>
            </w:r>
          </w:p>
        </w:tc>
      </w:tr>
      <w:tr>
        <w:tc>
          <w:tcPr>
            <w:tcW w:w="1500" w:type="pct"/>
            <w:shd w:val="clear" w:fill="D9E2F3"/>
            <w:tcMar>
              <w:top w:w="80" w:type="dxa"/>
              <w:left w:w="100" w:type="dxa"/>
              <w:bottom w:w="80" w:type="dxa"/>
              <w:right w:w="100" w:type="dxa"/>
            </w:tcMar>
          </w:tcPr>
          <w:p>
            <w:pPr>
              <w:pStyle w:val="Meta"/>
            </w:pPr>
            <w:r>
              <w:rPr>
                <w:b/>
                <w:color w:val="17365D"/>
              </w:rPr>
              <w:t xml:space="preserve">Offene Punkte</w:t>
            </w:r>
          </w:p>
        </w:tc>
        <w:tc>
          <w:tcPr>
            <w:tcW w:w="3500" w:type="pct"/>
            <w:shd w:val="clear" w:fill="FFFFFF"/>
            <w:tcMar>
              <w:top w:w="80" w:type="dxa"/>
              <w:left w:w="100" w:type="dxa"/>
              <w:bottom w:w="80" w:type="dxa"/>
              <w:right w:w="100" w:type="dxa"/>
            </w:tcMar>
          </w:tcPr>
          <w:p>
            <w:pPr>
              <w:pStyle w:val="Meta"/>
            </w:pPr>
            <w:r>
              <w:rPr/>
              <w:t xml:space="preserve">8 übergeordnete Arbeitspakete, davon 1 mit festem Termin; 25 Detailpunkte im Issue-Log</w:t>
            </w:r>
          </w:p>
        </w:tc>
      </w:tr>
    </w:tbl>
    <w:p>
      <w:pPr>
        <w:pStyle w:val="Meta"/>
        <w:spacing w:after="0" w:line="160" w:lineRule="exact"/>
      </w:pPr>
    </w:p>
    <w:p>
      <w:pPr>
        <w:pStyle w:val="Heading1"/>
      </w:pPr>
      <w:r>
        <w:rPr/>
        <w:t xml:space="preserve">2. Was in meiner Verantwortung liegt und was nicht</w:t>
      </w:r>
    </w:p>
    <w:p>
      <w:pPr>
        <w:pStyle w:val="BodyText"/>
      </w:pPr>
      <w:r>
        <w:rPr/>
        <w:t xml:space="preserve">Diese Abgrenzung ist am 18.06.2026 festgelegt worden und gilt unverändert. Sie ist der wichtigste Punkt für eine neue Zusammenarbeit, weil mehrere grosse IT-Themen bei Trafag direkt benachbart sind, aber ausdrücklich nicht bei mir liegen.</w:t>
      </w:r>
    </w:p>
    <w:p>
      <w:pPr>
        <w:pStyle w:val="Heading2"/>
      </w:pPr>
      <w:r>
        <w:rPr/>
        <w:t xml:space="preserve">2.1 In meiner Verantwortung</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700"/>
        <w:gridCol w:w="3300"/>
      </w:tblGrid>
      <w:tr>
        <w:trPr>
          <w:tblHeader/>
        </w:trPr>
        <w:tc>
          <w:tcPr>
            <w:tcW w:w="1700" w:type="pct"/>
            <w:shd w:val="clear" w:fill="17365D"/>
            <w:tcMar>
              <w:top w:w="80" w:type="dxa"/>
              <w:left w:w="100" w:type="dxa"/>
              <w:bottom w:w="80" w:type="dxa"/>
              <w:right w:w="100" w:type="dxa"/>
            </w:tcMar>
          </w:tcPr>
          <w:p>
            <w:pPr>
              <w:pStyle w:val="Meta"/>
            </w:pPr>
            <w:r>
              <w:rPr>
                <w:b/>
                <w:color w:val="FFFFFF"/>
              </w:rPr>
              <w:t xml:space="preserve">Bereich</w:t>
            </w:r>
          </w:p>
        </w:tc>
        <w:tc>
          <w:tcPr>
            <w:tcW w:w="3300" w:type="pct"/>
            <w:shd w:val="clear" w:fill="17365D"/>
            <w:tcMar>
              <w:top w:w="80" w:type="dxa"/>
              <w:left w:w="100" w:type="dxa"/>
              <w:bottom w:w="80" w:type="dxa"/>
              <w:right w:w="100" w:type="dxa"/>
            </w:tcMar>
          </w:tcPr>
          <w:p>
            <w:pPr>
              <w:pStyle w:val="Meta"/>
            </w:pPr>
            <w:r>
              <w:rPr>
                <w:b/>
                <w:color w:val="FFFFFF"/>
              </w:rPr>
              <w:t xml:space="preserve">Was ich dort verantworte</w:t>
            </w:r>
          </w:p>
        </w:tc>
      </w:tr>
      <w:tr>
        <w:tc>
          <w:tcPr>
            <w:tcW w:w="1700" w:type="pct"/>
            <w:shd w:val="clear" w:fill="FFFFFF"/>
            <w:tcMar>
              <w:top w:w="80" w:type="dxa"/>
              <w:left w:w="100" w:type="dxa"/>
              <w:bottom w:w="80" w:type="dxa"/>
              <w:right w:w="100" w:type="dxa"/>
            </w:tcMar>
          </w:tcPr>
          <w:p>
            <w:pPr>
              <w:pStyle w:val="Meta"/>
            </w:pPr>
            <w:r>
              <w:rPr>
                <w:b/>
              </w:rPr>
              <w:t xml:space="preserve">Verkaufsdaten der Gruppe</w:t>
            </w:r>
          </w:p>
        </w:tc>
        <w:tc>
          <w:tcPr>
            <w:tcW w:w="3300" w:type="pct"/>
            <w:shd w:val="clear" w:fill="FFFFFF"/>
            <w:tcMar>
              <w:top w:w="80" w:type="dxa"/>
              <w:left w:w="100" w:type="dxa"/>
              <w:bottom w:w="80" w:type="dxa"/>
              <w:right w:w="100" w:type="dxa"/>
            </w:tcMar>
          </w:tcPr>
          <w:p>
            <w:pPr>
              <w:pStyle w:val="Meta"/>
            </w:pPr>
            <w:r>
              <w:rPr/>
              <w:t xml:space="preserve">Abzug, Vereinheitlichung und Zusammenführung der ERP-Daten aller Tochtergesellschaften in eine gemeinsame Auswertungsbasis</w:t>
            </w:r>
          </w:p>
        </w:tc>
      </w:tr>
      <w:tr>
        <w:tc>
          <w:tcPr>
            <w:tcW w:w="1700" w:type="pct"/>
            <w:shd w:val="clear" w:fill="F4F7FB"/>
            <w:tcMar>
              <w:top w:w="80" w:type="dxa"/>
              <w:left w:w="100" w:type="dxa"/>
              <w:bottom w:w="80" w:type="dxa"/>
              <w:right w:w="100" w:type="dxa"/>
            </w:tcMar>
          </w:tcPr>
          <w:p>
            <w:pPr>
              <w:pStyle w:val="Meta"/>
            </w:pPr>
            <w:r>
              <w:rPr>
                <w:b/>
              </w:rPr>
              <w:t xml:space="preserve">Finanz- und Verkaufsreporting</w:t>
            </w:r>
          </w:p>
        </w:tc>
        <w:tc>
          <w:tcPr>
            <w:tcW w:w="3300" w:type="pct"/>
            <w:shd w:val="clear" w:fill="F4F7FB"/>
            <w:tcMar>
              <w:top w:w="80" w:type="dxa"/>
              <w:left w:w="100" w:type="dxa"/>
              <w:bottom w:w="80" w:type="dxa"/>
              <w:right w:w="100" w:type="dxa"/>
            </w:tcMar>
          </w:tcPr>
          <w:p>
            <w:pPr>
              <w:pStyle w:val="Meta"/>
            </w:pPr>
            <w:r>
              <w:rPr/>
              <w:t xml:space="preserve">Harmonisierung der Kennzahlen, Umsatz, Marge, Standardkosten, Nachvollziehbarkeit und Nachweisführung</w:t>
            </w:r>
          </w:p>
        </w:tc>
      </w:tr>
      <w:tr>
        <w:tc>
          <w:tcPr>
            <w:tcW w:w="1700" w:type="pct"/>
            <w:shd w:val="clear" w:fill="FFFFFF"/>
            <w:tcMar>
              <w:top w:w="80" w:type="dxa"/>
              <w:left w:w="100" w:type="dxa"/>
              <w:bottom w:w="80" w:type="dxa"/>
              <w:right w:w="100" w:type="dxa"/>
            </w:tcMar>
          </w:tcPr>
          <w:p>
            <w:pPr>
              <w:pStyle w:val="Meta"/>
            </w:pPr>
            <w:r>
              <w:rPr>
                <w:b/>
              </w:rPr>
              <w:t xml:space="preserve">Personalauswertung</w:t>
            </w:r>
          </w:p>
        </w:tc>
        <w:tc>
          <w:tcPr>
            <w:tcW w:w="3300" w:type="pct"/>
            <w:shd w:val="clear" w:fill="FFFFFF"/>
            <w:tcMar>
              <w:top w:w="80" w:type="dxa"/>
              <w:left w:w="100" w:type="dxa"/>
              <w:bottom w:w="80" w:type="dxa"/>
              <w:right w:w="100" w:type="dxa"/>
            </w:tcMar>
          </w:tcPr>
          <w:p>
            <w:pPr>
              <w:pStyle w:val="Meta"/>
            </w:pPr>
            <w:r>
              <w:rPr/>
              <w:t xml:space="preserve">Auswertung und Darstellung der Personaldaten, Fluktuation und Absenzen; getrennte Zugriffsrechte</w:t>
            </w:r>
          </w:p>
        </w:tc>
      </w:tr>
      <w:tr>
        <w:tc>
          <w:tcPr>
            <w:tcW w:w="1700" w:type="pct"/>
            <w:shd w:val="clear" w:fill="F4F7FB"/>
            <w:tcMar>
              <w:top w:w="80" w:type="dxa"/>
              <w:left w:w="100" w:type="dxa"/>
              <w:bottom w:w="80" w:type="dxa"/>
              <w:right w:w="100" w:type="dxa"/>
            </w:tcMar>
          </w:tcPr>
          <w:p>
            <w:pPr>
              <w:pStyle w:val="Meta"/>
            </w:pPr>
            <w:r>
              <w:rPr>
                <w:b/>
              </w:rPr>
              <w:t xml:space="preserve">Einkaufsauswertung</w:t>
            </w:r>
          </w:p>
        </w:tc>
        <w:tc>
          <w:tcPr>
            <w:tcW w:w="3300" w:type="pct"/>
            <w:shd w:val="clear" w:fill="F4F7FB"/>
            <w:tcMar>
              <w:top w:w="80" w:type="dxa"/>
              <w:left w:w="100" w:type="dxa"/>
              <w:bottom w:w="80" w:type="dxa"/>
              <w:right w:w="100" w:type="dxa"/>
            </w:tcMar>
          </w:tcPr>
          <w:p>
            <w:pPr>
              <w:pStyle w:val="Meta"/>
            </w:pPr>
            <w:r>
              <w:rPr/>
              <w:t xml:space="preserve">Einkaufsvolumen je Lieferant und Jahr, offene Bestellungen, Disposition, Produkt- und Warengruppen</w:t>
            </w:r>
          </w:p>
        </w:tc>
      </w:tr>
      <w:tr>
        <w:tc>
          <w:tcPr>
            <w:tcW w:w="1700" w:type="pct"/>
            <w:shd w:val="clear" w:fill="FFFFFF"/>
            <w:tcMar>
              <w:top w:w="80" w:type="dxa"/>
              <w:left w:w="100" w:type="dxa"/>
              <w:bottom w:w="80" w:type="dxa"/>
              <w:right w:w="100" w:type="dxa"/>
            </w:tcMar>
          </w:tcPr>
          <w:p>
            <w:pPr>
              <w:pStyle w:val="Meta"/>
            </w:pPr>
            <w:r>
              <w:rPr>
                <w:b/>
              </w:rPr>
              <w:t xml:space="preserve">Auswertungsplattform</w:t>
            </w:r>
          </w:p>
        </w:tc>
        <w:tc>
          <w:tcPr>
            <w:tcW w:w="3300" w:type="pct"/>
            <w:shd w:val="clear" w:fill="FFFFFF"/>
            <w:tcMar>
              <w:top w:w="80" w:type="dxa"/>
              <w:left w:w="100" w:type="dxa"/>
              <w:bottom w:w="80" w:type="dxa"/>
              <w:right w:w="100" w:type="dxa"/>
            </w:tcMar>
          </w:tcPr>
          <w:p>
            <w:pPr>
              <w:pStyle w:val="Meta"/>
            </w:pPr>
            <w:r>
              <w:rPr/>
              <w:t xml:space="preserve">Betrieb, Weiterentwicklung, Bereitstellung auf dem Server und Datenqualität</w:t>
            </w:r>
          </w:p>
        </w:tc>
      </w:tr>
      <w:tr>
        <w:tc>
          <w:tcPr>
            <w:tcW w:w="1700" w:type="pct"/>
            <w:shd w:val="clear" w:fill="F4F7FB"/>
            <w:tcMar>
              <w:top w:w="80" w:type="dxa"/>
              <w:left w:w="100" w:type="dxa"/>
              <w:bottom w:w="80" w:type="dxa"/>
              <w:right w:w="100" w:type="dxa"/>
            </w:tcMar>
          </w:tcPr>
          <w:p>
            <w:pPr>
              <w:pStyle w:val="Meta"/>
            </w:pPr>
            <w:r>
              <w:rPr>
                <w:b/>
              </w:rPr>
              <w:t xml:space="preserve">SAP-Auswertungsprogramme</w:t>
            </w:r>
          </w:p>
        </w:tc>
        <w:tc>
          <w:tcPr>
            <w:tcW w:w="3300" w:type="pct"/>
            <w:shd w:val="clear" w:fill="F4F7FB"/>
            <w:tcMar>
              <w:top w:w="80" w:type="dxa"/>
              <w:left w:w="100" w:type="dxa"/>
              <w:bottom w:w="80" w:type="dxa"/>
              <w:right w:w="100" w:type="dxa"/>
            </w:tcMar>
          </w:tcPr>
          <w:p>
            <w:pPr>
              <w:pStyle w:val="Meta"/>
            </w:pPr>
            <w:r>
              <w:rPr/>
              <w:t xml:space="preserve">Pflege der Auswertungs- und Z-Programme, soweit sie für Reporting oder die Webseite gebraucht werden</w:t>
            </w:r>
          </w:p>
        </w:tc>
      </w:tr>
    </w:tbl>
    <w:p>
      <w:pPr>
        <w:pStyle w:val="Meta"/>
        <w:spacing w:after="0" w:line="160" w:lineRule="exact"/>
      </w:pPr>
    </w:p>
    <w:p>
      <w:pPr>
        <w:pStyle w:val="Heading2"/>
      </w:pPr>
      <w:r>
        <w:rPr/>
        <w:t xml:space="preserve">2.2 Nicht in meiner Verantwortung</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3200"/>
        <w:gridCol w:w="1800"/>
      </w:tblGrid>
      <w:tr>
        <w:trPr>
          <w:tblHeader/>
        </w:trPr>
        <w:tc>
          <w:tcPr>
            <w:tcW w:w="3200" w:type="pct"/>
            <w:shd w:val="clear" w:fill="17365D"/>
            <w:tcMar>
              <w:top w:w="80" w:type="dxa"/>
              <w:left w:w="100" w:type="dxa"/>
              <w:bottom w:w="80" w:type="dxa"/>
              <w:right w:w="100" w:type="dxa"/>
            </w:tcMar>
          </w:tcPr>
          <w:p>
            <w:pPr>
              <w:pStyle w:val="Meta"/>
            </w:pPr>
            <w:r>
              <w:rPr>
                <w:b/>
                <w:color w:val="FFFFFF"/>
              </w:rPr>
              <w:t xml:space="preserve">Thema</w:t>
            </w:r>
          </w:p>
        </w:tc>
        <w:tc>
          <w:tcPr>
            <w:tcW w:w="1800" w:type="pct"/>
            <w:shd w:val="clear" w:fill="17365D"/>
            <w:tcMar>
              <w:top w:w="80" w:type="dxa"/>
              <w:left w:w="100" w:type="dxa"/>
              <w:bottom w:w="80" w:type="dxa"/>
              <w:right w:w="100" w:type="dxa"/>
            </w:tcMar>
          </w:tcPr>
          <w:p>
            <w:pPr>
              <w:pStyle w:val="Meta"/>
            </w:pPr>
            <w:r>
              <w:rPr>
                <w:b/>
                <w:color w:val="FFFFFF"/>
              </w:rPr>
              <w:t xml:space="preserve">Liegt bei</w:t>
            </w:r>
          </w:p>
        </w:tc>
      </w:tr>
      <w:tr>
        <w:tc>
          <w:tcPr>
            <w:tcW w:w="3200" w:type="pct"/>
            <w:shd w:val="clear" w:fill="FFFFFF"/>
            <w:tcMar>
              <w:top w:w="80" w:type="dxa"/>
              <w:left w:w="100" w:type="dxa"/>
              <w:bottom w:w="80" w:type="dxa"/>
              <w:right w:w="100" w:type="dxa"/>
            </w:tcMar>
          </w:tcPr>
          <w:p>
            <w:pPr>
              <w:pStyle w:val="Meta"/>
            </w:pPr>
            <w:r>
              <w:rPr>
                <w:b/>
              </w:rPr>
              <w:t xml:space="preserve">S/4HANA-Verträglichkeitsprüfung und die Abschaltung der Fernaufrufe, rund 30 betroffene SAP-Anwendungen</w:t>
            </w:r>
          </w:p>
        </w:tc>
        <w:tc>
          <w:tcPr>
            <w:tcW w:w="1800" w:type="pct"/>
            <w:shd w:val="clear" w:fill="FFFFFF"/>
            <w:tcMar>
              <w:top w:w="80" w:type="dxa"/>
              <w:left w:w="100" w:type="dxa"/>
              <w:bottom w:w="80" w:type="dxa"/>
              <w:right w:w="100" w:type="dxa"/>
            </w:tcMar>
          </w:tcPr>
          <w:p>
            <w:pPr>
              <w:pStyle w:val="Meta"/>
            </w:pPr>
            <w:r>
              <w:rPr/>
              <w:t xml:space="preserve">Lucas</w:t>
            </w:r>
          </w:p>
        </w:tc>
      </w:tr>
      <w:tr>
        <w:tc>
          <w:tcPr>
            <w:tcW w:w="3200" w:type="pct"/>
            <w:shd w:val="clear" w:fill="F4F7FB"/>
            <w:tcMar>
              <w:top w:w="80" w:type="dxa"/>
              <w:left w:w="100" w:type="dxa"/>
              <w:bottom w:w="80" w:type="dxa"/>
              <w:right w:w="100" w:type="dxa"/>
            </w:tcMar>
          </w:tcPr>
          <w:p>
            <w:pPr>
              <w:pStyle w:val="Meta"/>
            </w:pPr>
            <w:r>
              <w:rPr>
                <w:b/>
              </w:rPr>
              <w:t xml:space="preserve">SAP Business One als Server- und Anwendungsprojekt</w:t>
            </w:r>
          </w:p>
        </w:tc>
        <w:tc>
          <w:tcPr>
            <w:tcW w:w="1800" w:type="pct"/>
            <w:shd w:val="clear" w:fill="F4F7FB"/>
            <w:tcMar>
              <w:top w:w="80" w:type="dxa"/>
              <w:left w:w="100" w:type="dxa"/>
              <w:bottom w:w="80" w:type="dxa"/>
              <w:right w:w="100" w:type="dxa"/>
            </w:tcMar>
          </w:tcPr>
          <w:p>
            <w:pPr>
              <w:pStyle w:val="Meta"/>
            </w:pPr>
            <w:r>
              <w:rPr/>
              <w:t xml:space="preserve">Lucas, Upgreat, NTT beziehungsweise ANG</w:t>
            </w:r>
          </w:p>
        </w:tc>
      </w:tr>
      <w:tr>
        <w:tc>
          <w:tcPr>
            <w:tcW w:w="3200" w:type="pct"/>
            <w:shd w:val="clear" w:fill="FFFFFF"/>
            <w:tcMar>
              <w:top w:w="80" w:type="dxa"/>
              <w:left w:w="100" w:type="dxa"/>
              <w:bottom w:w="80" w:type="dxa"/>
              <w:right w:w="100" w:type="dxa"/>
            </w:tcMar>
          </w:tcPr>
          <w:p>
            <w:pPr>
              <w:pStyle w:val="Meta"/>
            </w:pPr>
            <w:r>
              <w:rPr>
                <w:b/>
              </w:rPr>
              <w:t xml:space="preserve">Netzwerk, Server, Sicherheit und Infrastrukturerneuerung</w:t>
            </w:r>
          </w:p>
        </w:tc>
        <w:tc>
          <w:tcPr>
            <w:tcW w:w="1800" w:type="pct"/>
            <w:shd w:val="clear" w:fill="FFFFFF"/>
            <w:tcMar>
              <w:top w:w="80" w:type="dxa"/>
              <w:left w:w="100" w:type="dxa"/>
              <w:bottom w:w="80" w:type="dxa"/>
              <w:right w:w="100" w:type="dxa"/>
            </w:tcMar>
          </w:tcPr>
          <w:p>
            <w:pPr>
              <w:pStyle w:val="Meta"/>
            </w:pPr>
            <w:r>
              <w:rPr/>
              <w:t xml:space="preserve">Alex, Ramon, Upgreat und die Infrastrukturpartner</w:t>
            </w:r>
          </w:p>
        </w:tc>
      </w:tr>
      <w:tr>
        <w:tc>
          <w:tcPr>
            <w:tcW w:w="3200" w:type="pct"/>
            <w:shd w:val="clear" w:fill="F4F7FB"/>
            <w:tcMar>
              <w:top w:w="80" w:type="dxa"/>
              <w:left w:w="100" w:type="dxa"/>
              <w:bottom w:w="80" w:type="dxa"/>
              <w:right w:w="100" w:type="dxa"/>
            </w:tcMar>
          </w:tcPr>
          <w:p>
            <w:pPr>
              <w:pStyle w:val="Meta"/>
            </w:pPr>
            <w:r>
              <w:rPr>
                <w:b/>
              </w:rPr>
              <w:t xml:space="preserve">Fachliche Freigabe von Finanz- und Personalkennzahlen</w:t>
            </w:r>
          </w:p>
        </w:tc>
        <w:tc>
          <w:tcPr>
            <w:tcW w:w="1800" w:type="pct"/>
            <w:shd w:val="clear" w:fill="F4F7FB"/>
            <w:tcMar>
              <w:top w:w="80" w:type="dxa"/>
              <w:left w:w="100" w:type="dxa"/>
              <w:bottom w:w="80" w:type="dxa"/>
              <w:right w:w="100" w:type="dxa"/>
            </w:tcMar>
          </w:tcPr>
          <w:p>
            <w:pPr>
              <w:pStyle w:val="Meta"/>
            </w:pPr>
            <w:r>
              <w:rPr/>
              <w:t xml:space="preserve">Andreas Stoller (Finanzen), Sonja (Personal)</w:t>
            </w:r>
          </w:p>
        </w:tc>
      </w:tr>
      <w:tr>
        <w:tc>
          <w:tcPr>
            <w:tcW w:w="3200" w:type="pct"/>
            <w:shd w:val="clear" w:fill="FFFFFF"/>
            <w:tcMar>
              <w:top w:w="80" w:type="dxa"/>
              <w:left w:w="100" w:type="dxa"/>
              <w:bottom w:w="80" w:type="dxa"/>
              <w:right w:w="100" w:type="dxa"/>
            </w:tcMar>
          </w:tcPr>
          <w:p>
            <w:pPr>
              <w:pStyle w:val="Meta"/>
            </w:pPr>
            <w:r>
              <w:rPr>
                <w:b/>
              </w:rPr>
              <w:t xml:space="preserve">Zuordnung von Kunden zu Marktsegmenten</w:t>
            </w:r>
          </w:p>
        </w:tc>
        <w:tc>
          <w:tcPr>
            <w:tcW w:w="1800" w:type="pct"/>
            <w:shd w:val="clear" w:fill="FFFFFF"/>
            <w:tcMar>
              <w:top w:w="80" w:type="dxa"/>
              <w:left w:w="100" w:type="dxa"/>
              <w:bottom w:w="80" w:type="dxa"/>
              <w:right w:w="100" w:type="dxa"/>
            </w:tcMar>
          </w:tcPr>
          <w:p>
            <w:pPr>
              <w:pStyle w:val="Meta"/>
            </w:pPr>
            <w:r>
              <w:rPr/>
              <w:t xml:space="preserve">Patrik, Verkauf</w:t>
            </w:r>
          </w:p>
        </w:tc>
      </w:tr>
    </w:tbl>
    <w:p>
      <w:pPr>
        <w:pStyle w:val="Meta"/>
        <w:spacing w:after="0" w:line="160" w:lineRule="exact"/>
      </w:pPr>
    </w:p>
    <w:p>
      <w:pPr>
        <w:pStyle w:val="Heading1"/>
      </w:pPr>
      <w:r>
        <w:rPr/>
        <w:t xml:space="preserve">3. Der einzige harte Termin: 08.09.2026</w:t>
      </w:r>
    </w:p>
    <w:p>
      <w:pPr>
        <w:pStyle w:val="BodyText"/>
      </w:pPr>
      <w:r>
        <w:rPr/>
        <w:t xml:space="preserve">Rohail Munir aus Deutschland hat am 27.08.2026 eine Auswertung angefragt, wie viel Umsatz der Konzern mit der Bahnindustrie macht. Er braucht sie bis zum 08.09.2026 für eine Präsentation zum Projektstand. Das ist der einzige zugesagte Termin in meinem Bereich.</w:t>
      </w:r>
    </w:p>
    <w:p>
      <w:pPr>
        <w:pStyle w:val="BodyText"/>
      </w:pPr>
      <w:r>
        <w:rPr/>
        <w:t xml:space="preserve">Die technische Seite ist fertig und seit dem 13.08.2026 produktiv; seit dem 01.09.2026 gibt es zusätzlich einen Excel-Export auf Knopfdruck. Zwei Dinge fehlen, und beide liegen nicht bei mir.</w:t>
      </w:r>
    </w:p>
    <w:p>
      <w:pPr>
        <w:pStyle w:val="BodyText"/>
      </w:pPr>
      <w:r>
        <w:rPr/>
        <w:t xml:space="preserve">Erstens muss der Verkauf bestätigen, welche Kunden zur Bahnindustrie gehören. Die Zuordnung hängt am Kunden und nicht am Produkt, weil derselbe Drucktransmitter in einen Zug oder in eine Werkzeugmaschine gehen kann. Es liegen 173 maschinelle Vorschläge vor, bestätigt ist bisher keiner. Ich bestätige sie bewusst nicht stellvertretend, weil das eine Verkaufsentscheidung ist.</w:t>
      </w:r>
    </w:p>
    <w:p>
      <w:pPr>
        <w:pStyle w:val="BodyText"/>
      </w:pPr>
      <w:r>
        <w:rPr/>
        <w:t xml:space="preserve">Zweitens fehlen für Deutschland die Kundennamen. Das ist ausdrücklich eine Lücke in unserer eigenen Abfrage und kein Versäumnis des Standorts: Die Abfrage liest die Adressnummer, löst sie aber nie zu einem Namen auf. Deshalb konnte der Namensabgleich für Deutschland nichts finden. Dafür brauche ich einen lesenden Auszug der Tabellenstruktur aus der deutschen Datenbank.</w:t>
      </w:r>
    </w:p>
    <w:p>
      <w:pPr>
        <w:pStyle w:val="BodyText"/>
      </w:pPr>
      <w:r>
        <w:rPr/>
        <w:t xml:space="preserve">Meine Empfehlung ist, Herrn Munir jetzt schon zu sagen, dass Deutschland möglicherweise fehlt. Eine Auswertung, die Deutschland stillschweigend mit null Bahnumsatz zeigt, wäre in einer Präsentation schlechter als eine, die die Lücke offen benennt.</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900"/>
        <w:gridCol w:w="3100"/>
      </w:tblGrid>
      <w:tr>
        <w:trPr>
          <w:tblHeader/>
        </w:trPr>
        <w:tc>
          <w:tcPr>
            <w:tcW w:w="1900" w:type="pct"/>
            <w:shd w:val="clear" w:fill="17365D"/>
            <w:tcMar>
              <w:top w:w="80" w:type="dxa"/>
              <w:left w:w="100" w:type="dxa"/>
              <w:bottom w:w="80" w:type="dxa"/>
              <w:right w:w="100" w:type="dxa"/>
            </w:tcMar>
          </w:tcPr>
          <w:p>
            <w:pPr>
              <w:pStyle w:val="Meta"/>
            </w:pPr>
            <w:r>
              <w:rPr>
                <w:b/>
                <w:color w:val="FFFFFF"/>
              </w:rPr>
              <w:t xml:space="preserve">Punkt</w:t>
            </w:r>
          </w:p>
        </w:tc>
        <w:tc>
          <w:tcPr>
            <w:tcW w:w="3100" w:type="pct"/>
            <w:shd w:val="clear" w:fill="17365D"/>
            <w:tcMar>
              <w:top w:w="80" w:type="dxa"/>
              <w:left w:w="100" w:type="dxa"/>
              <w:bottom w:w="80" w:type="dxa"/>
              <w:right w:w="100" w:type="dxa"/>
            </w:tcMar>
          </w:tcPr>
          <w:p>
            <w:pPr>
              <w:pStyle w:val="Meta"/>
            </w:pPr>
            <w:r>
              <w:rPr>
                <w:b/>
                <w:color w:val="FFFFFF"/>
              </w:rPr>
              <w:t xml:space="preserve">Stand am 01.09.2026</w:t>
            </w:r>
          </w:p>
        </w:tc>
      </w:tr>
      <w:tr>
        <w:tc>
          <w:tcPr>
            <w:tcW w:w="1900" w:type="pct"/>
            <w:shd w:val="clear" w:fill="FFFFFF"/>
            <w:tcMar>
              <w:top w:w="80" w:type="dxa"/>
              <w:left w:w="100" w:type="dxa"/>
              <w:bottom w:w="80" w:type="dxa"/>
              <w:right w:w="100" w:type="dxa"/>
            </w:tcMar>
          </w:tcPr>
          <w:p>
            <w:pPr>
              <w:pStyle w:val="Meta"/>
            </w:pPr>
            <w:r>
              <w:rPr>
                <w:b/>
              </w:rPr>
              <w:t xml:space="preserve">Zugesagter Termin</w:t>
            </w:r>
          </w:p>
        </w:tc>
        <w:tc>
          <w:tcPr>
            <w:tcW w:w="3100" w:type="pct"/>
            <w:shd w:val="clear" w:fill="FFFFFF"/>
            <w:tcMar>
              <w:top w:w="80" w:type="dxa"/>
              <w:left w:w="100" w:type="dxa"/>
              <w:bottom w:w="80" w:type="dxa"/>
              <w:right w:w="100" w:type="dxa"/>
            </w:tcMar>
          </w:tcPr>
          <w:p>
            <w:pPr>
              <w:pStyle w:val="Meta"/>
            </w:pPr>
            <w:r>
              <w:rPr/>
              <w:t xml:space="preserve">08.09.2026, angefragt am 27.08.2026 von Rohail Munir (Deutschland)</w:t>
            </w:r>
          </w:p>
        </w:tc>
      </w:tr>
      <w:tr>
        <w:tc>
          <w:tcPr>
            <w:tcW w:w="1900" w:type="pct"/>
            <w:shd w:val="clear" w:fill="F4F7FB"/>
            <w:tcMar>
              <w:top w:w="80" w:type="dxa"/>
              <w:left w:w="100" w:type="dxa"/>
              <w:bottom w:w="80" w:type="dxa"/>
              <w:right w:w="100" w:type="dxa"/>
            </w:tcMar>
          </w:tcPr>
          <w:p>
            <w:pPr>
              <w:pStyle w:val="Meta"/>
            </w:pPr>
            <w:r>
              <w:rPr>
                <w:b/>
              </w:rPr>
              <w:t xml:space="preserve">Technik</w:t>
            </w:r>
          </w:p>
        </w:tc>
        <w:tc>
          <w:tcPr>
            <w:tcW w:w="3100" w:type="pct"/>
            <w:shd w:val="clear" w:fill="F4F7FB"/>
            <w:tcMar>
              <w:top w:w="80" w:type="dxa"/>
              <w:left w:w="100" w:type="dxa"/>
              <w:bottom w:w="80" w:type="dxa"/>
              <w:right w:w="100" w:type="dxa"/>
            </w:tcMar>
          </w:tcPr>
          <w:p>
            <w:pPr>
              <w:pStyle w:val="Meta"/>
            </w:pPr>
            <w:r>
              <w:rPr/>
              <w:t xml:space="preserve">Fertig und produktiv seit 13.08.2026; Excel-Export seit 01.09.2026, 668 von 668 Freigabetests grün</w:t>
            </w:r>
          </w:p>
        </w:tc>
      </w:tr>
      <w:tr>
        <w:tc>
          <w:tcPr>
            <w:tcW w:w="1900" w:type="pct"/>
            <w:shd w:val="clear" w:fill="FFFFFF"/>
            <w:tcMar>
              <w:top w:w="80" w:type="dxa"/>
              <w:left w:w="100" w:type="dxa"/>
              <w:bottom w:w="80" w:type="dxa"/>
              <w:right w:w="100" w:type="dxa"/>
            </w:tcMar>
          </w:tcPr>
          <w:p>
            <w:pPr>
              <w:pStyle w:val="Meta"/>
            </w:pPr>
            <w:r>
              <w:rPr>
                <w:b/>
              </w:rPr>
              <w:t xml:space="preserve">Kundenvorschläge</w:t>
            </w:r>
          </w:p>
        </w:tc>
        <w:tc>
          <w:tcPr>
            <w:tcW w:w="3100" w:type="pct"/>
            <w:shd w:val="clear" w:fill="FFFFFF"/>
            <w:tcMar>
              <w:top w:w="80" w:type="dxa"/>
              <w:left w:w="100" w:type="dxa"/>
              <w:bottom w:w="80" w:type="dxa"/>
              <w:right w:w="100" w:type="dxa"/>
            </w:tcMar>
          </w:tcPr>
          <w:p>
            <w:pPr>
              <w:pStyle w:val="Meta"/>
            </w:pPr>
            <w:r>
              <w:rPr/>
              <w:t xml:space="preserve">173 Vorschläge über acht Standorte, davon 0 bestätigt</w:t>
            </w:r>
          </w:p>
        </w:tc>
      </w:tr>
      <w:tr>
        <w:tc>
          <w:tcPr>
            <w:tcW w:w="1900" w:type="pct"/>
            <w:shd w:val="clear" w:fill="F4F7FB"/>
            <w:tcMar>
              <w:top w:w="80" w:type="dxa"/>
              <w:left w:w="100" w:type="dxa"/>
              <w:bottom w:w="80" w:type="dxa"/>
              <w:right w:w="100" w:type="dxa"/>
            </w:tcMar>
          </w:tcPr>
          <w:p>
            <w:pPr>
              <w:pStyle w:val="Meta"/>
            </w:pPr>
            <w:r>
              <w:rPr>
                <w:b/>
              </w:rPr>
              <w:t xml:space="preserve">Deutschland</w:t>
            </w:r>
          </w:p>
        </w:tc>
        <w:tc>
          <w:tcPr>
            <w:tcW w:w="3100" w:type="pct"/>
            <w:shd w:val="clear" w:fill="F4F7FB"/>
            <w:tcMar>
              <w:top w:w="80" w:type="dxa"/>
              <w:left w:w="100" w:type="dxa"/>
              <w:bottom w:w="80" w:type="dxa"/>
              <w:right w:w="100" w:type="dxa"/>
            </w:tcMar>
          </w:tcPr>
          <w:p>
            <w:pPr>
              <w:pStyle w:val="Meta"/>
            </w:pPr>
            <w:r>
              <w:rPr/>
              <w:t xml:space="preserve">0 Vorschläge, weil bei allen 7'526 deutschen Verkaufszeilen der Kundenname fehlt (gemessen 27.08.2026)</w:t>
            </w:r>
          </w:p>
        </w:tc>
      </w:tr>
      <w:tr>
        <w:tc>
          <w:tcPr>
            <w:tcW w:w="1900" w:type="pct"/>
            <w:shd w:val="clear" w:fill="FFFFFF"/>
            <w:tcMar>
              <w:top w:w="80" w:type="dxa"/>
              <w:left w:w="100" w:type="dxa"/>
              <w:bottom w:w="80" w:type="dxa"/>
              <w:right w:w="100" w:type="dxa"/>
            </w:tcMar>
          </w:tcPr>
          <w:p>
            <w:pPr>
              <w:pStyle w:val="Meta"/>
            </w:pPr>
            <w:r>
              <w:rPr>
                <w:b/>
              </w:rPr>
              <w:t xml:space="preserve">Was fehlt</w:t>
            </w:r>
          </w:p>
        </w:tc>
        <w:tc>
          <w:tcPr>
            <w:tcW w:w="3100" w:type="pct"/>
            <w:shd w:val="clear" w:fill="FFFFFF"/>
            <w:tcMar>
              <w:top w:w="80" w:type="dxa"/>
              <w:left w:w="100" w:type="dxa"/>
              <w:bottom w:w="80" w:type="dxa"/>
              <w:right w:w="100" w:type="dxa"/>
            </w:tcMar>
          </w:tcPr>
          <w:p>
            <w:pPr>
              <w:pStyle w:val="Meta"/>
            </w:pPr>
            <w:r>
              <w:rPr/>
              <w:t xml:space="preserve">Bestätigung durch den Verkauf und ein lesender Auszug der deutschen Datenbankstruktur</w:t>
            </w:r>
          </w:p>
        </w:tc>
      </w:tr>
      <w:tr>
        <w:tc>
          <w:tcPr>
            <w:tcW w:w="1900" w:type="pct"/>
            <w:shd w:val="clear" w:fill="F4F7FB"/>
            <w:tcMar>
              <w:top w:w="80" w:type="dxa"/>
              <w:left w:w="100" w:type="dxa"/>
              <w:bottom w:w="80" w:type="dxa"/>
              <w:right w:w="100" w:type="dxa"/>
            </w:tcMar>
          </w:tcPr>
          <w:p>
            <w:pPr>
              <w:pStyle w:val="Meta"/>
            </w:pPr>
            <w:r>
              <w:rPr>
                <w:b/>
              </w:rPr>
              <w:t xml:space="preserve">Wenn nichts passiert</w:t>
            </w:r>
          </w:p>
        </w:tc>
        <w:tc>
          <w:tcPr>
            <w:tcW w:w="3100" w:type="pct"/>
            <w:shd w:val="clear" w:fill="F4F7FB"/>
            <w:tcMar>
              <w:top w:w="80" w:type="dxa"/>
              <w:left w:w="100" w:type="dxa"/>
              <w:bottom w:w="80" w:type="dxa"/>
              <w:right w:w="100" w:type="dxa"/>
            </w:tcMar>
          </w:tcPr>
          <w:p>
            <w:pPr>
              <w:pStyle w:val="Meta"/>
            </w:pPr>
            <w:r>
              <w:rPr/>
              <w:t xml:space="preserve">Die Auswertung bleibt leer; Deutschland fehlt in jedem Fall</w:t>
            </w:r>
          </w:p>
        </w:tc>
      </w:tr>
    </w:tbl>
    <w:p>
      <w:pPr>
        <w:pStyle w:val="Meta"/>
        <w:spacing w:after="0" w:line="160" w:lineRule="exact"/>
      </w:pPr>
    </w:p>
    <w:p>
      <w:pPr>
        <w:pStyle w:val="Heading1"/>
      </w:pPr>
      <w:r>
        <w:rPr/>
        <w:t xml:space="preserve">4. Wo ich einen Entscheid oder eine Zulieferung brauche</w:t>
      </w:r>
    </w:p>
    <w:p>
      <w:pPr>
        <w:pStyle w:val="BodyText"/>
      </w:pPr>
      <w:r>
        <w:rPr/>
        <w:t xml:space="preserve">Die folgenden acht Punkte sind technisch vorbereitet und warten auf eine fachliche Entscheidung oder auf eine Lieferung von aussen. Sie sind der Teil meiner Arbeit, den ich nicht allein abschliessen kann.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800"/>
        <w:gridCol w:w="1500"/>
        <w:gridCol w:w="900"/>
        <w:gridCol w:w="650"/>
        <w:gridCol w:w="1150"/>
      </w:tblGrid>
      <w:tr>
        <w:trPr>
          <w:tblHeader/>
        </w:trPr>
        <w:tc>
          <w:tcPr>
            <w:tcW w:w="800" w:type="pct"/>
            <w:shd w:val="clear" w:fill="17365D"/>
            <w:tcMar>
              <w:top w:w="80" w:type="dxa"/>
              <w:left w:w="100" w:type="dxa"/>
              <w:bottom w:w="80" w:type="dxa"/>
              <w:right w:w="100" w:type="dxa"/>
            </w:tcMar>
          </w:tcPr>
          <w:p>
            <w:pPr>
              <w:pStyle w:val="Meta"/>
            </w:pPr>
            <w:r>
              <w:rPr>
                <w:b/>
                <w:color w:val="FFFFFF"/>
              </w:rPr>
              <w:t xml:space="preserve">Thema</w:t>
            </w:r>
          </w:p>
        </w:tc>
        <w:tc>
          <w:tcPr>
            <w:tcW w:w="1500" w:type="pct"/>
            <w:shd w:val="clear" w:fill="17365D"/>
            <w:tcMar>
              <w:top w:w="80" w:type="dxa"/>
              <w:left w:w="100" w:type="dxa"/>
              <w:bottom w:w="80" w:type="dxa"/>
              <w:right w:w="100" w:type="dxa"/>
            </w:tcMar>
          </w:tcPr>
          <w:p>
            <w:pPr>
              <w:pStyle w:val="Meta"/>
            </w:pPr>
            <w:r>
              <w:rPr>
                <w:b/>
                <w:color w:val="FFFFFF"/>
              </w:rPr>
              <w:t xml:space="preserve">Offene Frage</w:t>
            </w:r>
          </w:p>
        </w:tc>
        <w:tc>
          <w:tcPr>
            <w:tcW w:w="900" w:type="pct"/>
            <w:shd w:val="clear" w:fill="17365D"/>
            <w:tcMar>
              <w:top w:w="80" w:type="dxa"/>
              <w:left w:w="100" w:type="dxa"/>
              <w:bottom w:w="80" w:type="dxa"/>
              <w:right w:w="100" w:type="dxa"/>
            </w:tcMar>
          </w:tcPr>
          <w:p>
            <w:pPr>
              <w:pStyle w:val="Meta"/>
            </w:pPr>
            <w:r>
              <w:rPr>
                <w:b/>
                <w:color w:val="FFFFFF"/>
              </w:rPr>
              <w:t xml:space="preserve">Wer entscheidet</w:t>
            </w:r>
          </w:p>
        </w:tc>
        <w:tc>
          <w:tcPr>
            <w:tcW w:w="650" w:type="pct"/>
            <w:shd w:val="clear" w:fill="17365D"/>
            <w:tcMar>
              <w:top w:w="80" w:type="dxa"/>
              <w:left w:w="100" w:type="dxa"/>
              <w:bottom w:w="80" w:type="dxa"/>
              <w:right w:w="100" w:type="dxa"/>
            </w:tcMar>
          </w:tcPr>
          <w:p>
            <w:pPr>
              <w:pStyle w:val="Meta"/>
            </w:pPr>
            <w:r>
              <w:rPr>
                <w:b/>
                <w:color w:val="FFFFFF"/>
              </w:rPr>
              <w:t xml:space="preserve">Offen seit</w:t>
            </w:r>
          </w:p>
        </w:tc>
        <w:tc>
          <w:tcPr>
            <w:tcW w:w="1150" w:type="pct"/>
            <w:shd w:val="clear" w:fill="17365D"/>
            <w:tcMar>
              <w:top w:w="80" w:type="dxa"/>
              <w:left w:w="100" w:type="dxa"/>
              <w:bottom w:w="80" w:type="dxa"/>
              <w:right w:w="100" w:type="dxa"/>
            </w:tcMar>
          </w:tcPr>
          <w:p>
            <w:pPr>
              <w:pStyle w:val="Meta"/>
            </w:pPr>
            <w:r>
              <w:rPr>
                <w:b/>
                <w:color w:val="FFFFFF"/>
              </w:rPr>
              <w:t xml:space="preserve">Folge, wenn es offen bleibt</w:t>
            </w:r>
          </w:p>
        </w:tc>
      </w:tr>
      <w:tr>
        <w:tc>
          <w:tcPr>
            <w:tcW w:w="800" w:type="pct"/>
            <w:shd w:val="clear" w:fill="FFFFFF"/>
            <w:tcMar>
              <w:top w:w="80" w:type="dxa"/>
              <w:left w:w="100" w:type="dxa"/>
              <w:bottom w:w="80" w:type="dxa"/>
              <w:right w:w="100" w:type="dxa"/>
            </w:tcMar>
          </w:tcPr>
          <w:p>
            <w:pPr>
              <w:pStyle w:val="Meta"/>
            </w:pPr>
            <w:r>
              <w:rPr>
                <w:b/>
              </w:rPr>
              <w:t xml:space="preserve">Marktsegment Bahn</w:t>
            </w:r>
          </w:p>
        </w:tc>
        <w:tc>
          <w:tcPr>
            <w:tcW w:w="1500" w:type="pct"/>
            <w:shd w:val="clear" w:fill="FFFFFF"/>
            <w:tcMar>
              <w:top w:w="80" w:type="dxa"/>
              <w:left w:w="100" w:type="dxa"/>
              <w:bottom w:w="80" w:type="dxa"/>
              <w:right w:w="100" w:type="dxa"/>
            </w:tcMar>
          </w:tcPr>
          <w:p>
            <w:pPr>
              <w:pStyle w:val="Meta"/>
            </w:pPr>
            <w:r>
              <w:rPr/>
              <w:t xml:space="preserve">Welche Kunden gelten als Bahnindustrie? Gilt ein breit einkaufender Konzern wie Siemens pauschal als Bahn?</w:t>
            </w:r>
          </w:p>
        </w:tc>
        <w:tc>
          <w:tcPr>
            <w:tcW w:w="900" w:type="pct"/>
            <w:shd w:val="clear" w:fill="FFFFFF"/>
            <w:tcMar>
              <w:top w:w="80" w:type="dxa"/>
              <w:left w:w="100" w:type="dxa"/>
              <w:bottom w:w="80" w:type="dxa"/>
              <w:right w:w="100" w:type="dxa"/>
            </w:tcMar>
          </w:tcPr>
          <w:p>
            <w:pPr>
              <w:pStyle w:val="Meta"/>
            </w:pPr>
            <w:r>
              <w:rPr/>
              <w:t xml:space="preserve">Patrik, Verkauf</w:t>
            </w:r>
          </w:p>
        </w:tc>
        <w:tc>
          <w:tcPr>
            <w:tcW w:w="650" w:type="pct"/>
            <w:shd w:val="clear" w:fill="FFFFFF"/>
            <w:tcMar>
              <w:top w:w="80" w:type="dxa"/>
              <w:left w:w="100" w:type="dxa"/>
              <w:bottom w:w="80" w:type="dxa"/>
              <w:right w:w="100" w:type="dxa"/>
            </w:tcMar>
          </w:tcPr>
          <w:p>
            <w:pPr>
              <w:pStyle w:val="Meta"/>
            </w:pPr>
            <w:r>
              <w:rPr/>
              <w:t xml:space="preserve">13.08.2026</w:t>
            </w:r>
          </w:p>
        </w:tc>
        <w:tc>
          <w:tcPr>
            <w:tcW w:w="1150" w:type="pct"/>
            <w:shd w:val="clear" w:fill="FFFFFF"/>
            <w:tcMar>
              <w:top w:w="80" w:type="dxa"/>
              <w:left w:w="100" w:type="dxa"/>
              <w:bottom w:w="80" w:type="dxa"/>
              <w:right w:w="100" w:type="dxa"/>
            </w:tcMar>
          </w:tcPr>
          <w:p>
            <w:pPr>
              <w:pStyle w:val="Meta"/>
            </w:pPr>
            <w:r>
              <w:rPr/>
              <w:t xml:space="preserve">Die Auswertung zum 08.09.2026 bleibt leer</w:t>
            </w:r>
          </w:p>
        </w:tc>
      </w:tr>
      <w:tr>
        <w:tc>
          <w:tcPr>
            <w:tcW w:w="800" w:type="pct"/>
            <w:shd w:val="clear" w:fill="F4F7FB"/>
            <w:tcMar>
              <w:top w:w="80" w:type="dxa"/>
              <w:left w:w="100" w:type="dxa"/>
              <w:bottom w:w="80" w:type="dxa"/>
              <w:right w:w="100" w:type="dxa"/>
            </w:tcMar>
          </w:tcPr>
          <w:p>
            <w:pPr>
              <w:pStyle w:val="Meta"/>
            </w:pPr>
            <w:r>
              <w:rPr>
                <w:b/>
              </w:rPr>
              <w:t xml:space="preserve">Kundennamen Deutschland</w:t>
            </w:r>
          </w:p>
        </w:tc>
        <w:tc>
          <w:tcPr>
            <w:tcW w:w="1500" w:type="pct"/>
            <w:shd w:val="clear" w:fill="F4F7FB"/>
            <w:tcMar>
              <w:top w:w="80" w:type="dxa"/>
              <w:left w:w="100" w:type="dxa"/>
              <w:bottom w:w="80" w:type="dxa"/>
              <w:right w:w="100" w:type="dxa"/>
            </w:tcMar>
          </w:tcPr>
          <w:p>
            <w:pPr>
              <w:pStyle w:val="Meta"/>
            </w:pPr>
            <w:r>
              <w:rPr/>
              <w:t xml:space="preserve">Lesender Auszug der Tabellenstruktur aus der deutschen Datenbank, damit unsere Abfrage die Namen auflösen kann</w:t>
            </w:r>
          </w:p>
        </w:tc>
        <w:tc>
          <w:tcPr>
            <w:tcW w:w="900" w:type="pct"/>
            <w:shd w:val="clear" w:fill="F4F7FB"/>
            <w:tcMar>
              <w:top w:w="80" w:type="dxa"/>
              <w:left w:w="100" w:type="dxa"/>
              <w:bottom w:w="80" w:type="dxa"/>
              <w:right w:w="100" w:type="dxa"/>
            </w:tcMar>
          </w:tcPr>
          <w:p>
            <w:pPr>
              <w:pStyle w:val="Meta"/>
            </w:pPr>
            <w:r>
              <w:rPr/>
              <w:t xml:space="preserve">Deutschland / IT</w:t>
            </w:r>
          </w:p>
        </w:tc>
        <w:tc>
          <w:tcPr>
            <w:tcW w:w="650" w:type="pct"/>
            <w:shd w:val="clear" w:fill="F4F7FB"/>
            <w:tcMar>
              <w:top w:w="80" w:type="dxa"/>
              <w:left w:w="100" w:type="dxa"/>
              <w:bottom w:w="80" w:type="dxa"/>
              <w:right w:w="100" w:type="dxa"/>
            </w:tcMar>
          </w:tcPr>
          <w:p>
            <w:pPr>
              <w:pStyle w:val="Meta"/>
            </w:pPr>
            <w:r>
              <w:rPr/>
              <w:t xml:space="preserve">27.08.2026</w:t>
            </w:r>
          </w:p>
        </w:tc>
        <w:tc>
          <w:tcPr>
            <w:tcW w:w="1150" w:type="pct"/>
            <w:shd w:val="clear" w:fill="F4F7FB"/>
            <w:tcMar>
              <w:top w:w="80" w:type="dxa"/>
              <w:left w:w="100" w:type="dxa"/>
              <w:bottom w:w="80" w:type="dxa"/>
              <w:right w:w="100" w:type="dxa"/>
            </w:tcMar>
          </w:tcPr>
          <w:p>
            <w:pPr>
              <w:pStyle w:val="Meta"/>
            </w:pPr>
            <w:r>
              <w:rPr/>
              <w:t xml:space="preserve">Deutschland fehlt in jeder kundenbezogenen Auswertung</w:t>
            </w:r>
          </w:p>
        </w:tc>
      </w:tr>
      <w:tr>
        <w:tc>
          <w:tcPr>
            <w:tcW w:w="800" w:type="pct"/>
            <w:shd w:val="clear" w:fill="FFFFFF"/>
            <w:tcMar>
              <w:top w:w="80" w:type="dxa"/>
              <w:left w:w="100" w:type="dxa"/>
              <w:bottom w:w="80" w:type="dxa"/>
              <w:right w:w="100" w:type="dxa"/>
            </w:tcMar>
          </w:tcPr>
          <w:p>
            <w:pPr>
              <w:pStyle w:val="Meta"/>
            </w:pPr>
            <w:r>
              <w:rPr>
                <w:b/>
              </w:rPr>
              <w:t xml:space="preserve">Gruppenmarge</w:t>
            </w:r>
          </w:p>
        </w:tc>
        <w:tc>
          <w:tcPr>
            <w:tcW w:w="1500" w:type="pct"/>
            <w:shd w:val="clear" w:fill="FFFFFF"/>
            <w:tcMar>
              <w:top w:w="80" w:type="dxa"/>
              <w:left w:w="100" w:type="dxa"/>
              <w:bottom w:w="80" w:type="dxa"/>
              <w:right w:w="100" w:type="dxa"/>
            </w:tcMar>
          </w:tcPr>
          <w:p>
            <w:pPr>
              <w:pStyle w:val="Meta"/>
            </w:pPr>
            <w:r>
              <w:rPr/>
              <w:t xml:space="preserve">Freigabe der Gruppenmarge als führender Abschlusswert</w:t>
            </w:r>
          </w:p>
        </w:tc>
        <w:tc>
          <w:tcPr>
            <w:tcW w:w="900" w:type="pct"/>
            <w:shd w:val="clear" w:fill="FFFFFF"/>
            <w:tcMar>
              <w:top w:w="80" w:type="dxa"/>
              <w:left w:w="100" w:type="dxa"/>
              <w:bottom w:w="80" w:type="dxa"/>
              <w:right w:w="100" w:type="dxa"/>
            </w:tcMar>
          </w:tcPr>
          <w:p>
            <w:pPr>
              <w:pStyle w:val="Meta"/>
            </w:pPr>
            <w:r>
              <w:rPr/>
              <w:t xml:space="preserve">Andreas Stoller</w:t>
            </w:r>
          </w:p>
        </w:tc>
        <w:tc>
          <w:tcPr>
            <w:tcW w:w="650" w:type="pct"/>
            <w:shd w:val="clear" w:fill="FFFFFF"/>
            <w:tcMar>
              <w:top w:w="80" w:type="dxa"/>
              <w:left w:w="100" w:type="dxa"/>
              <w:bottom w:w="80" w:type="dxa"/>
              <w:right w:w="100" w:type="dxa"/>
            </w:tcMar>
          </w:tcPr>
          <w:p>
            <w:pPr>
              <w:pStyle w:val="Meta"/>
            </w:pPr>
            <w:r>
              <w:rPr/>
              <w:t xml:space="preserve">laufend</w:t>
            </w:r>
          </w:p>
        </w:tc>
        <w:tc>
          <w:tcPr>
            <w:tcW w:w="1150" w:type="pct"/>
            <w:shd w:val="clear" w:fill="FFFFFF"/>
            <w:tcMar>
              <w:top w:w="80" w:type="dxa"/>
              <w:left w:w="100" w:type="dxa"/>
              <w:bottom w:w="80" w:type="dxa"/>
              <w:right w:w="100" w:type="dxa"/>
            </w:tcMar>
          </w:tcPr>
          <w:p>
            <w:pPr>
              <w:pStyle w:val="Meta"/>
            </w:pPr>
            <w:r>
              <w:rPr/>
              <w:t xml:space="preserve">Die Marge bleibt ein Diagnosewert und keine offizielle Kennzahl</w:t>
            </w:r>
          </w:p>
        </w:tc>
      </w:tr>
      <w:tr>
        <w:tc>
          <w:tcPr>
            <w:tcW w:w="800" w:type="pct"/>
            <w:shd w:val="clear" w:fill="F4F7FB"/>
            <w:tcMar>
              <w:top w:w="80" w:type="dxa"/>
              <w:left w:w="100" w:type="dxa"/>
              <w:bottom w:w="80" w:type="dxa"/>
              <w:right w:w="100" w:type="dxa"/>
            </w:tcMar>
          </w:tcPr>
          <w:p>
            <w:pPr>
              <w:pStyle w:val="Meta"/>
            </w:pPr>
            <w:r>
              <w:rPr>
                <w:b/>
              </w:rPr>
              <w:t xml:space="preserve">Umsatzbegriff</w:t>
            </w:r>
          </w:p>
        </w:tc>
        <w:tc>
          <w:tcPr>
            <w:tcW w:w="1500" w:type="pct"/>
            <w:shd w:val="clear" w:fill="F4F7FB"/>
            <w:tcMar>
              <w:top w:w="80" w:type="dxa"/>
              <w:left w:w="100" w:type="dxa"/>
              <w:bottom w:w="80" w:type="dxa"/>
              <w:right w:w="100" w:type="dxa"/>
            </w:tcMar>
          </w:tcPr>
          <w:p>
            <w:pPr>
              <w:pStyle w:val="Meta"/>
            </w:pPr>
            <w:r>
              <w:rPr/>
              <w:t xml:space="preserve">Führende Kennzahl: Summe der Standortumsätze einschliesslich Innenumsatz oder konsolidierter Aussenumsatz der Gruppe?</w:t>
            </w:r>
          </w:p>
        </w:tc>
        <w:tc>
          <w:tcPr>
            <w:tcW w:w="900" w:type="pct"/>
            <w:shd w:val="clear" w:fill="F4F7FB"/>
            <w:tcMar>
              <w:top w:w="80" w:type="dxa"/>
              <w:left w:w="100" w:type="dxa"/>
              <w:bottom w:w="80" w:type="dxa"/>
              <w:right w:w="100" w:type="dxa"/>
            </w:tcMar>
          </w:tcPr>
          <w:p>
            <w:pPr>
              <w:pStyle w:val="Meta"/>
            </w:pPr>
            <w:r>
              <w:rPr/>
              <w:t xml:space="preserve">Andreas Stoller</w:t>
            </w:r>
          </w:p>
        </w:tc>
        <w:tc>
          <w:tcPr>
            <w:tcW w:w="650" w:type="pct"/>
            <w:shd w:val="clear" w:fill="F4F7FB"/>
            <w:tcMar>
              <w:top w:w="80" w:type="dxa"/>
              <w:left w:w="100" w:type="dxa"/>
              <w:bottom w:w="80" w:type="dxa"/>
              <w:right w:w="100" w:type="dxa"/>
            </w:tcMar>
          </w:tcPr>
          <w:p>
            <w:pPr>
              <w:pStyle w:val="Meta"/>
            </w:pPr>
            <w:r>
              <w:rPr/>
              <w:t xml:space="preserve">02.09.2026</w:t>
            </w:r>
          </w:p>
        </w:tc>
        <w:tc>
          <w:tcPr>
            <w:tcW w:w="1150" w:type="pct"/>
            <w:shd w:val="clear" w:fill="F4F7FB"/>
            <w:tcMar>
              <w:top w:w="80" w:type="dxa"/>
              <w:left w:w="100" w:type="dxa"/>
              <w:bottom w:w="80" w:type="dxa"/>
              <w:right w:w="100" w:type="dxa"/>
            </w:tcMar>
          </w:tcPr>
          <w:p>
            <w:pPr>
              <w:pStyle w:val="Meta"/>
            </w:pPr>
            <w:r>
              <w:rPr/>
              <w:t xml:space="preserve">Innenumsätze bleiben in der führenden Zahl doppelt gezählt</w:t>
            </w:r>
          </w:p>
        </w:tc>
      </w:tr>
      <w:tr>
        <w:tc>
          <w:tcPr>
            <w:tcW w:w="800" w:type="pct"/>
            <w:shd w:val="clear" w:fill="FFFFFF"/>
            <w:tcMar>
              <w:top w:w="80" w:type="dxa"/>
              <w:left w:w="100" w:type="dxa"/>
              <w:bottom w:w="80" w:type="dxa"/>
              <w:right w:w="100" w:type="dxa"/>
            </w:tcMar>
          </w:tcPr>
          <w:p>
            <w:pPr>
              <w:pStyle w:val="Meta"/>
            </w:pPr>
            <w:r>
              <w:rPr>
                <w:b/>
              </w:rPr>
              <w:t xml:space="preserve">Kostenregel CH/AT</w:t>
            </w:r>
          </w:p>
        </w:tc>
        <w:tc>
          <w:tcPr>
            <w:tcW w:w="1500" w:type="pct"/>
            <w:shd w:val="clear" w:fill="FFFFFF"/>
            <w:tcMar>
              <w:top w:w="80" w:type="dxa"/>
              <w:left w:w="100" w:type="dxa"/>
              <w:bottom w:w="80" w:type="dxa"/>
              <w:right w:w="100" w:type="dxa"/>
            </w:tcMar>
          </w:tcPr>
          <w:p>
            <w:pPr>
              <w:pStyle w:val="Meta"/>
            </w:pPr>
            <w:r>
              <w:rPr/>
              <w:t xml:space="preserve">Gilt ein Material auch dann als konzernintern hergestellt, wenn es dazu einen externen Einkaufsbeleg gibt?</w:t>
            </w:r>
          </w:p>
        </w:tc>
        <w:tc>
          <w:tcPr>
            <w:tcW w:w="900" w:type="pct"/>
            <w:shd w:val="clear" w:fill="FFFFFF"/>
            <w:tcMar>
              <w:top w:w="80" w:type="dxa"/>
              <w:left w:w="100" w:type="dxa"/>
              <w:bottom w:w="80" w:type="dxa"/>
              <w:right w:w="100" w:type="dxa"/>
            </w:tcMar>
          </w:tcPr>
          <w:p>
            <w:pPr>
              <w:pStyle w:val="Meta"/>
            </w:pPr>
            <w:r>
              <w:rPr/>
              <w:t xml:space="preserve">Andreas Stoller</w:t>
            </w:r>
          </w:p>
        </w:tc>
        <w:tc>
          <w:tcPr>
            <w:tcW w:w="650" w:type="pct"/>
            <w:shd w:val="clear" w:fill="FFFFFF"/>
            <w:tcMar>
              <w:top w:w="80" w:type="dxa"/>
              <w:left w:w="100" w:type="dxa"/>
              <w:bottom w:w="80" w:type="dxa"/>
              <w:right w:w="100" w:type="dxa"/>
            </w:tcMar>
          </w:tcPr>
          <w:p>
            <w:pPr>
              <w:pStyle w:val="Meta"/>
            </w:pPr>
            <w:r>
              <w:rPr/>
              <w:t xml:space="preserve">11.08.2026</w:t>
            </w:r>
          </w:p>
        </w:tc>
        <w:tc>
          <w:tcPr>
            <w:tcW w:w="1150" w:type="pct"/>
            <w:shd w:val="clear" w:fill="FFFFFF"/>
            <w:tcMar>
              <w:top w:w="80" w:type="dxa"/>
              <w:left w:w="100" w:type="dxa"/>
              <w:bottom w:w="80" w:type="dxa"/>
              <w:right w:w="100" w:type="dxa"/>
            </w:tcMar>
          </w:tcPr>
          <w:p>
            <w:pPr>
              <w:pStyle w:val="Meta"/>
            </w:pPr>
            <w:r>
              <w:rPr/>
              <w:t xml:space="preserve">Der Umschalter ist seit 31.08.2026 da, bleibt aber auf der bisherigen Regel stehen</w:t>
            </w:r>
          </w:p>
        </w:tc>
      </w:tr>
      <w:tr>
        <w:tc>
          <w:tcPr>
            <w:tcW w:w="800" w:type="pct"/>
            <w:shd w:val="clear" w:fill="F4F7FB"/>
            <w:tcMar>
              <w:top w:w="80" w:type="dxa"/>
              <w:left w:w="100" w:type="dxa"/>
              <w:bottom w:w="80" w:type="dxa"/>
              <w:right w:w="100" w:type="dxa"/>
            </w:tcMar>
          </w:tcPr>
          <w:p>
            <w:pPr>
              <w:pStyle w:val="Meta"/>
            </w:pPr>
            <w:r>
              <w:rPr>
                <w:b/>
              </w:rPr>
              <w:t xml:space="preserve">Produktionsdatum SAP</w:t>
            </w:r>
          </w:p>
        </w:tc>
        <w:tc>
          <w:tcPr>
            <w:tcW w:w="1500" w:type="pct"/>
            <w:shd w:val="clear" w:fill="F4F7FB"/>
            <w:tcMar>
              <w:top w:w="80" w:type="dxa"/>
              <w:left w:w="100" w:type="dxa"/>
              <w:bottom w:w="80" w:type="dxa"/>
              <w:right w:w="100" w:type="dxa"/>
            </w:tcMar>
          </w:tcPr>
          <w:p>
            <w:pPr>
              <w:pStyle w:val="Meta"/>
            </w:pPr>
            <w:r>
              <w:rPr/>
              <w:t xml:space="preserve">Wird das Datum beim Auftragsstart oder nach der Freigabe gesetzt?</w:t>
            </w:r>
          </w:p>
        </w:tc>
        <w:tc>
          <w:tcPr>
            <w:tcW w:w="900" w:type="pct"/>
            <w:shd w:val="clear" w:fill="F4F7FB"/>
            <w:tcMar>
              <w:top w:w="80" w:type="dxa"/>
              <w:left w:w="100" w:type="dxa"/>
              <w:bottom w:w="80" w:type="dxa"/>
              <w:right w:w="100" w:type="dxa"/>
            </w:tcMar>
          </w:tcPr>
          <w:p>
            <w:pPr>
              <w:pStyle w:val="Meta"/>
            </w:pPr>
            <w:r>
              <w:rPr/>
              <w:t xml:space="preserve">Lucas Castro, Florian Wächter</w:t>
            </w:r>
          </w:p>
        </w:tc>
        <w:tc>
          <w:tcPr>
            <w:tcW w:w="650" w:type="pct"/>
            <w:shd w:val="clear" w:fill="F4F7FB"/>
            <w:tcMar>
              <w:top w:w="80" w:type="dxa"/>
              <w:left w:w="100" w:type="dxa"/>
              <w:bottom w:w="80" w:type="dxa"/>
              <w:right w:w="100" w:type="dxa"/>
            </w:tcMar>
          </w:tcPr>
          <w:p>
            <w:pPr>
              <w:pStyle w:val="Meta"/>
            </w:pPr>
            <w:r>
              <w:rPr/>
              <w:t xml:space="preserve">10.08.2026</w:t>
            </w:r>
          </w:p>
        </w:tc>
        <w:tc>
          <w:tcPr>
            <w:tcW w:w="1150" w:type="pct"/>
            <w:shd w:val="clear" w:fill="F4F7FB"/>
            <w:tcMar>
              <w:top w:w="80" w:type="dxa"/>
              <w:left w:w="100" w:type="dxa"/>
              <w:bottom w:w="80" w:type="dxa"/>
              <w:right w:w="100" w:type="dxa"/>
            </w:tcMar>
          </w:tcPr>
          <w:p>
            <w:pPr>
              <w:pStyle w:val="Meta"/>
            </w:pPr>
            <w:r>
              <w:rPr/>
              <w:t xml:space="preserve">Die Umsetzung kann nicht beginnen</w:t>
            </w:r>
          </w:p>
        </w:tc>
      </w:tr>
      <w:tr>
        <w:tc>
          <w:tcPr>
            <w:tcW w:w="800" w:type="pct"/>
            <w:shd w:val="clear" w:fill="FFFFFF"/>
            <w:tcMar>
              <w:top w:w="80" w:type="dxa"/>
              <w:left w:w="100" w:type="dxa"/>
              <w:bottom w:w="80" w:type="dxa"/>
              <w:right w:w="100" w:type="dxa"/>
            </w:tcMar>
          </w:tcPr>
          <w:p>
            <w:pPr>
              <w:pStyle w:val="Meta"/>
            </w:pPr>
            <w:r>
              <w:rPr>
                <w:b/>
              </w:rPr>
              <w:t xml:space="preserve">Daten Frankreich</w:t>
            </w:r>
          </w:p>
        </w:tc>
        <w:tc>
          <w:tcPr>
            <w:tcW w:w="1500" w:type="pct"/>
            <w:shd w:val="clear" w:fill="FFFFFF"/>
            <w:tcMar>
              <w:top w:w="80" w:type="dxa"/>
              <w:left w:w="100" w:type="dxa"/>
              <w:bottom w:w="80" w:type="dxa"/>
              <w:right w:w="100" w:type="dxa"/>
            </w:tcMar>
          </w:tcPr>
          <w:p>
            <w:pPr>
              <w:pStyle w:val="Meta"/>
            </w:pPr>
            <w:r>
              <w:rPr/>
              <w:t xml:space="preserve">Seit dem 30.07.2026 kommt aus Frankreich keine Rechnung mehr; Warenausgang und Fakturierung stehen</w:t>
            </w:r>
          </w:p>
        </w:tc>
        <w:tc>
          <w:tcPr>
            <w:tcW w:w="900" w:type="pct"/>
            <w:shd w:val="clear" w:fill="FFFFFF"/>
            <w:tcMar>
              <w:top w:w="80" w:type="dxa"/>
              <w:left w:w="100" w:type="dxa"/>
              <w:bottom w:w="80" w:type="dxa"/>
              <w:right w:w="100" w:type="dxa"/>
            </w:tcMar>
          </w:tcPr>
          <w:p>
            <w:pPr>
              <w:pStyle w:val="Meta"/>
            </w:pPr>
            <w:r>
              <w:rPr/>
              <w:t xml:space="preserve">Frankreich, mit Andreas Stoller</w:t>
            </w:r>
          </w:p>
        </w:tc>
        <w:tc>
          <w:tcPr>
            <w:tcW w:w="650" w:type="pct"/>
            <w:shd w:val="clear" w:fill="FFFFFF"/>
            <w:tcMar>
              <w:top w:w="80" w:type="dxa"/>
              <w:left w:w="100" w:type="dxa"/>
              <w:bottom w:w="80" w:type="dxa"/>
              <w:right w:w="100" w:type="dxa"/>
            </w:tcMar>
          </w:tcPr>
          <w:p>
            <w:pPr>
              <w:pStyle w:val="Meta"/>
            </w:pPr>
            <w:r>
              <w:rPr/>
              <w:t xml:space="preserve">30.07.2026</w:t>
            </w:r>
          </w:p>
        </w:tc>
        <w:tc>
          <w:tcPr>
            <w:tcW w:w="1150" w:type="pct"/>
            <w:shd w:val="clear" w:fill="FFFFFF"/>
            <w:tcMar>
              <w:top w:w="80" w:type="dxa"/>
              <w:left w:w="100" w:type="dxa"/>
              <w:bottom w:w="80" w:type="dxa"/>
              <w:right w:w="100" w:type="dxa"/>
            </w:tcMar>
          </w:tcPr>
          <w:p>
            <w:pPr>
              <w:pStyle w:val="Meta"/>
            </w:pPr>
            <w:r>
              <w:rPr/>
              <w:t xml:space="preserve">Frankreich fehlt im Gruppenbild</w:t>
            </w:r>
          </w:p>
        </w:tc>
      </w:tr>
      <w:tr>
        <w:tc>
          <w:tcPr>
            <w:tcW w:w="800" w:type="pct"/>
            <w:shd w:val="clear" w:fill="F4F7FB"/>
            <w:tcMar>
              <w:top w:w="80" w:type="dxa"/>
              <w:left w:w="100" w:type="dxa"/>
              <w:bottom w:w="80" w:type="dxa"/>
              <w:right w:w="100" w:type="dxa"/>
            </w:tcMar>
          </w:tcPr>
          <w:p>
            <w:pPr>
              <w:pStyle w:val="Meta"/>
            </w:pPr>
            <w:r>
              <w:rPr>
                <w:b/>
              </w:rPr>
              <w:t xml:space="preserve">Personaldaten-Schnittstelle</w:t>
            </w:r>
          </w:p>
        </w:tc>
        <w:tc>
          <w:tcPr>
            <w:tcW w:w="1500" w:type="pct"/>
            <w:shd w:val="clear" w:fill="F4F7FB"/>
            <w:tcMar>
              <w:top w:w="80" w:type="dxa"/>
              <w:left w:w="100" w:type="dxa"/>
              <w:bottom w:w="80" w:type="dxa"/>
              <w:right w:w="100" w:type="dxa"/>
            </w:tcMar>
          </w:tcPr>
          <w:p>
            <w:pPr>
              <w:pStyle w:val="Meta"/>
            </w:pPr>
            <w:r>
              <w:rPr/>
              <w:t xml:space="preserve">Zeitplan, Ablageort, Format und Häufigkeit des automatischen Exports</w:t>
            </w:r>
          </w:p>
        </w:tc>
        <w:tc>
          <w:tcPr>
            <w:tcW w:w="900" w:type="pct"/>
            <w:shd w:val="clear" w:fill="F4F7FB"/>
            <w:tcMar>
              <w:top w:w="80" w:type="dxa"/>
              <w:left w:w="100" w:type="dxa"/>
              <w:bottom w:w="80" w:type="dxa"/>
              <w:right w:w="100" w:type="dxa"/>
            </w:tcMar>
          </w:tcPr>
          <w:p>
            <w:pPr>
              <w:pStyle w:val="Meta"/>
            </w:pPr>
            <w:r>
              <w:rPr/>
              <w:t xml:space="preserve">externe Firma</w:t>
            </w:r>
          </w:p>
        </w:tc>
        <w:tc>
          <w:tcPr>
            <w:tcW w:w="650" w:type="pct"/>
            <w:shd w:val="clear" w:fill="F4F7FB"/>
            <w:tcMar>
              <w:top w:w="80" w:type="dxa"/>
              <w:left w:w="100" w:type="dxa"/>
              <w:bottom w:w="80" w:type="dxa"/>
              <w:right w:w="100" w:type="dxa"/>
            </w:tcMar>
          </w:tcPr>
          <w:p>
            <w:pPr>
              <w:pStyle w:val="Meta"/>
            </w:pPr>
            <w:r>
              <w:rPr/>
              <w:t xml:space="preserve">19.08.2026</w:t>
            </w:r>
          </w:p>
        </w:tc>
        <w:tc>
          <w:tcPr>
            <w:tcW w:w="1150" w:type="pct"/>
            <w:shd w:val="clear" w:fill="F4F7FB"/>
            <w:tcMar>
              <w:top w:w="80" w:type="dxa"/>
              <w:left w:w="100" w:type="dxa"/>
              <w:bottom w:w="80" w:type="dxa"/>
              <w:right w:w="100" w:type="dxa"/>
            </w:tcMar>
          </w:tcPr>
          <w:p>
            <w:pPr>
              <w:pStyle w:val="Meta"/>
            </w:pPr>
            <w:r>
              <w:rPr/>
              <w:t xml:space="preserve">Die Personalzahlen bleiben ein einmalig eingelesener Stand von Mai 2026</w:t>
            </w:r>
          </w:p>
        </w:tc>
      </w:tr>
    </w:tbl>
    <w:p>
      <w:pPr>
        <w:pStyle w:val="Meta"/>
        <w:spacing w:after="0" w:line="160" w:lineRule="exact"/>
      </w:pPr>
    </w:p>
    <w:p>
      <w:pPr>
        <w:pStyle w:val="Heading1"/>
        <w:pageBreakBefore/>
      </w:pPr>
      <w:r>
        <w:rPr/>
        <w:t xml:space="preserve">5. Die acht Arbeitspakete im Einzelnen</w:t>
      </w:r>
    </w:p>
    <w:p>
      <w:pPr>
        <w:pStyle w:val="BodyText"/>
      </w:pPr>
      <w:r>
        <w:rPr/>
        <w:t xml:space="preserve">Jedes Paket trägt dieselben fünf Angaben. „Kein Termin“ heisst, dass kein Datum zugesagt ist, und nicht, dass der Punkt unwichtig wäre.</w:t>
      </w:r>
    </w:p>
    <w:p>
      <w:pPr>
        <w:pStyle w:val="Heading2"/>
      </w:pPr>
      <w:r>
        <w:rPr/>
        <w:t xml:space="preserve">PM-08 · Bahnindustrie-Auswertung für Deutschland</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Rohail Munir braucht bis zum 08.09.2026 eine Auswertung, wie viel Umsatz der Konzern mit der Bahnindustrie macht.</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01.09.2026: Die Technik ist produktiv, der Excel-Export läuft seit dem 01.09.2026. Von 173 Kundenvorschlägen ist keiner bestätigt, und Deutschland hat gar keine Vorschläge, weil dort die Kundennamen in unserer Abfrage fehlen.</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Patrik bitten, mit den 30 mengenstärksten Vorschlägen zu beginnen; parallel und sofort den Datenbankauszug für Deutschland anstossen. Die beiden Schritte laufen unabhängig voneinander.</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Patrik (Verkauf) für die Zuordnung. Ich bestätige nicht stellvertretend, weil eine falsche Zuordnung direkt in die Umsatzzahlen eines Segments wirkt.</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4CCCC"/>
            <w:tcMar>
              <w:top w:w="80" w:type="dxa"/>
              <w:left w:w="100" w:type="dxa"/>
              <w:bottom w:w="80" w:type="dxa"/>
              <w:right w:w="100" w:type="dxa"/>
            </w:tcMar>
          </w:tcPr>
          <w:p>
            <w:pPr>
              <w:pStyle w:val="Meta"/>
            </w:pPr>
            <w:r>
              <w:rPr/>
              <w:t xml:space="preserve">08.09.2026, hart zugesagt. Beide offenen Punkte liegen ausserhalb meines Zugriffs.</w:t>
            </w:r>
          </w:p>
        </w:tc>
      </w:tr>
    </w:tbl>
    <w:p>
      <w:pPr>
        <w:pStyle w:val="Meta"/>
        <w:spacing w:after="0" w:line="160" w:lineRule="exact"/>
      </w:pPr>
    </w:p>
    <w:p>
      <w:pPr>
        <w:pStyle w:val="Heading2"/>
      </w:pPr>
      <w:r>
        <w:rPr/>
        <w:t xml:space="preserve">PM-05 · Zentrale Finanz- und Verkaufsdatei</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Alle Verkaufs- und Kostendaten der Landesgesellschaften täglich in einer prüfbaren Datei zusammenführen, als Grundlage für Umsatz und Gruppenmarge.</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01.09.2026: produktiv und täglich erzeugt, zuletzt 105'282 Verkaufszeilen. Das Arbeitspaket ist im Kern erledigt; die verbleibende Arbeit ist Datenqualität und wird in einem eigenen Issue-Log mit derzeit 25 offenen Detailpunkten geführt.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Die offenen Fachentscheide mit Andreas Stoller abschliessen, insbesondere Gruppenmarge, Umsatzbegriff und die Kostenregel für CH/AT.</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Andreas Stoller für alle fachlichen Regeln; ich für die technische Umsetzung und den Nachweis.</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fester Termin. Die faktische Grenze ist der Jahresabschluss.</w:t>
            </w:r>
          </w:p>
        </w:tc>
      </w:tr>
    </w:tbl>
    <w:p>
      <w:pPr>
        <w:pStyle w:val="Meta"/>
        <w:spacing w:after="0" w:line="160" w:lineRule="exact"/>
      </w:pPr>
    </w:p>
    <w:p>
      <w:pPr>
        <w:pStyle w:val="Heading2"/>
      </w:pPr>
      <w:r>
        <w:rPr/>
        <w:t xml:space="preserve">PM-04 · Einkaufsauswertung mit Aufriss</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Kennzahlen für den Einkauf bereitstellen: Einkaufsvolumen je Lieferant und Jahr, offene Bestellungen, aktive Lieferanten, mit Aufriss bis zur einzelnen Bestellung.</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12.08.2026: produktiv und weitgehend abgeschlossen. Die Produkt- und Warengruppen kommen jetzt direkt aus zwei SAP-Diensten mit 45 beziehungsweise 22 Einträgen; die frühere Pflege über Excel ist vollständig abgelöst.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Zwei kosmetische SAP-Nacharbeiten: zwei Codes haben keinen Klartext, und ein Schlüssel sollte präzisiert werden. Beide ohne Auswirkung auf den Betrieb.</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Ich, in Abstimmung mit dem SAP-Team.</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E2EFDA"/>
            <w:tcMar>
              <w:top w:w="80" w:type="dxa"/>
              <w:left w:w="100" w:type="dxa"/>
              <w:bottom w:w="80" w:type="dxa"/>
              <w:right w:w="100" w:type="dxa"/>
            </w:tcMar>
          </w:tcPr>
          <w:p>
            <w:pPr>
              <w:pStyle w:val="Meta"/>
            </w:pPr>
            <w:r>
              <w:rPr/>
              <w:t xml:space="preserve">Kein Termin. Der Punkt blockiert nichts.</w:t>
            </w:r>
          </w:p>
        </w:tc>
      </w:tr>
    </w:tbl>
    <w:p>
      <w:pPr>
        <w:pStyle w:val="Meta"/>
        <w:spacing w:after="0" w:line="160" w:lineRule="exact"/>
      </w:pPr>
    </w:p>
    <w:p>
      <w:pPr>
        <w:pStyle w:val="Heading2"/>
      </w:pPr>
      <w:r>
        <w:rPr/>
        <w:t xml:space="preserve">PM-01 · SAP-Auswertung ZLO03 für auslaufende Materialien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Die Auswertung liefert der Fachabteilung die Grundlage, um auslaufende Materialien und Mengenkontrakte zu beurteilen. Sie hat Materialien ausgelassen und Mengen falsch dargestellt.</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14.08.2026: Beide Ursachen sind gefunden und im Programm korrigiert. Die Korrekturen sind jedoch noch nicht wirksam, weil die Transaktion ein anderes Programm startet als bisher angenommen. Das ist der eigentliche Grund, warum der Fehler trotz vorhandener Korrektur bestehen bleibt.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Diagnoselauf und Rückfalltest, danach Transport in das Produktivsystem.</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Ich technisch. Vor der Auslieferung muss Ann-Katrin Michel wissen, dass eine Spalte neu einen dritten Wert für nicht entscheidbare Fälle bekommt.</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Termin, aber erhöhtes Risiko: Eine falsch gesetzte Kennzeichnung kann zur Kündigung eines noch benötigten Mengenkontrakts führen.</w:t>
            </w:r>
          </w:p>
        </w:tc>
      </w:tr>
    </w:tbl>
    <w:p>
      <w:pPr>
        <w:pStyle w:val="Meta"/>
        <w:spacing w:after="0" w:line="160" w:lineRule="exact"/>
      </w:pPr>
    </w:p>
    <w:p>
      <w:pPr>
        <w:pStyle w:val="Heading2"/>
      </w:pPr>
      <w:r>
        <w:rPr/>
        <w:t xml:space="preserve">PM-03 · Produktionsdatum am Fertigungsauftrag (ZZPRDAT)</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Das Produktionsdatum soll am Fertigungsauftrag automatisch, einmalig und danach unveränderlich gespeichert werden. Es wird für den Etikettendruck gebraucht.</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26.08.2026: Die Vorarbeit ist abgeschlossen und hat die bisherige Annahme widerlegt. Die Prüfung im System zeigt, dass es gegenwärtig überhaupt keinen aktiven Programmteil gibt, der dieses Feld schreibt. Der alte Programmstand taugt deshalb nicht als Vorlage; die Umsetzung wird vollständig aus der Anforderung abgeleitet.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Den Auslösezeitpunkt klären, danach umsetzen, in acht Fällen testen, transportieren und die bestehenden Aufträge nachfüllen.</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Lucas Castro und Florian Wächter für den Auslösezeitpunkt; Marco Di Menco oder Florian Wächter für das Quellfeld.</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Termin. Die Klärung des Auslösezeitpunkts ist der letzte verbliebene Blocker vor der Umsetzung.</w:t>
            </w:r>
          </w:p>
        </w:tc>
      </w:tr>
    </w:tbl>
    <w:p>
      <w:pPr>
        <w:pStyle w:val="Meta"/>
        <w:spacing w:after="0" w:line="160" w:lineRule="exact"/>
      </w:pPr>
    </w:p>
    <w:p>
      <w:pPr>
        <w:pStyle w:val="Heading2"/>
      </w:pPr>
      <w:r>
        <w:rPr/>
        <w:t xml:space="preserve">PM-07 · Automatische Auswertung der Personaldaten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Die Personalkennzahlen, insbesondere Fluktuation und Absenzen, sollen periodisch automatisch aktualisiert werden statt einmalig von Hand eingelesen.</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19.08.2026: Das Personal-Cockpit steht seit Mai 2026 mit einmalig eingebauten Daten; die Fluktuationsformel stammt von Sonja, die Plausibilisierung von Nadja. Eine externe Firma baut derzeit den automatischen Export.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Zeitplan, Ablageort, Format und Häufigkeit des externen Exports erfragen; erst danach ist die Anbindung planbar.</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Die externe Firma bestimmt den Zeitpunkt. Fachliche Abnahme durch Sonja, Plausibilisierung durch Nadja.</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Termin, weil er von einem externen Lieferanten abhängt und dort noch nicht bekannt ist.</w:t>
            </w:r>
          </w:p>
        </w:tc>
      </w:tr>
    </w:tbl>
    <w:p>
      <w:pPr>
        <w:pStyle w:val="Meta"/>
        <w:spacing w:after="0" w:line="160" w:lineRule="exact"/>
      </w:pPr>
    </w:p>
    <w:p>
      <w:pPr>
        <w:pStyle w:val="Heading2"/>
      </w:pPr>
      <w:r>
        <w:rPr/>
        <w:t xml:space="preserve">PM-02 · SAP-Programm ZC12, Fehler bei Menge null</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Das Programm überträgt Vorgabewerte in Arbeitspläne. Zeilen mit der Menge null werden dabei übersprungen.</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14.08.2026: Das Fehlerbild ist rekonstruiert. Es gibt keinen stillen Datenverlust, die übersprungenen Zeilen stehen im Fehlerprotokoll. Die Nachprüfung ist blockiert, weil die Ablaufverfolgung im Programm abgeschaltet ist. Arbeitshypothese: keine Verschlechterung, sondern eine Lücke im Test von Mai 2026.</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Zuerst prüfen, ob die Transaktion wirklich zu diesem Programm gehört, danach die Ablaufverfolgung wieder einschalten.</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Ich; die Testfreigabe erfolgt wie bisher durch Adil.</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E2EFDA"/>
            <w:tcMar>
              <w:top w:w="80" w:type="dxa"/>
              <w:left w:w="100" w:type="dxa"/>
              <w:bottom w:w="80" w:type="dxa"/>
              <w:right w:w="100" w:type="dxa"/>
            </w:tcMar>
          </w:tcPr>
          <w:p>
            <w:pPr>
              <w:pStyle w:val="Meta"/>
            </w:pPr>
            <w:r>
              <w:rPr/>
              <w:t xml:space="preserve">Kein Termin, Priorität mittel.</w:t>
            </w:r>
          </w:p>
        </w:tc>
      </w:tr>
    </w:tbl>
    <w:p>
      <w:pPr>
        <w:pStyle w:val="Meta"/>
        <w:spacing w:after="0" w:line="160" w:lineRule="exact"/>
      </w:pPr>
    </w:p>
    <w:p>
      <w:pPr>
        <w:pStyle w:val="Heading2"/>
      </w:pPr>
      <w:r>
        <w:rPr/>
        <w:t xml:space="preserve">PM-06 · Stoffcompliance über die SAP-Klassifizierung (PPWR)</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Die Verpackungs- und Stoffangaben sollen über die SAP-Klassifizierung geführt werden, damit sie auswertbar sind.</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20.08.2026: abgeschlossen. Die Pilotmaterialien sind zugeordnet und die Abnahme ist gefahren. Die technische Anlage im Testsystem war zuvor durch Zählung bestätigt.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Keiner. Der Transport in das Produktivsystem bleibt gemäss Anlageprotokoll bis zur fachlichen Freigabe bewusst gesperrt.</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Die fachliche Freigabe entscheidet über den Transport; ich habe die technische Seite abgeschlossen.</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E2EFDA"/>
            <w:tcMar>
              <w:top w:w="80" w:type="dxa"/>
              <w:left w:w="100" w:type="dxa"/>
              <w:bottom w:w="80" w:type="dxa"/>
              <w:right w:w="100" w:type="dxa"/>
            </w:tcMar>
          </w:tcPr>
          <w:p>
            <w:pPr>
              <w:pStyle w:val="Meta"/>
            </w:pPr>
            <w:r>
              <w:rPr/>
              <w:t xml:space="preserve">Kein Termin, Punkt ist erledigt.</w:t>
            </w:r>
          </w:p>
        </w:tc>
      </w:tr>
    </w:tbl>
    <w:p>
      <w:pPr>
        <w:pStyle w:val="Meta"/>
        <w:spacing w:after="0" w:line="160" w:lineRule="exact"/>
      </w:pPr>
    </w:p>
    <w:p>
      <w:pPr>
        <w:pStyle w:val="Heading1"/>
        <w:pageBreakBefore/>
      </w:pPr>
      <w:r>
        <w:rPr/>
        <w:t xml:space="preserve">6. Was in den nächsten sechs Monaten fertig wird</w:t>
      </w:r>
    </w:p>
    <w:p>
      <w:pPr>
        <w:pStyle w:val="BodyText"/>
      </w:pPr>
      <w:r>
        <w:rPr/>
        <w:t xml:space="preserve">Die Planung läuft seit dem 18.06.2026 und reicht bis Mitte Dezember 2026. Sie deckt sich damit fast genau mit den kommenden sechs Monaten.</w:t>
      </w:r>
    </w:p>
    <w:p>
      <w:pPr>
        <w:pStyle w:val="Heading2"/>
      </w:pPr>
      <w:r>
        <w:rPr/>
        <w:t xml:space="preserve">6.1 Bis Ende September 2026</w:t>
      </w:r>
    </w:p>
    <w:p>
      <w:pPr>
        <w:pStyle w:val="BodyText"/>
        <w:numPr>
          <w:ilvl w:val="0"/>
          <w:numId w:val="1"/>
        </w:numPr>
        <w:spacing w:after="60" w:line="288" w:lineRule="auto"/>
      </w:pPr>
      <w:r>
        <w:t xml:space="preserve">Spanien vollständig anbinden: Die Datenquelle steht, das Datenmodell ist angeglichen. Offen ist der letzte Dateiwechsel beim Standort, damit das Buchungsdatum durchgängig kommt.</w:t>
      </w:r>
    </w:p>
    <w:p>
      <w:pPr>
        <w:pStyle w:val="BodyText"/>
        <w:numPr>
          <w:ilvl w:val="0"/>
          <w:numId w:val="1"/>
        </w:numPr>
        <w:spacing w:after="60" w:line="288" w:lineRule="auto"/>
      </w:pPr>
      <w:r>
        <w:t xml:space="preserve">Die länderspezifischen Rechenregeln für alle neun Standorte vereinheitlichen und die Unterschiede zwischen Quellsystem, Export und Auswertung dokumentieren.</w:t>
      </w:r>
    </w:p>
    <w:p>
      <w:pPr>
        <w:pStyle w:val="BodyText"/>
        <w:numPr>
          <w:ilvl w:val="0"/>
          <w:numId w:val="1"/>
        </w:numPr>
        <w:spacing w:after="60" w:line="288" w:lineRule="auto"/>
      </w:pPr>
      <w:r>
        <w:t xml:space="preserve">Die Produkt- und Spartenzuordnung stabilisieren, insbesondere die lokalen Materialnummern aus Deutschland.</w:t>
      </w:r>
    </w:p>
    <w:p>
      <w:pPr>
        <w:pStyle w:val="BodyText"/>
        <w:numPr>
          <w:ilvl w:val="0"/>
          <w:numId w:val="1"/>
        </w:numPr>
        <w:spacing w:after="60" w:line="288" w:lineRule="auto"/>
      </w:pPr>
      <w:r>
        <w:t xml:space="preserve">Personal-Cockpit Phase 1 mit Sonja abnehmen, einschliesslich Anonymisierung und Zugriffsrechten.</w:t>
      </w:r>
    </w:p>
    <w:p>
      <w:pPr>
        <w:pStyle w:val="BodyText"/>
        <w:numPr>
          <w:ilvl w:val="0"/>
          <w:numId w:val="1"/>
        </w:numPr>
        <w:spacing w:after="60" w:line="288" w:lineRule="auto"/>
      </w:pPr>
      <w:r>
        <w:t xml:space="preserve">Einkaufsauswertung: Umfang der Kennzahlen mit dem Einkauf endgültig festlegen und gegen die bestehende Sicht prüfen.</w:t>
      </w:r>
    </w:p>
    <w:p>
      <w:pPr>
        <w:pStyle w:val="BodyText"/>
        <w:numPr>
          <w:ilvl w:val="0"/>
          <w:numId w:val="1"/>
        </w:numPr>
        <w:spacing w:after="60" w:line="288" w:lineRule="auto"/>
      </w:pPr>
      <w:r>
        <w:t xml:space="preserve">Bahnindustrie-Auswertung liefern, siehe Abschnitt 3.</w:t>
      </w:r>
    </w:p>
    <w:p>
      <w:pPr>
        <w:pStyle w:val="Heading2"/>
      </w:pPr>
      <w:r>
        <w:rPr/>
        <w:t xml:space="preserve">6.2 Oktober bis Mitte Dezember 2026</w:t>
      </w:r>
    </w:p>
    <w:p>
      <w:pPr>
        <w:pStyle w:val="BodyText"/>
        <w:numPr>
          <w:ilvl w:val="0"/>
          <w:numId w:val="1"/>
        </w:numPr>
        <w:spacing w:after="60" w:line="288" w:lineRule="auto"/>
      </w:pPr>
      <w:r>
        <w:t xml:space="preserve">Das standortübergreifende Dashboard fertigstellen, sodass Monats- und Quartalsberichte reproduzierbar sind.</w:t>
      </w:r>
    </w:p>
    <w:p>
      <w:pPr>
        <w:pStyle w:val="BodyText"/>
        <w:numPr>
          <w:ilvl w:val="0"/>
          <w:numId w:val="1"/>
        </w:numPr>
        <w:spacing w:after="60" w:line="288" w:lineRule="auto"/>
      </w:pPr>
      <w:r>
        <w:t xml:space="preserve">Einen festen Abgleichprozess einführen: monatliche Prüfpunkte je Tochtergesellschaft für Umsatz, Marge, Produktgruppe, Land und Währung, mit benannter Ursache und benanntem Verantwortlichen für jede Abweichung.</w:t>
      </w:r>
    </w:p>
    <w:p>
      <w:pPr>
        <w:pStyle w:val="BodyText"/>
        <w:numPr>
          <w:ilvl w:val="0"/>
          <w:numId w:val="1"/>
        </w:numPr>
        <w:spacing w:after="60" w:line="288" w:lineRule="auto"/>
      </w:pPr>
      <w:r>
        <w:t xml:space="preserve">Laufzeiten der Datenabzüge und Auswertungen messen und Engpässe vor dem Jahresabschluss beseitigen.</w:t>
      </w:r>
    </w:p>
    <w:p>
      <w:pPr>
        <w:pStyle w:val="BodyText"/>
        <w:numPr>
          <w:ilvl w:val="0"/>
          <w:numId w:val="1"/>
        </w:numPr>
        <w:spacing w:after="60" w:line="288" w:lineRule="auto"/>
      </w:pPr>
      <w:r>
        <w:t xml:space="preserve">Personal-Cockpit Phase 2 im Umfang festlegen und den Aufwand für 2027 vorbereiten.</w:t>
      </w:r>
    </w:p>
    <w:p>
      <w:pPr>
        <w:pStyle w:val="BodyText"/>
        <w:numPr>
          <w:ilvl w:val="0"/>
          <w:numId w:val="1"/>
        </w:numPr>
        <w:spacing w:after="60" w:line="288" w:lineRule="auto"/>
      </w:pPr>
      <w:r>
        <w:t xml:space="preserve">SAP-Punkte PM-01, PM-02 und PM-03 abschliessen, sobald die offenen Klärungen vorliegen.</w:t>
      </w:r>
    </w:p>
    <w:p>
      <w:pPr>
        <w:pStyle w:val="Heading1"/>
      </w:pPr>
      <w:r>
        <w:rPr/>
        <w:t xml:space="preserve">7. Datenqualität und Nachweisführung</w:t>
      </w:r>
    </w:p>
    <w:p>
      <w:pPr>
        <w:pStyle w:val="BodyText"/>
      </w:pPr>
      <w:r>
        <w:rPr/>
        <w:t xml:space="preserve">Bei Kennzahlen unterscheide ich konsequent vier Zustände. Diese Unterscheidung ist der Grund, warum in meinen Auswertungen eine Zahl auch einmal ausdrücklich als offen gekennzeichnet stehen bleibt, statt gefüllt zu werden.</w:t>
      </w:r>
    </w:p>
    <w:p>
      <w:pPr>
        <w:pStyle w:val="BodyText"/>
      </w:pPr>
      <w:r>
        <w:rPr/>
        <w:t xml:space="preserve">Der Grundsatz dahinter: Eine gefüllte Zahl ohne Vorbehalt ist gefährlicher als eine sichtbar offene Position. Wer eine Lücke sieht, fragt nach. Wer eine falsche Null sieht, rechnet damit weiter.</w:t>
      </w:r>
    </w:p>
    <w:p>
      <w:pPr>
        <w:pStyle w:val="BodyText"/>
      </w:pPr>
      <w:r>
        <w:rPr/>
        <w:t xml:space="preserve">Jede Auswertung ist rückverfolgbar. Es gibt eine Prüfdatei, die zu jeder Zeile den Rechenweg und die Herkunft der Kosten ausweist, sowie ein geführtes Issue-Log mit Verantwortlichem, Status und Nachweis je Punkt. Änderungen an der Anwendung gehen erst nach vollständigem Testlauf auf den Server; der letzte Stand vom 02.09.2026 lief mit 670 von 670 grünen Tests und mit gesichertem Rückfallpunkt.</w:t>
      </w:r>
    </w:p>
    <w:p>
      <w:pPr>
        <w:pStyle w:val="BodyText"/>
      </w:pPr>
      <w:r>
        <w:rPr/>
        <w:t xml:space="preserve">Personaldaten laufen unter einer eigenen Zugriffskontrolle und sind von den übrigen Auswertungen getrennt.</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400"/>
        <w:gridCol w:w="3600"/>
      </w:tblGrid>
      <w:tr>
        <w:trPr>
          <w:tblHeader/>
        </w:trPr>
        <w:tc>
          <w:tcPr>
            <w:tcW w:w="1400" w:type="pct"/>
            <w:shd w:val="clear" w:fill="17365D"/>
            <w:tcMar>
              <w:top w:w="80" w:type="dxa"/>
              <w:left w:w="100" w:type="dxa"/>
              <w:bottom w:w="80" w:type="dxa"/>
              <w:right w:w="100" w:type="dxa"/>
            </w:tcMar>
          </w:tcPr>
          <w:p>
            <w:pPr>
              <w:pStyle w:val="Meta"/>
            </w:pPr>
            <w:r>
              <w:rPr>
                <w:b/>
                <w:color w:val="FFFFFF"/>
              </w:rPr>
              <w:t xml:space="preserve">Begriff</w:t>
            </w:r>
          </w:p>
        </w:tc>
        <w:tc>
          <w:tcPr>
            <w:tcW w:w="3600" w:type="pct"/>
            <w:shd w:val="clear" w:fill="17365D"/>
            <w:tcMar>
              <w:top w:w="80" w:type="dxa"/>
              <w:left w:w="100" w:type="dxa"/>
              <w:bottom w:w="80" w:type="dxa"/>
              <w:right w:w="100" w:type="dxa"/>
            </w:tcMar>
          </w:tcPr>
          <w:p>
            <w:pPr>
              <w:pStyle w:val="Meta"/>
            </w:pPr>
            <w:r>
              <w:rPr>
                <w:b/>
                <w:color w:val="FFFFFF"/>
              </w:rPr>
              <w:t xml:space="preserve">Bedeutung in meinen Auswertungen</w:t>
            </w:r>
          </w:p>
        </w:tc>
      </w:tr>
      <w:tr>
        <w:tc>
          <w:tcPr>
            <w:tcW w:w="1400" w:type="pct"/>
            <w:shd w:val="clear" w:fill="FFFFFF"/>
            <w:tcMar>
              <w:top w:w="80" w:type="dxa"/>
              <w:left w:w="100" w:type="dxa"/>
              <w:bottom w:w="80" w:type="dxa"/>
              <w:right w:w="100" w:type="dxa"/>
            </w:tcMar>
          </w:tcPr>
          <w:p>
            <w:pPr>
              <w:pStyle w:val="Meta"/>
            </w:pPr>
            <w:r>
              <w:rPr>
                <w:b/>
              </w:rPr>
              <w:t xml:space="preserve">Ist</w:t>
            </w:r>
          </w:p>
        </w:tc>
        <w:tc>
          <w:tcPr>
            <w:tcW w:w="3600" w:type="pct"/>
            <w:shd w:val="clear" w:fill="FFFFFF"/>
            <w:tcMar>
              <w:top w:w="80" w:type="dxa"/>
              <w:left w:w="100" w:type="dxa"/>
              <w:bottom w:w="80" w:type="dxa"/>
              <w:right w:w="100" w:type="dxa"/>
            </w:tcMar>
          </w:tcPr>
          <w:p>
            <w:pPr>
              <w:pStyle w:val="Meta"/>
            </w:pPr>
            <w:r>
              <w:rPr/>
              <w:t xml:space="preserve">Der aus dem Quellsystem gelesene Wert, unverändert</w:t>
            </w:r>
          </w:p>
        </w:tc>
      </w:tr>
      <w:tr>
        <w:tc>
          <w:tcPr>
            <w:tcW w:w="1400" w:type="pct"/>
            <w:shd w:val="clear" w:fill="F4F7FB"/>
            <w:tcMar>
              <w:top w:w="80" w:type="dxa"/>
              <w:left w:w="100" w:type="dxa"/>
              <w:bottom w:w="80" w:type="dxa"/>
              <w:right w:w="100" w:type="dxa"/>
            </w:tcMar>
          </w:tcPr>
          <w:p>
            <w:pPr>
              <w:pStyle w:val="Meta"/>
            </w:pPr>
            <w:r>
              <w:rPr>
                <w:b/>
              </w:rPr>
              <w:t xml:space="preserve">Soll</w:t>
            </w:r>
          </w:p>
        </w:tc>
        <w:tc>
          <w:tcPr>
            <w:tcW w:w="3600" w:type="pct"/>
            <w:shd w:val="clear" w:fill="F4F7FB"/>
            <w:tcMar>
              <w:top w:w="80" w:type="dxa"/>
              <w:left w:w="100" w:type="dxa"/>
              <w:bottom w:w="80" w:type="dxa"/>
              <w:right w:w="100" w:type="dxa"/>
            </w:tcMar>
          </w:tcPr>
          <w:p>
            <w:pPr>
              <w:pStyle w:val="Meta"/>
            </w:pPr>
            <w:r>
              <w:rPr/>
              <w:t xml:space="preserve">Der von der Fachstelle vorgegebene Vergleichswert</w:t>
            </w:r>
          </w:p>
        </w:tc>
      </w:tr>
      <w:tr>
        <w:tc>
          <w:tcPr>
            <w:tcW w:w="1400" w:type="pct"/>
            <w:shd w:val="clear" w:fill="FFFFFF"/>
            <w:tcMar>
              <w:top w:w="80" w:type="dxa"/>
              <w:left w:w="100" w:type="dxa"/>
              <w:bottom w:w="80" w:type="dxa"/>
              <w:right w:w="100" w:type="dxa"/>
            </w:tcMar>
          </w:tcPr>
          <w:p>
            <w:pPr>
              <w:pStyle w:val="Meta"/>
            </w:pPr>
            <w:r>
              <w:rPr>
                <w:b/>
              </w:rPr>
              <w:t xml:space="preserve">Diagnose</w:t>
            </w:r>
          </w:p>
        </w:tc>
        <w:tc>
          <w:tcPr>
            <w:tcW w:w="3600" w:type="pct"/>
            <w:shd w:val="clear" w:fill="FFFFFF"/>
            <w:tcMar>
              <w:top w:w="80" w:type="dxa"/>
              <w:left w:w="100" w:type="dxa"/>
              <w:bottom w:w="80" w:type="dxa"/>
              <w:right w:w="100" w:type="dxa"/>
            </w:tcMar>
          </w:tcPr>
          <w:p>
            <w:pPr>
              <w:pStyle w:val="Meta"/>
            </w:pPr>
            <w:r>
              <w:rPr/>
              <w:t xml:space="preserve">Ein Zwischenwert zur Fehlersuche, ausdrücklich nicht zur Berichterstattung</w:t>
            </w:r>
          </w:p>
        </w:tc>
      </w:tr>
      <w:tr>
        <w:tc>
          <w:tcPr>
            <w:tcW w:w="1400" w:type="pct"/>
            <w:shd w:val="clear" w:fill="F4F7FB"/>
            <w:tcMar>
              <w:top w:w="80" w:type="dxa"/>
              <w:left w:w="100" w:type="dxa"/>
              <w:bottom w:w="80" w:type="dxa"/>
              <w:right w:w="100" w:type="dxa"/>
            </w:tcMar>
          </w:tcPr>
          <w:p>
            <w:pPr>
              <w:pStyle w:val="Meta"/>
            </w:pPr>
            <w:r>
              <w:rPr>
                <w:b/>
              </w:rPr>
              <w:t xml:space="preserve">Freigegeben</w:t>
            </w:r>
          </w:p>
        </w:tc>
        <w:tc>
          <w:tcPr>
            <w:tcW w:w="3600" w:type="pct"/>
            <w:shd w:val="clear" w:fill="F4F7FB"/>
            <w:tcMar>
              <w:top w:w="80" w:type="dxa"/>
              <w:left w:w="100" w:type="dxa"/>
              <w:bottom w:w="80" w:type="dxa"/>
              <w:right w:w="100" w:type="dxa"/>
            </w:tcMar>
          </w:tcPr>
          <w:p>
            <w:pPr>
              <w:pStyle w:val="Meta"/>
            </w:pPr>
            <w:r>
              <w:rPr/>
              <w:t xml:space="preserve">Von der zuständigen Fachstelle als offizielle Kennzahl bestätigt</w:t>
            </w:r>
          </w:p>
        </w:tc>
      </w:tr>
    </w:tbl>
    <w:p>
      <w:pPr>
        <w:pStyle w:val="Meta"/>
        <w:spacing w:after="0" w:line="160" w:lineRule="exact"/>
      </w:pPr>
    </w:p>
    <w:p>
      <w:pPr>
        <w:pStyle w:val="Heading1"/>
      </w:pPr>
      <w:r>
        <w:rPr/>
        <w:t xml:space="preserve">8. Know-how-Risiko und Wiederanlauf</w:t>
      </w:r>
    </w:p>
    <w:p>
      <w:pPr>
        <w:pStyle w:val="BodyText"/>
      </w:pPr>
      <w:r>
        <w:rPr/>
        <w:t xml:space="preserve">Der Bereich ist personell schmal aufgestellt. Deshalb liegt ein erheblicher Teil meiner Arbeit darin, dass das Wissen nicht an einer Person hängt.</w:t>
      </w:r>
    </w:p>
    <w:p>
      <w:pPr>
        <w:pStyle w:val="BodyText"/>
      </w:pPr>
      <w:r>
        <w:rPr/>
        <w:t xml:space="preserve">Konkret heisst das: Jede Regel, jede Ausnahme und jeder Rechenweg ist schriftlich festgehalten und über einen festen Einstiegspunkt auffindbar. Der Stand eines jeden offenen Punktes steht an genau einer gültigen Stelle, damit es keine widersprüchlichen Auskünfte gibt. Jede Bereitstellung auf dem Server hinterlässt einen benannten Rückfallpunkt und eine Sicherung der Datenbank.</w:t>
      </w:r>
    </w:p>
    <w:p>
      <w:pPr>
        <w:pStyle w:val="BodyText"/>
      </w:pPr>
      <w:r>
        <w:rPr/>
        <w:t xml:space="preserve">Für kritische Berechnungen gibt es automatische Tests, die vor jeder Auslieferung laufen. Damit ist ein Wiederanlauf auch ohne mich möglich, und eine Änderung kann jederzeit zurückgenommen werden.</w:t>
      </w:r>
    </w:p>
    <w:p>
      <w:pPr>
        <w:pStyle w:val="BodyText"/>
      </w:pPr>
      <w:r>
        <w:rPr/>
        <w:t xml:space="preserve">Der Punkt, der mir dabei am meisten Aufmerksamkeit kostet, ist nicht die Technik, sondern die Zulieferung aus den Standorten. Mehrere offene Punkte hängen daran, dass ein Standort eine Datei, eine Bestätigung oder eine Auskunft liefert. Hier hilft Rückendeckung aus der Geschäftsleitung mehr als jede technische Massnahme.</w:t>
      </w:r>
    </w:p>
    <w:p>
      <w:pPr>
        <w:pStyle w:val="Heading1"/>
      </w:pPr>
      <w:r>
        <w:rPr/>
        <w:t xml:space="preserve">9. Personen, mit denen ich zusammenarbeite</w:t>
      </w:r>
    </w:p>
    <w:p>
      <w:pPr>
        <w:pStyle w:val="BodyText"/>
      </w:pPr>
      <w:r>
        <w:rPr/>
        <w:t xml:space="preserve">Die fachliche Verantwortung für Kennzahlen liegt bei den folgenden Personen. Ich liefere Daten, Berechnung und Nachweis; die Freigabe einer Zahl als offizielle Kennzahl liegt bei ihnen.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150"/>
        <w:gridCol w:w="1850"/>
        <w:gridCol w:w="2000"/>
      </w:tblGrid>
      <w:tr>
        <w:trPr>
          <w:tblHeader/>
        </w:trPr>
        <w:tc>
          <w:tcPr>
            <w:tcW w:w="1150" w:type="pct"/>
            <w:shd w:val="clear" w:fill="17365D"/>
            <w:tcMar>
              <w:top w:w="80" w:type="dxa"/>
              <w:left w:w="100" w:type="dxa"/>
              <w:bottom w:w="80" w:type="dxa"/>
              <w:right w:w="100" w:type="dxa"/>
            </w:tcMar>
          </w:tcPr>
          <w:p>
            <w:pPr>
              <w:pStyle w:val="Meta"/>
            </w:pPr>
            <w:r>
              <w:rPr>
                <w:b/>
                <w:color w:val="FFFFFF"/>
              </w:rPr>
              <w:t xml:space="preserve">Person</w:t>
            </w:r>
          </w:p>
        </w:tc>
        <w:tc>
          <w:tcPr>
            <w:tcW w:w="1850" w:type="pct"/>
            <w:shd w:val="clear" w:fill="17365D"/>
            <w:tcMar>
              <w:top w:w="80" w:type="dxa"/>
              <w:left w:w="100" w:type="dxa"/>
              <w:bottom w:w="80" w:type="dxa"/>
              <w:right w:w="100" w:type="dxa"/>
            </w:tcMar>
          </w:tcPr>
          <w:p>
            <w:pPr>
              <w:pStyle w:val="Meta"/>
            </w:pPr>
            <w:r>
              <w:rPr>
                <w:b/>
                <w:color w:val="FFFFFF"/>
              </w:rPr>
              <w:t xml:space="preserve">Thema</w:t>
            </w:r>
          </w:p>
        </w:tc>
        <w:tc>
          <w:tcPr>
            <w:tcW w:w="2000" w:type="pct"/>
            <w:shd w:val="clear" w:fill="17365D"/>
            <w:tcMar>
              <w:top w:w="80" w:type="dxa"/>
              <w:left w:w="100" w:type="dxa"/>
              <w:bottom w:w="80" w:type="dxa"/>
              <w:right w:w="100" w:type="dxa"/>
            </w:tcMar>
          </w:tcPr>
          <w:p>
            <w:pPr>
              <w:pStyle w:val="Meta"/>
            </w:pPr>
            <w:r>
              <w:rPr>
                <w:b/>
                <w:color w:val="FFFFFF"/>
              </w:rPr>
              <w:t xml:space="preserve">Rolle in meiner Arbeit</w:t>
            </w:r>
          </w:p>
        </w:tc>
      </w:tr>
      <w:tr>
        <w:tc>
          <w:tcPr>
            <w:tcW w:w="1150" w:type="pct"/>
            <w:shd w:val="clear" w:fill="FFFFFF"/>
            <w:tcMar>
              <w:top w:w="80" w:type="dxa"/>
              <w:left w:w="100" w:type="dxa"/>
              <w:bottom w:w="80" w:type="dxa"/>
              <w:right w:w="100" w:type="dxa"/>
            </w:tcMar>
          </w:tcPr>
          <w:p>
            <w:pPr>
              <w:pStyle w:val="Meta"/>
            </w:pPr>
            <w:r>
              <w:rPr>
                <w:b/>
              </w:rPr>
              <w:t xml:space="preserve">Andreas Stoller</w:t>
            </w:r>
          </w:p>
        </w:tc>
        <w:tc>
          <w:tcPr>
            <w:tcW w:w="1850" w:type="pct"/>
            <w:shd w:val="clear" w:fill="FFFFFF"/>
            <w:tcMar>
              <w:top w:w="80" w:type="dxa"/>
              <w:left w:w="100" w:type="dxa"/>
              <w:bottom w:w="80" w:type="dxa"/>
              <w:right w:w="100" w:type="dxa"/>
            </w:tcMar>
          </w:tcPr>
          <w:p>
            <w:pPr>
              <w:pStyle w:val="Meta"/>
            </w:pPr>
            <w:r>
              <w:rPr/>
              <w:t xml:space="preserve">Finanzen</w:t>
            </w:r>
          </w:p>
        </w:tc>
        <w:tc>
          <w:tcPr>
            <w:tcW w:w="2000" w:type="pct"/>
            <w:shd w:val="clear" w:fill="FFFFFF"/>
            <w:tcMar>
              <w:top w:w="80" w:type="dxa"/>
              <w:left w:w="100" w:type="dxa"/>
              <w:bottom w:w="80" w:type="dxa"/>
              <w:right w:w="100" w:type="dxa"/>
            </w:tcMar>
          </w:tcPr>
          <w:p>
            <w:pPr>
              <w:pStyle w:val="Meta"/>
            </w:pPr>
            <w:r>
              <w:rPr/>
              <w:t xml:space="preserve">Entscheidet alle fachlichen Regeln zu Umsatz, Marge und Kosten und gibt Kennzahlen frei</w:t>
            </w:r>
          </w:p>
        </w:tc>
      </w:tr>
      <w:tr>
        <w:tc>
          <w:tcPr>
            <w:tcW w:w="1150" w:type="pct"/>
            <w:shd w:val="clear" w:fill="F4F7FB"/>
            <w:tcMar>
              <w:top w:w="80" w:type="dxa"/>
              <w:left w:w="100" w:type="dxa"/>
              <w:bottom w:w="80" w:type="dxa"/>
              <w:right w:w="100" w:type="dxa"/>
            </w:tcMar>
          </w:tcPr>
          <w:p>
            <w:pPr>
              <w:pStyle w:val="Meta"/>
            </w:pPr>
            <w:r>
              <w:rPr>
                <w:b/>
              </w:rPr>
              <w:t xml:space="preserve">Sonja</w:t>
            </w:r>
          </w:p>
        </w:tc>
        <w:tc>
          <w:tcPr>
            <w:tcW w:w="1850" w:type="pct"/>
            <w:shd w:val="clear" w:fill="F4F7FB"/>
            <w:tcMar>
              <w:top w:w="80" w:type="dxa"/>
              <w:left w:w="100" w:type="dxa"/>
              <w:bottom w:w="80" w:type="dxa"/>
              <w:right w:w="100" w:type="dxa"/>
            </w:tcMar>
          </w:tcPr>
          <w:p>
            <w:pPr>
              <w:pStyle w:val="Meta"/>
            </w:pPr>
            <w:r>
              <w:rPr/>
              <w:t xml:space="preserve">Personal</w:t>
            </w:r>
          </w:p>
        </w:tc>
        <w:tc>
          <w:tcPr>
            <w:tcW w:w="2000" w:type="pct"/>
            <w:shd w:val="clear" w:fill="F4F7FB"/>
            <w:tcMar>
              <w:top w:w="80" w:type="dxa"/>
              <w:left w:w="100" w:type="dxa"/>
              <w:bottom w:w="80" w:type="dxa"/>
              <w:right w:w="100" w:type="dxa"/>
            </w:tcMar>
          </w:tcPr>
          <w:p>
            <w:pPr>
              <w:pStyle w:val="Meta"/>
            </w:pPr>
            <w:r>
              <w:rPr/>
              <w:t xml:space="preserve">Fachliche Abnahme des Personal-Cockpits, Herkunft der Fluktuationsformel</w:t>
            </w:r>
          </w:p>
        </w:tc>
      </w:tr>
      <w:tr>
        <w:tc>
          <w:tcPr>
            <w:tcW w:w="1150" w:type="pct"/>
            <w:shd w:val="clear" w:fill="FFFFFF"/>
            <w:tcMar>
              <w:top w:w="80" w:type="dxa"/>
              <w:left w:w="100" w:type="dxa"/>
              <w:bottom w:w="80" w:type="dxa"/>
              <w:right w:w="100" w:type="dxa"/>
            </w:tcMar>
          </w:tcPr>
          <w:p>
            <w:pPr>
              <w:pStyle w:val="Meta"/>
            </w:pPr>
            <w:r>
              <w:rPr>
                <w:b/>
              </w:rPr>
              <w:t xml:space="preserve">Nadja</w:t>
            </w:r>
          </w:p>
        </w:tc>
        <w:tc>
          <w:tcPr>
            <w:tcW w:w="1850" w:type="pct"/>
            <w:shd w:val="clear" w:fill="FFFFFF"/>
            <w:tcMar>
              <w:top w:w="80" w:type="dxa"/>
              <w:left w:w="100" w:type="dxa"/>
              <w:bottom w:w="80" w:type="dxa"/>
              <w:right w:w="100" w:type="dxa"/>
            </w:tcMar>
          </w:tcPr>
          <w:p>
            <w:pPr>
              <w:pStyle w:val="Meta"/>
            </w:pPr>
            <w:r>
              <w:rPr/>
              <w:t xml:space="preserve">Personal</w:t>
            </w:r>
          </w:p>
        </w:tc>
        <w:tc>
          <w:tcPr>
            <w:tcW w:w="2000" w:type="pct"/>
            <w:shd w:val="clear" w:fill="FFFFFF"/>
            <w:tcMar>
              <w:top w:w="80" w:type="dxa"/>
              <w:left w:w="100" w:type="dxa"/>
              <w:bottom w:w="80" w:type="dxa"/>
              <w:right w:w="100" w:type="dxa"/>
            </w:tcMar>
          </w:tcPr>
          <w:p>
            <w:pPr>
              <w:pStyle w:val="Meta"/>
            </w:pPr>
            <w:r>
              <w:rPr/>
              <w:t xml:space="preserve">Plausibilisierung der Personalkennzahlen</w:t>
            </w:r>
          </w:p>
        </w:tc>
      </w:tr>
      <w:tr>
        <w:tc>
          <w:tcPr>
            <w:tcW w:w="1150" w:type="pct"/>
            <w:shd w:val="clear" w:fill="F4F7FB"/>
            <w:tcMar>
              <w:top w:w="80" w:type="dxa"/>
              <w:left w:w="100" w:type="dxa"/>
              <w:bottom w:w="80" w:type="dxa"/>
              <w:right w:w="100" w:type="dxa"/>
            </w:tcMar>
          </w:tcPr>
          <w:p>
            <w:pPr>
              <w:pStyle w:val="Meta"/>
            </w:pPr>
            <w:r>
              <w:rPr>
                <w:b/>
              </w:rPr>
              <w:t xml:space="preserve">Patrik</w:t>
            </w:r>
          </w:p>
        </w:tc>
        <w:tc>
          <w:tcPr>
            <w:tcW w:w="1850" w:type="pct"/>
            <w:shd w:val="clear" w:fill="F4F7FB"/>
            <w:tcMar>
              <w:top w:w="80" w:type="dxa"/>
              <w:left w:w="100" w:type="dxa"/>
              <w:bottom w:w="80" w:type="dxa"/>
              <w:right w:w="100" w:type="dxa"/>
            </w:tcMar>
          </w:tcPr>
          <w:p>
            <w:pPr>
              <w:pStyle w:val="Meta"/>
            </w:pPr>
            <w:r>
              <w:rPr/>
              <w:t xml:space="preserve">Verkauf</w:t>
            </w:r>
          </w:p>
        </w:tc>
        <w:tc>
          <w:tcPr>
            <w:tcW w:w="2000" w:type="pct"/>
            <w:shd w:val="clear" w:fill="F4F7FB"/>
            <w:tcMar>
              <w:top w:w="80" w:type="dxa"/>
              <w:left w:w="100" w:type="dxa"/>
              <w:bottom w:w="80" w:type="dxa"/>
              <w:right w:w="100" w:type="dxa"/>
            </w:tcMar>
          </w:tcPr>
          <w:p>
            <w:pPr>
              <w:pStyle w:val="Meta"/>
            </w:pPr>
            <w:r>
              <w:rPr/>
              <w:t xml:space="preserve">Eigentümer der Kundenzuordnung zu Marktsegmenten, unter anderem Bahnindustrie</w:t>
            </w:r>
          </w:p>
        </w:tc>
      </w:tr>
      <w:tr>
        <w:tc>
          <w:tcPr>
            <w:tcW w:w="1150" w:type="pct"/>
            <w:shd w:val="clear" w:fill="FFFFFF"/>
            <w:tcMar>
              <w:top w:w="80" w:type="dxa"/>
              <w:left w:w="100" w:type="dxa"/>
              <w:bottom w:w="80" w:type="dxa"/>
              <w:right w:w="100" w:type="dxa"/>
            </w:tcMar>
          </w:tcPr>
          <w:p>
            <w:pPr>
              <w:pStyle w:val="Meta"/>
            </w:pPr>
            <w:r>
              <w:rPr>
                <w:b/>
              </w:rPr>
              <w:t xml:space="preserve">Lucas</w:t>
            </w:r>
          </w:p>
        </w:tc>
        <w:tc>
          <w:tcPr>
            <w:tcW w:w="1850" w:type="pct"/>
            <w:shd w:val="clear" w:fill="FFFFFF"/>
            <w:tcMar>
              <w:top w:w="80" w:type="dxa"/>
              <w:left w:w="100" w:type="dxa"/>
              <w:bottom w:w="80" w:type="dxa"/>
              <w:right w:w="100" w:type="dxa"/>
            </w:tcMar>
          </w:tcPr>
          <w:p>
            <w:pPr>
              <w:pStyle w:val="Meta"/>
            </w:pPr>
            <w:r>
              <w:rPr/>
              <w:t xml:space="preserve">SAP</w:t>
            </w:r>
          </w:p>
        </w:tc>
        <w:tc>
          <w:tcPr>
            <w:tcW w:w="2000" w:type="pct"/>
            <w:shd w:val="clear" w:fill="FFFFFF"/>
            <w:tcMar>
              <w:top w:w="80" w:type="dxa"/>
              <w:left w:w="100" w:type="dxa"/>
              <w:bottom w:w="80" w:type="dxa"/>
              <w:right w:w="100" w:type="dxa"/>
            </w:tcMar>
          </w:tcPr>
          <w:p>
            <w:pPr>
              <w:pStyle w:val="Meta"/>
            </w:pPr>
            <w:r>
              <w:rPr/>
              <w:t xml:space="preserve">Verantwortet die SAP-Themen ausserhalb meines Bereichs</w:t>
            </w:r>
          </w:p>
        </w:tc>
      </w:tr>
      <w:tr>
        <w:tc>
          <w:tcPr>
            <w:tcW w:w="1150" w:type="pct"/>
            <w:shd w:val="clear" w:fill="F4F7FB"/>
            <w:tcMar>
              <w:top w:w="80" w:type="dxa"/>
              <w:left w:w="100" w:type="dxa"/>
              <w:bottom w:w="80" w:type="dxa"/>
              <w:right w:w="100" w:type="dxa"/>
            </w:tcMar>
          </w:tcPr>
          <w:p>
            <w:pPr>
              <w:pStyle w:val="Meta"/>
            </w:pPr>
            <w:r>
              <w:rPr>
                <w:b/>
              </w:rPr>
              <w:t xml:space="preserve">Rohail Munir</w:t>
            </w:r>
          </w:p>
        </w:tc>
        <w:tc>
          <w:tcPr>
            <w:tcW w:w="1850" w:type="pct"/>
            <w:shd w:val="clear" w:fill="F4F7FB"/>
            <w:tcMar>
              <w:top w:w="80" w:type="dxa"/>
              <w:left w:w="100" w:type="dxa"/>
              <w:bottom w:w="80" w:type="dxa"/>
              <w:right w:w="100" w:type="dxa"/>
            </w:tcMar>
          </w:tcPr>
          <w:p>
            <w:pPr>
              <w:pStyle w:val="Meta"/>
            </w:pPr>
            <w:r>
              <w:rPr/>
              <w:t xml:space="preserve">Deutschland</w:t>
            </w:r>
          </w:p>
        </w:tc>
        <w:tc>
          <w:tcPr>
            <w:tcW w:w="2000" w:type="pct"/>
            <w:shd w:val="clear" w:fill="F4F7FB"/>
            <w:tcMar>
              <w:top w:w="80" w:type="dxa"/>
              <w:left w:w="100" w:type="dxa"/>
              <w:bottom w:w="80" w:type="dxa"/>
              <w:right w:w="100" w:type="dxa"/>
            </w:tcMar>
          </w:tcPr>
          <w:p>
            <w:pPr>
              <w:pStyle w:val="Meta"/>
            </w:pPr>
            <w:r>
              <w:rPr/>
              <w:t xml:space="preserve">Datenzulieferung Deutschland, Auftraggeber der Bahnindustrie-Auswertung</w:t>
            </w:r>
          </w:p>
        </w:tc>
      </w:tr>
      <w:tr>
        <w:tc>
          <w:tcPr>
            <w:tcW w:w="1150" w:type="pct"/>
            <w:shd w:val="clear" w:fill="FFFFFF"/>
            <w:tcMar>
              <w:top w:w="80" w:type="dxa"/>
              <w:left w:w="100" w:type="dxa"/>
              <w:bottom w:w="80" w:type="dxa"/>
              <w:right w:w="100" w:type="dxa"/>
            </w:tcMar>
          </w:tcPr>
          <w:p>
            <w:pPr>
              <w:pStyle w:val="Meta"/>
            </w:pPr>
            <w:r>
              <w:rPr>
                <w:b/>
              </w:rPr>
              <w:t xml:space="preserve">Santi Gomez</w:t>
            </w:r>
          </w:p>
        </w:tc>
        <w:tc>
          <w:tcPr>
            <w:tcW w:w="1850" w:type="pct"/>
            <w:shd w:val="clear" w:fill="FFFFFF"/>
            <w:tcMar>
              <w:top w:w="80" w:type="dxa"/>
              <w:left w:w="100" w:type="dxa"/>
              <w:bottom w:w="80" w:type="dxa"/>
              <w:right w:w="100" w:type="dxa"/>
            </w:tcMar>
          </w:tcPr>
          <w:p>
            <w:pPr>
              <w:pStyle w:val="Meta"/>
            </w:pPr>
            <w:r>
              <w:rPr/>
              <w:t xml:space="preserve">Spanien</w:t>
            </w:r>
          </w:p>
        </w:tc>
        <w:tc>
          <w:tcPr>
            <w:tcW w:w="2000" w:type="pct"/>
            <w:shd w:val="clear" w:fill="FFFFFF"/>
            <w:tcMar>
              <w:top w:w="80" w:type="dxa"/>
              <w:left w:w="100" w:type="dxa"/>
              <w:bottom w:w="80" w:type="dxa"/>
              <w:right w:w="100" w:type="dxa"/>
            </w:tcMar>
          </w:tcPr>
          <w:p>
            <w:pPr>
              <w:pStyle w:val="Meta"/>
            </w:pPr>
            <w:r>
              <w:rPr/>
              <w:t xml:space="preserve">Datenzulieferung Spanien aus Sage 200</w:t>
            </w:r>
          </w:p>
        </w:tc>
      </w:tr>
      <w:tr>
        <w:tc>
          <w:tcPr>
            <w:tcW w:w="1150" w:type="pct"/>
            <w:shd w:val="clear" w:fill="F4F7FB"/>
            <w:tcMar>
              <w:top w:w="80" w:type="dxa"/>
              <w:left w:w="100" w:type="dxa"/>
              <w:bottom w:w="80" w:type="dxa"/>
              <w:right w:w="100" w:type="dxa"/>
            </w:tcMar>
          </w:tcPr>
          <w:p>
            <w:pPr>
              <w:pStyle w:val="Meta"/>
            </w:pPr>
            <w:r>
              <w:rPr>
                <w:b/>
              </w:rPr>
              <w:t xml:space="preserve">Paola</w:t>
            </w:r>
          </w:p>
        </w:tc>
        <w:tc>
          <w:tcPr>
            <w:tcW w:w="1850" w:type="pct"/>
            <w:shd w:val="clear" w:fill="F4F7FB"/>
            <w:tcMar>
              <w:top w:w="80" w:type="dxa"/>
              <w:left w:w="100" w:type="dxa"/>
              <w:bottom w:w="80" w:type="dxa"/>
              <w:right w:w="100" w:type="dxa"/>
            </w:tcMar>
          </w:tcPr>
          <w:p>
            <w:pPr>
              <w:pStyle w:val="Meta"/>
            </w:pPr>
            <w:r>
              <w:rPr/>
              <w:t xml:space="preserve">Italien</w:t>
            </w:r>
          </w:p>
        </w:tc>
        <w:tc>
          <w:tcPr>
            <w:tcW w:w="2000" w:type="pct"/>
            <w:shd w:val="clear" w:fill="F4F7FB"/>
            <w:tcMar>
              <w:top w:w="80" w:type="dxa"/>
              <w:left w:w="100" w:type="dxa"/>
              <w:bottom w:w="80" w:type="dxa"/>
              <w:right w:w="100" w:type="dxa"/>
            </w:tcMar>
          </w:tcPr>
          <w:p>
            <w:pPr>
              <w:pStyle w:val="Meta"/>
            </w:pPr>
            <w:r>
              <w:rPr/>
              <w:t xml:space="preserve">Bewertungsmethode und Kostenlauf Italien</w:t>
            </w:r>
          </w:p>
        </w:tc>
      </w:tr>
      <w:tr>
        <w:tc>
          <w:tcPr>
            <w:tcW w:w="1150" w:type="pct"/>
            <w:shd w:val="clear" w:fill="FFFFFF"/>
            <w:tcMar>
              <w:top w:w="80" w:type="dxa"/>
              <w:left w:w="100" w:type="dxa"/>
              <w:bottom w:w="80" w:type="dxa"/>
              <w:right w:w="100" w:type="dxa"/>
            </w:tcMar>
          </w:tcPr>
          <w:p>
            <w:pPr>
              <w:pStyle w:val="Meta"/>
            </w:pPr>
            <w:r>
              <w:rPr>
                <w:b/>
              </w:rPr>
              <w:t xml:space="preserve">Ann-Katrin Michel</w:t>
            </w:r>
          </w:p>
        </w:tc>
        <w:tc>
          <w:tcPr>
            <w:tcW w:w="1850" w:type="pct"/>
            <w:shd w:val="clear" w:fill="FFFFFF"/>
            <w:tcMar>
              <w:top w:w="80" w:type="dxa"/>
              <w:left w:w="100" w:type="dxa"/>
              <w:bottom w:w="80" w:type="dxa"/>
              <w:right w:w="100" w:type="dxa"/>
            </w:tcMar>
          </w:tcPr>
          <w:p>
            <w:pPr>
              <w:pStyle w:val="Meta"/>
            </w:pPr>
            <w:r>
              <w:rPr/>
              <w:t xml:space="preserve">Fachanwendung</w:t>
            </w:r>
          </w:p>
        </w:tc>
        <w:tc>
          <w:tcPr>
            <w:tcW w:w="2000" w:type="pct"/>
            <w:shd w:val="clear" w:fill="FFFFFF"/>
            <w:tcMar>
              <w:top w:w="80" w:type="dxa"/>
              <w:left w:w="100" w:type="dxa"/>
              <w:bottom w:w="80" w:type="dxa"/>
              <w:right w:w="100" w:type="dxa"/>
            </w:tcMar>
          </w:tcPr>
          <w:p>
            <w:pPr>
              <w:pStyle w:val="Meta"/>
            </w:pPr>
            <w:r>
              <w:rPr/>
              <w:t xml:space="preserve">Nutzt die Auswertung zu auslaufenden Materialien</w:t>
            </w:r>
          </w:p>
        </w:tc>
      </w:tr>
      <w:tr>
        <w:tc>
          <w:tcPr>
            <w:tcW w:w="1150" w:type="pct"/>
            <w:shd w:val="clear" w:fill="F4F7FB"/>
            <w:tcMar>
              <w:top w:w="80" w:type="dxa"/>
              <w:left w:w="100" w:type="dxa"/>
              <w:bottom w:w="80" w:type="dxa"/>
              <w:right w:w="100" w:type="dxa"/>
            </w:tcMar>
          </w:tcPr>
          <w:p>
            <w:pPr>
              <w:pStyle w:val="Meta"/>
            </w:pPr>
            <w:r>
              <w:rPr>
                <w:b/>
              </w:rPr>
              <w:t xml:space="preserve">Alex, Ramon, Upgreat</w:t>
            </w:r>
          </w:p>
        </w:tc>
        <w:tc>
          <w:tcPr>
            <w:tcW w:w="1850" w:type="pct"/>
            <w:shd w:val="clear" w:fill="F4F7FB"/>
            <w:tcMar>
              <w:top w:w="80" w:type="dxa"/>
              <w:left w:w="100" w:type="dxa"/>
              <w:bottom w:w="80" w:type="dxa"/>
              <w:right w:w="100" w:type="dxa"/>
            </w:tcMar>
          </w:tcPr>
          <w:p>
            <w:pPr>
              <w:pStyle w:val="Meta"/>
            </w:pPr>
            <w:r>
              <w:rPr/>
              <w:t xml:space="preserve">Infrastruktur</w:t>
            </w:r>
          </w:p>
        </w:tc>
        <w:tc>
          <w:tcPr>
            <w:tcW w:w="2000" w:type="pct"/>
            <w:shd w:val="clear" w:fill="F4F7FB"/>
            <w:tcMar>
              <w:top w:w="80" w:type="dxa"/>
              <w:left w:w="100" w:type="dxa"/>
              <w:bottom w:w="80" w:type="dxa"/>
              <w:right w:w="100" w:type="dxa"/>
            </w:tcMar>
          </w:tcPr>
          <w:p>
            <w:pPr>
              <w:pStyle w:val="Meta"/>
            </w:pPr>
            <w:r>
              <w:rPr/>
              <w:t xml:space="preserve">Netzwerk, Server und Sicherheit; nicht mein Bereich, aber Voraussetzung für den Betrieb</w:t>
            </w:r>
          </w:p>
        </w:tc>
      </w:tr>
    </w:tbl>
    <w:p>
      <w:pPr>
        <w:pStyle w:val="Meta"/>
        <w:spacing w:after="0" w:line="160" w:lineRule="exact"/>
      </w:pPr>
    </w:p>
    <w:p>
      <w:pPr>
        <w:pStyle w:val="Heading1"/>
      </w:pPr>
      <w:r>
        <w:rPr/>
        <w:t xml:space="preserve">10. Vorschlag für die Zusammenarbeit</w:t>
      </w:r>
    </w:p>
    <w:p>
      <w:pPr>
        <w:pStyle w:val="BodyText"/>
      </w:pPr>
      <w:r>
        <w:rPr/>
        <w:t xml:space="preserve">Damit Sie in den kommenden sechs Monaten jederzeit sehen, wo die Arbeit steht, schlage ich einen festen Rhythmus in genau dieser Struktur vor. Der Aufbau bleibt gleich, nur die Inhalte wechseln. So ist ein Vergleich von Monat zu Monat ohne Einarbeitung möglich.</w:t>
      </w:r>
    </w:p>
    <w:p>
      <w:pPr>
        <w:pStyle w:val="BodyText"/>
        <w:numPr>
          <w:ilvl w:val="0"/>
          <w:numId w:val="1"/>
        </w:numPr>
        <w:spacing w:after="60" w:line="288" w:lineRule="auto"/>
      </w:pPr>
      <w:r>
        <w:t xml:space="preserve">Monatlich eine Fortschreibung dieses Dokuments: dieselben zehn Abschnitte, dieselben fünf Felder je Arbeitspaket, jeweils mit dem Datum der Messung.</w:t>
      </w:r>
    </w:p>
    <w:p>
      <w:pPr>
        <w:pStyle w:val="BodyText"/>
        <w:numPr>
          <w:ilvl w:val="0"/>
          <w:numId w:val="1"/>
        </w:numPr>
        <w:spacing w:after="60" w:line="288" w:lineRule="auto"/>
      </w:pPr>
      <w:r>
        <w:t xml:space="preserve">Abschnitt 4 zuerst besprechen. Dort stehen die Punkte, die ich nicht allein abschliessen kann und bei denen eine Entscheidung oder Rückendeckung am meisten bewirkt.</w:t>
      </w:r>
    </w:p>
    <w:p>
      <w:pPr>
        <w:pStyle w:val="BodyText"/>
        <w:numPr>
          <w:ilvl w:val="0"/>
          <w:numId w:val="1"/>
        </w:numPr>
        <w:spacing w:after="60" w:line="288" w:lineRule="auto"/>
      </w:pPr>
      <w:r>
        <w:t xml:space="preserve">Jede zugesagte Frist wird in Abschnitt 3 sichtbar geführt, mit dem Auftraggeber und der Folge, wenn sie nicht gehalten wird.</w:t>
      </w:r>
    </w:p>
    <w:p>
      <w:pPr>
        <w:pStyle w:val="BodyText"/>
        <w:numPr>
          <w:ilvl w:val="0"/>
          <w:numId w:val="1"/>
        </w:numPr>
        <w:spacing w:after="60" w:line="288" w:lineRule="auto"/>
      </w:pPr>
      <w:r>
        <w:t xml:space="preserve">Wenn eine Zahl im Gespräch strittig ist, weise ich den Rechenweg bis zur einzelnen Zeile nach. Dafür ist die Nachweisführung aus Abschnitt 7 gebaut.</w:t>
      </w:r>
    </w:p>
    <w:sectPr>
      <w:headerReference xmlns:r="http://schemas.openxmlformats.org/officeDocument/2006/relationships" w:type="default" r:id="R9f54cefe4a124054"/>
      <w:footerReference xmlns:r="http://schemas.openxmlformats.org/officeDocument/2006/relationships" w:type="default" r:id="R2d01035becbe471e"/>
      <w:pgSz w:w="11906" w:h="16838"/>
      <w:pgMar w:top="1000" w:right="1100" w:bottom="1000" w:left="1100" w:header="500" w:footer="500"/>
    </w:sectPr>
  </w:body>
</w:document>
</file>

<file path=word/footer1.xml><?xml version="1.0" encoding="utf-8"?>
<w:ftr xmlns:w="http://schemas.openxmlformats.org/wordprocessingml/2006/main">
  <w:p>
    <w:pPr>
      <w:pStyle w:val="Meta"/>
      <w:jc w:val="right"/>
    </w:pPr>
    <w:r>
      <w:rPr>
        <w:color w:val="6F7782"/>
        <w:sz w:val="18"/>
      </w:rPr>
      <w:t>Seite </w:t>
    </w:r>
    <w:r>
      <w:fldChar w:fldCharType="begin"/>
    </w:r>
    <w:r>
      <w:instrText> PAGE </w:instrText>
    </w:r>
    <w:r>
      <w:fldChar w:fldCharType="end"/>
    </w:r>
  </w:p>
</w:ftr>
</file>

<file path=word/header1.xml><?xml version="1.0" encoding="utf-8"?>
<w:hdr xmlns:w="http://schemas.openxmlformats.org/wordprocessingml/2006/main">
  <w:p>
    <w:pPr>
      <w:pStyle w:val="Meta"/>
    </w:pPr>
    <w:r>
      <w:rPr>
        <w:color w:val="6F7782"/>
        <w:sz w:val="18"/>
      </w:rPr>
      <w:t xml:space="preserve">Ingo Kohler · Analytics und BI · Aufgabenübersicht · Stand 02.09.2026</w:t>
    </w:r>
  </w:p>
</w:hdr>
</file>

<file path=word/numbering.xml><?xml version="1.0" encoding="utf-8"?>
<w:numbering xmlns:w="http://schemas.openxmlformats.org/wordprocessingml/2006/main">
  <w:abstractNum w:abstractNumId="1">
    <w:lvl w:ilvl="0">
      <w:numFmt w:val="bullet"/>
      <w:lvlText w:val="•"/>
      <w:lvlJc w:val="left"/>
      <w:pPr>
        <w:ind w:left="540" w:hanging="260"/>
      </w:pPr>
      <w:rPr>
        <w:rFonts w:ascii="Aptos" w:hAnsi="Aptos"/>
      </w:rPr>
    </w:lvl>
  </w:abstractNum>
  <w:num w:numId="1">
    <w:abstractNumId w:val="1"/>
  </w:num>
</w:numbering>
</file>

<file path=word/styles.xml><?xml version="1.0" encoding="utf-8"?>
<w:styles xmlns:w="http://schemas.openxmlformats.org/wordprocessingml/2006/main">
  <w:docDefaults>
    <w:rPrDefault>
      <w:rPr>
        <w:rFonts w:ascii="Aptos" w:hAnsi="Aptos" w:eastAsia="Aptos"/>
        <w:sz w:val="24"/>
        <w:lang w:val="de-CH"/>
      </w:rPr>
    </w:rPrDefault>
    <w:pPrDefault>
      <w:pPr>
        <w:spacing w:after="140" w:line="288" w:lineRule="auto"/>
      </w:pPr>
    </w:pPrDefault>
  </w:docDefaults>
  <w:style w:type="paragraph" w:styleId="Normal" w:customStyle="true">
    <w:name w:val="Normal"/>
    <w:basedOn w:val="Normal"/>
    <w:next w:val="Normal"/>
    <w:pPr>
      <w:spacing w:before="0" w:after="140" w:line="288" w:lineRule="auto"/>
    </w:pPr>
    <w:rPr>
      <w:rFonts w:ascii="Aptos" w:hAnsi="Aptos" w:eastAsia="Aptos"/>
      <w:color w:val="202020"/>
      <w:sz w:val="24"/>
    </w:rPr>
  </w:style>
  <w:style w:type="paragraph" w:styleId="Title" w:customStyle="true">
    <w:name w:val="Titel"/>
    <w:basedOn w:val="Normal"/>
    <w:next w:val="Normal"/>
    <w:pPr>
      <w:spacing w:before="0" w:after="80" w:line="288" w:lineRule="auto"/>
    </w:pPr>
    <w:rPr>
      <w:rFonts w:ascii="Aptos" w:hAnsi="Aptos" w:eastAsia="Aptos"/>
      <w:b/>
      <w:color w:val="17365D"/>
      <w:sz w:val="40"/>
    </w:rPr>
  </w:style>
  <w:style w:type="paragraph" w:styleId="Subtitle" w:customStyle="true">
    <w:name w:val="Untertitel"/>
    <w:basedOn w:val="Normal"/>
    <w:next w:val="Normal"/>
    <w:pPr>
      <w:spacing w:before="0" w:after="60" w:line="288" w:lineRule="auto"/>
    </w:pPr>
    <w:rPr>
      <w:rFonts w:ascii="Aptos" w:hAnsi="Aptos" w:eastAsia="Aptos"/>
      <w:i/>
      <w:color w:val="5B6573"/>
      <w:sz w:val="25"/>
    </w:rPr>
  </w:style>
  <w:style w:type="paragraph" w:styleId="Intro" w:customStyle="true">
    <w:name w:val="Einleitung"/>
    <w:basedOn w:val="Normal"/>
    <w:next w:val="Normal"/>
    <w:pPr>
      <w:spacing w:before="200" w:after="240" w:line="288" w:lineRule="auto"/>
    </w:pPr>
    <w:rPr>
      <w:rFonts w:ascii="Aptos" w:hAnsi="Aptos" w:eastAsia="Aptos"/>
      <w:color w:val="303030"/>
      <w:sz w:val="24"/>
    </w:rPr>
  </w:style>
  <w:style w:type="paragraph" w:styleId="Heading1" w:customStyle="true">
    <w:name w:val="Überschrift 1"/>
    <w:basedOn w:val="Normal"/>
    <w:next w:val="Normal"/>
    <w:pPr>
      <w:keepNext/>
      <w:spacing w:before="340" w:after="160" w:line="288" w:lineRule="auto"/>
    </w:pPr>
    <w:rPr>
      <w:rFonts w:ascii="Aptos" w:hAnsi="Aptos" w:eastAsia="Aptos"/>
      <w:b/>
      <w:color w:val="17365D"/>
      <w:sz w:val="32"/>
    </w:rPr>
  </w:style>
  <w:style w:type="paragraph" w:styleId="Heading2" w:customStyle="true">
    <w:name w:val="Überschrift 2"/>
    <w:basedOn w:val="Normal"/>
    <w:next w:val="Normal"/>
    <w:pPr>
      <w:keepNext/>
      <w:spacing w:before="280" w:after="100" w:line="288" w:lineRule="auto"/>
    </w:pPr>
    <w:rPr>
      <w:rFonts w:ascii="Aptos" w:hAnsi="Aptos" w:eastAsia="Aptos"/>
      <w:b/>
      <w:color w:val="365F91"/>
      <w:sz w:val="26"/>
    </w:rPr>
  </w:style>
  <w:style w:type="paragraph" w:styleId="Meta" w:customStyle="true">
    <w:name w:val="Metadaten"/>
    <w:basedOn w:val="Normal"/>
    <w:next w:val="Normal"/>
    <w:pPr>
      <w:spacing w:before="0" w:after="0" w:line="288" w:lineRule="auto"/>
    </w:pPr>
    <w:rPr>
      <w:rFonts w:ascii="Aptos" w:hAnsi="Aptos" w:eastAsia="Aptos"/>
      <w:color w:val="303030"/>
      <w:sz w:val="21"/>
    </w:rPr>
  </w:style>
  <w:style w:type="paragraph" w:styleId="BodyText" w:customStyle="true">
    <w:name w:val="Textkörper"/>
    <w:basedOn w:val="Normal"/>
    <w:next w:val="Normal"/>
    <w:pPr>
      <w:spacing w:before="0" w:after="140" w:line="288" w:lineRule="auto"/>
    </w:pPr>
    <w:rPr>
      <w:rFonts w:ascii="Aptos" w:hAnsi="Aptos" w:eastAsia="Aptos"/>
      <w:color w:val="202020"/>
      <w:sz w:val="24"/>
    </w:rPr>
  </w:style>
</w:styles>
</file>

<file path=word/_rels/document.xml.rels>&#65279;<?xml version="1.0" encoding="utf-8"?><Relationships xmlns="http://schemas.openxmlformats.org/package/2006/relationships"><Relationship Type="http://schemas.openxmlformats.org/officeDocument/2006/relationships/styles" Target="/word/styles.xml" Id="Rddef7cccef7d495d" /><Relationship Type="http://schemas.openxmlformats.org/officeDocument/2006/relationships/numbering" Target="/word/numbering.xml" Id="Rc1adabaa3a254f7b" /><Relationship Type="http://schemas.openxmlformats.org/officeDocument/2006/relationships/header" Target="/word/header1.xml" Id="R9f54cefe4a124054" /><Relationship Type="http://schemas.openxmlformats.org/officeDocument/2006/relationships/footer" Target="/word/footer1.xml" Id="R2d01035becbe471e" /></Relationships>
</file>