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3b0fcc3a684f16" /></Relationships>
</file>

<file path=word/document.xml><?xml version="1.0" encoding="utf-8"?>
<w:document xmlns:w="http://schemas.openxmlformats.org/wordprocessingml/2006/main">
  <w:body>
    <w:tbl>
      <w:tblPr>
        <w:tblW w:w="121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tcW w:w="12100" w:type="dxa"/>
            <w:shd w:val="clear" w:fill="1B4965"/>
            <w:tcMar>
              <w:top w:w="280" w:type="dxa"/>
              <w:left w:w="360" w:type="dxa"/>
              <w:bottom w:w="280" w:type="dxa"/>
              <w:right w:w="360" w:type="dxa"/>
            </w:tcMar>
          </w:tcPr>
          <w:p>
            <w:pPr>
              <w:pStyle w:val="Band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8"/>
                <w:szCs w:val="18"/>
              </w:rPr>
              <w:t xml:space="preserve">TRAFAG  ·  FINANCE DATA QUALITY</w:t>
            </w:r>
          </w:p>
        </w:tc>
      </w:tr>
    </w:tbl>
    <w:p>
      <w:pPr>
        <w:pStyle w:val="Meta"/>
        <w:spacing w:after="80" w:line="260" w:lineRule="auto"/>
      </w:pPr>
      <w:r>
        <w:rPr>
          <w:rFonts w:ascii="Aptos" w:hAnsi="Aptos" w:eastAsia="Aptos"/>
          <w:b/>
          <w:color w:val="3FA7A3"/>
          <w:sz w:val="18"/>
          <w:szCs w:val="18"/>
        </w:rPr>
        <w:t xml:space="preserve">SUPPLIER REVIEW</w:t>
      </w:r>
    </w:p>
    <w:p>
      <w:pPr>
        <w:pStyle w:val="Subtitle"/>
        <w:spacing w:after="40" w:line="260" w:lineRule="auto"/>
      </w:pPr>
      <w:r>
        <w:rPr>
          <w:rFonts w:ascii="Aptos" w:hAnsi="Aptos" w:eastAsia="Aptos"/>
          <w:b/>
          <w:color w:val="1B4965"/>
          <w:sz w:val="30"/>
          <w:szCs w:val="30"/>
        </w:rPr>
        <w:t xml:space="preserve">Supplier-Status nach Ländern</w:t>
      </w:r>
    </w:p>
    <w:p>
      <w:pPr>
        <w:pStyle w:val="Subtitle"/>
        <w:spacing w:after="180" w:line="260" w:lineRule="auto"/>
      </w:pPr>
      <w:r>
        <w:rPr>
          <w:rFonts w:ascii="Aptos" w:hAnsi="Aptos" w:eastAsia="Aptos"/>
          <w:color w:val="52717F"/>
          <w:sz w:val="22"/>
          <w:szCs w:val="22"/>
        </w:rPr>
        <w:t xml:space="preserve">CH/AT-Vorprüfung und Restentscheidung für Finance</w:t>
      </w:r>
    </w:p>
    <w:p>
      <w:pPr>
        <w:pStyle w:val="Meta"/>
        <w:spacing w:after="260" w:line="260" w:lineRule="auto"/>
      </w:pPr>
      <w:r>
        <w:rPr>
          <w:rFonts w:ascii="Aptos" w:hAnsi="Aptos" w:eastAsia="Aptos"/>
          <w:color w:val="607D8B"/>
          <w:sz w:val="18"/>
          <w:szCs w:val="18"/>
        </w:rPr>
        <w:t xml:space="preserve">Stand 11. August 2026  ·  Finance Data Quality  ·  Read-only Analyse</w:t>
      </w:r>
    </w:p>
    <w:tbl>
      <w:tblPr>
        <w:tblW w:w="12100" w:type="dxa"/>
        <w:tblCellSpacing w:w="1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00"/>
        <w:gridCol w:w="3900"/>
        <w:gridCol w:w="3900"/>
      </w:tblGrid>
      <w:tr>
        <w:tc>
          <w:tcPr>
            <w:tcW w:w="3900" w:type="dxa"/>
            <w:shd w:val="clear" w:fill="EAF4F4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pStyle w:val="Metric"/>
              <w:spacing w:after="20" w:line="260" w:lineRule="auto"/>
              <w:jc w:val="center"/>
            </w:pPr>
            <w:r>
              <w:rPr>
                <w:rFonts w:ascii="Aptos" w:hAnsi="Aptos" w:eastAsia="Aptos"/>
                <w:b/>
                <w:color w:val="1B4965"/>
                <w:sz w:val="34"/>
                <w:szCs w:val="34"/>
              </w:rPr>
              <w:t xml:space="preserve">96.233</w:t>
            </w:r>
          </w:p>
          <w:p>
            <w:pPr>
              <w:pStyle w:val="MetricLabel"/>
              <w:spacing w:after="0" w:line="260" w:lineRule="auto"/>
              <w:jc w:val="center"/>
            </w:pPr>
            <w:r>
              <w:rPr>
                <w:rFonts w:ascii="Aptos" w:hAnsi="Aptos" w:eastAsia="Aptos"/>
                <w:color w:val="455A64"/>
                <w:sz w:val="17"/>
                <w:szCs w:val="17"/>
              </w:rPr>
              <w:t xml:space="preserve">Sales-Zeilen</w:t>
            </w:r>
          </w:p>
        </w:tc>
        <w:tc>
          <w:tcPr>
            <w:tcW w:w="3900" w:type="dxa"/>
            <w:shd w:val="clear" w:fill="FFF4CC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pStyle w:val="Metric"/>
              <w:spacing w:after="20" w:line="260" w:lineRule="auto"/>
              <w:jc w:val="center"/>
            </w:pPr>
            <w:r>
              <w:rPr>
                <w:rFonts w:ascii="Aptos" w:hAnsi="Aptos" w:eastAsia="Aptos"/>
                <w:b/>
                <w:color w:val="1B4965"/>
                <w:sz w:val="34"/>
                <w:szCs w:val="34"/>
              </w:rPr>
              <w:t xml:space="preserve">19,0 %</w:t>
            </w:r>
          </w:p>
          <w:p>
            <w:pPr>
              <w:pStyle w:val="MetricLabel"/>
              <w:spacing w:after="0" w:line="260" w:lineRule="auto"/>
              <w:jc w:val="center"/>
            </w:pPr>
            <w:r>
              <w:rPr>
                <w:rFonts w:ascii="Aptos" w:hAnsi="Aptos" w:eastAsia="Aptos"/>
                <w:color w:val="455A64"/>
                <w:sz w:val="17"/>
                <w:szCs w:val="17"/>
              </w:rPr>
              <w:t xml:space="preserve">Supplier vollständig</w:t>
            </w:r>
          </w:p>
        </w:tc>
        <w:tc>
          <w:tcPr>
            <w:tcW w:w="3900" w:type="dxa"/>
            <w:shd w:val="clear" w:fill="E3F3E7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pStyle w:val="Metric"/>
              <w:spacing w:after="20" w:line="260" w:lineRule="auto"/>
              <w:jc w:val="center"/>
            </w:pPr>
            <w:r>
              <w:rPr>
                <w:rFonts w:ascii="Aptos" w:hAnsi="Aptos" w:eastAsia="Aptos"/>
                <w:b/>
                <w:color w:val="1B4965"/>
                <w:sz w:val="34"/>
                <w:szCs w:val="34"/>
              </w:rPr>
              <w:t xml:space="preserve">96,8 %</w:t>
            </w:r>
          </w:p>
          <w:p>
            <w:pPr>
              <w:pStyle w:val="MetricLabel"/>
              <w:spacing w:after="0" w:line="260" w:lineRule="auto"/>
              <w:jc w:val="center"/>
            </w:pPr>
            <w:r>
              <w:rPr>
                <w:rFonts w:ascii="Aptos" w:hAnsi="Aptos" w:eastAsia="Aptos"/>
                <w:color w:val="455A64"/>
                <w:sz w:val="17"/>
                <w:szCs w:val="17"/>
              </w:rPr>
              <w:t xml:space="preserve">CH/AT mit Kosten</w:t>
            </w:r>
          </w:p>
        </w:tc>
      </w:tr>
    </w:tbl>
    <w:p>
      <w:pPr>
        <w:pStyle w:val="Heading1"/>
        <w:spacing w:after="8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Entscheidungsvorlage</w:t>
      </w:r>
    </w:p>
    <w:tbl>
      <w:tblPr>
        <w:tblW w:w="12100" w:type="dxa"/>
        <w:tblBorders>
          <w:top w:val="nil"/>
          <w:left w:val="single" w:color="1B4965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EAF4F4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1B4965"/>
                <w:sz w:val="18"/>
                <w:szCs w:val="18"/>
              </w:rPr>
              <w:t xml:space="preserve">CH/AT sind kein Zirkularreferenzproblem. Die bestehende TSC-Regel bestimmt die liefernde Konzerngesellschaft; WAVWR_DC/FKIMG beziehungsweise STPRS_HC bestimmen getrennt davon die Kostenbasis. Zu klären ist nur, ob nachweislich zugekaufte Materialien eine fachliche Ausnahme von der Herstellerregel bilden.</w:t>
            </w:r>
          </w:p>
        </w:tc>
      </w:tr>
    </w:tbl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Kurzfazit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18.241 von 96.233 Zeilen (19,0 %) besitzen alle drei Supplier-Felder; 77.992 Zeilen sind leer. Die Gesamtquote darf wegen unterschiedlicher Länderquellen nicht isoliert bewertet werden.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UK ist vollständig. Italien erreicht 71,2 %. Indien erreicht physisch 11,6 %, ist durch Sales Type aber zu 6.686 von 7.116 Zeilen (94,0 %) funktional klassifizierbar.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CH/AT liefern strukturell keinen Vorlieferanten aus der Verkaufsfaktura. 47.350 von 48.932 Zeilen (96,8 %) besitzen dennoch eine belastbare lokale Kostenbasis.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Die SAP-Vorprüfung liefert 1.191 Materialien mit Einkaufshinweis und 734 intern gestützte Materialien. Für 6.632 Materialien enthält der derzeit kleine Stücklisten-Cache keinen Direktnachweis; das ist kein Gegenbeweis zur Eigenfertigung.</w:t>
      </w:r>
    </w:p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1  Länderübersicht</w:t>
      </w:r>
    </w:p>
    <w:p>
      <w:pPr>
        <w:pStyle w:val="BodyText"/>
        <w:spacing w:after="100" w:line="260" w:lineRule="auto"/>
      </w:pPr>
      <w:r>
        <w:rPr>
          <w:rFonts w:ascii="Aptos" w:hAnsi="Aptos" w:eastAsia="Aptos"/>
          <w:color w:val="455A64"/>
          <w:sz w:val="19"/>
          <w:szCs w:val="19"/>
        </w:rPr>
        <w:t xml:space="preserve">Gemessen im aktuellen Export neu.xlsx, Blatt Sales. Die Quote bezeichnet vollständig gefüllte Supplier-Felder; Ersatzmerkmale sind in der Bewertung separat ausgewiesen.</w:t>
      </w:r>
    </w:p>
    <w:tbl>
      <w:tblPr>
        <w:tblW w:w="1215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1600"/>
        <w:gridCol w:w="800"/>
        <w:gridCol w:w="1000"/>
        <w:gridCol w:w="1000"/>
        <w:gridCol w:w="850"/>
        <w:gridCol w:w="3050"/>
        <w:gridCol w:w="3850"/>
      </w:tblGrid>
      <w:tr>
        <w:trPr>
          <w:cantSplit/>
          <w:tblHeader/>
        </w:trPr>
        <w:tc>
          <w:tcPr>
            <w:tcW w:w="16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Land</w:t>
            </w:r>
          </w:p>
        </w:tc>
        <w:tc>
          <w:tcPr>
            <w:tcW w:w="8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TSC</w:t>
            </w:r>
          </w:p>
        </w:tc>
        <w:tc>
          <w:tcPr>
            <w:tcW w:w="1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Zeilen</w:t>
            </w:r>
          </w:p>
        </w:tc>
        <w:tc>
          <w:tcPr>
            <w:tcW w:w="1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Supplier</w:t>
            </w:r>
          </w:p>
        </w:tc>
        <w:tc>
          <w:tcPr>
            <w:tcW w:w="85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Quote</w:t>
            </w:r>
          </w:p>
        </w:tc>
        <w:tc>
          <w:tcPr>
            <w:tcW w:w="305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Bewertung</w:t>
            </w:r>
          </w:p>
        </w:tc>
        <w:tc>
          <w:tcPr>
            <w:tcW w:w="385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Nächster Schritt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Schweiz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TRCH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47.142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0,0 %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Verkaufsquelle ohne Supplier; Herstellerregel aktiv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Nur SAP-markierte Ausnahmen mit Andreas entscheiden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Österreich</w:t>
            </w:r>
          </w:p>
        </w:tc>
        <w:tc>
          <w:tcPr>
            <w:tcW w:w="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TRAT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1.790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0,0 %</w:t>
            </w:r>
          </w:p>
        </w:tc>
        <w:tc>
          <w:tcPr>
            <w:tcW w:w="30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Gleiche CH/AT-Quelllogik</w:t>
            </w:r>
          </w:p>
        </w:tc>
        <w:tc>
          <w:tcPr>
            <w:tcW w:w="38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Gemeinsam mit CH entscheiden; keine Massenpflege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Deutschland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TRDE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7.332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0,0 %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Quelle/Mapping fehlt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Quellfeld festlegen, neu laden, Quote nachmessen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Spanien</w:t>
            </w:r>
          </w:p>
        </w:tc>
        <w:tc>
          <w:tcPr>
            <w:tcW w:w="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TRES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5.697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0,0 %</w:t>
            </w:r>
          </w:p>
        </w:tc>
        <w:tc>
          <w:tcPr>
            <w:tcW w:w="30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Quelle/Mapping fehlt</w:t>
            </w:r>
          </w:p>
        </w:tc>
        <w:tc>
          <w:tcPr>
            <w:tcW w:w="38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Antwort und Quellfeld bestätigen, Mapping ergänzen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Frankreich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TRFR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2.598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135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5,2 %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Nur punktuell gefüllt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2.463 Leerzeilen nach Ursache segmentieren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Indien</w:t>
            </w:r>
          </w:p>
        </w:tc>
        <w:tc>
          <w:tcPr>
            <w:tcW w:w="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TRIN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7.116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828</w:t>
            </w:r>
          </w:p>
        </w:tc>
        <w:tc>
          <w:tcPr>
            <w:tcW w:w="850" w:type="dxa"/>
            <w:shd w:val="clear" w:fill="FFF1C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11,6 %</w:t>
            </w:r>
          </w:p>
        </w:tc>
        <w:tc>
          <w:tcPr>
            <w:tcW w:w="30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94,0 % über Sales Type klassifizierbar</w:t>
            </w:r>
          </w:p>
        </w:tc>
        <w:tc>
          <w:tcPr>
            <w:tcW w:w="38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Nur 430 Zeilen ohne Sales Type gezielt klären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Italien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TRIT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19.955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14.208</w:t>
            </w:r>
          </w:p>
        </w:tc>
        <w:tc>
          <w:tcPr>
            <w:tcW w:w="850" w:type="dxa"/>
            <w:shd w:val="clear" w:fill="FFF1C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71,2 %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Weitgehend nachgezogen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5.747 Restzeilen segmentieren und schließen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Vereinigtes Königreich</w:t>
            </w:r>
          </w:p>
        </w:tc>
        <w:tc>
          <w:tcPr>
            <w:tcW w:w="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TRUK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3.064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3.064</w:t>
            </w:r>
          </w:p>
        </w:tc>
        <w:tc>
          <w:tcPr>
            <w:tcW w:w="850" w:type="dxa"/>
            <w:shd w:val="clear" w:fill="DFF1E3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100,0 %</w:t>
            </w:r>
          </w:p>
        </w:tc>
        <w:tc>
          <w:tcPr>
            <w:tcW w:w="30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Vollständig</w:t>
            </w:r>
          </w:p>
        </w:tc>
        <w:tc>
          <w:tcPr>
            <w:tcW w:w="38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Regression bei künftigen Exporten überwachen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USA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TRUS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1.539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6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0,4 %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Nahezu vollständig leer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Quellfeld/Mapping und Ersatzklassifikation prüfen</w:t>
            </w:r>
          </w:p>
        </w:tc>
      </w:tr>
    </w:tbl>
    <w:p>
      <w:pPr>
        <w:pStyle w:val="Caption"/>
        <w:spacing w:after="100" w:line="260" w:lineRule="auto"/>
      </w:pPr>
      <w:r>
        <w:rPr>
          <w:rFonts w:ascii="Aptos" w:hAnsi="Aptos" w:eastAsia="Aptos"/>
          <w:i/>
          <w:color w:val="607D8B"/>
          <w:sz w:val="19"/>
          <w:szCs w:val="19"/>
        </w:rPr>
        <w:t xml:space="preserve">Hinweis: Umsatzwerte werden nicht über Länder addiert, da die Exporte lokale Währungen enthalten.</w:t>
      </w:r>
    </w:p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Einordnung je Ländergruppe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1800"/>
        <w:gridCol w:w="1600"/>
        <w:gridCol w:w="7900"/>
      </w:tblGrid>
      <w:tr>
        <w:trPr>
          <w:cantSplit/>
          <w:tblHeader/>
        </w:trPr>
        <w:tc>
          <w:tcPr>
            <w:tcW w:w="18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Gruppe</w:t>
            </w:r>
          </w:p>
        </w:tc>
        <w:tc>
          <w:tcPr>
            <w:tcW w:w="16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Länder</w:t>
            </w:r>
          </w:p>
        </w:tc>
        <w:tc>
          <w:tcPr>
            <w:tcW w:w="7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Einordnung</w:t>
            </w:r>
          </w:p>
        </w:tc>
      </w:tr>
      <w:tr>
        <w:trPr>
          <w:cantSplit/>
        </w:trPr>
        <w:tc>
          <w:tcPr>
            <w:tcW w:w="1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Abgeschlossen</w:t>
            </w:r>
          </w:p>
        </w:tc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UK</w:t>
            </w:r>
          </w:p>
        </w:tc>
        <w:tc>
          <w:tcPr>
            <w:tcW w:w="7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Supplier-Felder vollständig; nur überwachen.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Gezielt nacharbeiten</w:t>
            </w:r>
          </w:p>
        </w:tc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IT, IN</w:t>
            </w:r>
          </w:p>
        </w:tc>
        <w:tc>
          <w:tcPr>
            <w:tcW w:w="7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Keine pauschale Massenpflege: Restursachen beziehungsweise Ersatzmerkmale nutzen.</w:t>
            </w:r>
          </w:p>
        </w:tc>
      </w:tr>
      <w:tr>
        <w:trPr>
          <w:cantSplit/>
        </w:trPr>
        <w:tc>
          <w:tcPr>
            <w:tcW w:w="1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Quelle/Mapping klären</w:t>
            </w:r>
          </w:p>
        </w:tc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DE, ES, FR, US</w:t>
            </w:r>
          </w:p>
        </w:tc>
        <w:tc>
          <w:tcPr>
            <w:tcW w:w="7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Quellfeld oder verlässliches Ersatzmerkmal je Gesellschaft bestimmen.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Fachregel bestätigen</w:t>
            </w:r>
          </w:p>
        </w:tc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CH, AT</w:t>
            </w:r>
          </w:p>
        </w:tc>
        <w:tc>
          <w:tcPr>
            <w:tcW w:w="7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Herstellerregel ist technisch umgesetzt; nur Fremdbezugs-Ausnahmen entscheiden.</w:t>
            </w:r>
          </w:p>
        </w:tc>
      </w:tr>
    </w:tbl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2  CH/AT – selbst geprüfte Nachweise</w:t>
      </w:r>
    </w:p>
    <w:p>
      <w:pPr>
        <w:pStyle w:val="BodyText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Die folgenden Werte stammen aus dem aktuellen Export und der produktiven SQLite-Datenbank. Die Zugriffe erfolgten ausschließlich read-only.</w:t>
      </w:r>
    </w:p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Grundmenge und Kostenbasis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4100"/>
        <w:gridCol w:w="2300"/>
        <w:gridCol w:w="4900"/>
      </w:tblGrid>
      <w:tr>
        <w:trPr>
          <w:cantSplit/>
          <w:tblHeader/>
        </w:trPr>
        <w:tc>
          <w:tcPr>
            <w:tcW w:w="41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Kennzahl</w:t>
            </w:r>
          </w:p>
        </w:tc>
        <w:tc>
          <w:tcPr>
            <w:tcW w:w="23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Ergebnis</w:t>
            </w:r>
          </w:p>
        </w:tc>
        <w:tc>
          <w:tcPr>
            <w:tcW w:w="4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Bewertung</w:t>
            </w:r>
          </w:p>
        </w:tc>
      </w:tr>
      <w:tr>
        <w:trPr>
          <w:cantSplit/>
        </w:trPr>
        <w:tc>
          <w:tcPr>
            <w:tcW w:w="4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CH/AT-Sales-Zeilen</w:t>
            </w:r>
          </w:p>
        </w:tc>
        <w:tc>
          <w:tcPr>
            <w:tcW w:w="2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48.932</w:t>
            </w:r>
          </w:p>
        </w:tc>
        <w:tc>
          <w:tcPr>
            <w:tcW w:w="4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vollständige Materialnummern</w:t>
            </w:r>
          </w:p>
        </w:tc>
      </w:tr>
      <w:tr>
        <w:trPr>
          <w:cantSplit/>
        </w:trPr>
        <w:tc>
          <w:tcPr>
            <w:tcW w:w="4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Materialien distinct</w:t>
            </w:r>
          </w:p>
        </w:tc>
        <w:tc>
          <w:tcPr>
            <w:tcW w:w="2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8.557</w:t>
            </w:r>
          </w:p>
        </w:tc>
        <w:tc>
          <w:tcPr>
            <w:tcW w:w="4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Basis der Beschaffungsprüfung</w:t>
            </w:r>
          </w:p>
        </w:tc>
      </w:tr>
      <w:tr>
        <w:trPr>
          <w:cantSplit/>
        </w:trPr>
        <w:tc>
          <w:tcPr>
            <w:tcW w:w="4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Standardkosten &gt; 0</w:t>
            </w:r>
          </w:p>
        </w:tc>
        <w:tc>
          <w:tcPr>
            <w:tcW w:w="2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47.350 (96,8 %)</w:t>
            </w:r>
          </w:p>
        </w:tc>
        <w:tc>
          <w:tcPr>
            <w:tcW w:w="4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sehr hohe Abdeckung</w:t>
            </w:r>
          </w:p>
        </w:tc>
      </w:tr>
      <w:tr>
        <w:trPr>
          <w:cantSplit/>
        </w:trPr>
        <w:tc>
          <w:tcPr>
            <w:tcW w:w="4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Produktsparte zugeordnet</w:t>
            </w:r>
          </w:p>
        </w:tc>
        <w:tc>
          <w:tcPr>
            <w:tcW w:w="2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48.752 (99,6 %)</w:t>
            </w:r>
          </w:p>
        </w:tc>
        <w:tc>
          <w:tcPr>
            <w:tcW w:w="4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gute Segmentierbarkeit, aber kein Beschaffungsbeweis</w:t>
            </w:r>
          </w:p>
        </w:tc>
      </w:tr>
      <w:tr>
        <w:trPr>
          <w:cantSplit/>
        </w:trPr>
        <w:tc>
          <w:tcPr>
            <w:tcW w:w="4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TRCH-Fremdwährungszeilen</w:t>
            </w:r>
          </w:p>
        </w:tc>
        <w:tc>
          <w:tcPr>
            <w:tcW w:w="2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18.723</w:t>
            </w:r>
          </w:p>
        </w:tc>
        <w:tc>
          <w:tcPr>
            <w:tcW w:w="4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Belegwährung ungleich CHF</w:t>
            </w:r>
          </w:p>
        </w:tc>
      </w:tr>
      <w:tr>
        <w:trPr>
          <w:cantSplit/>
        </w:trPr>
        <w:tc>
          <w:tcPr>
            <w:tcW w:w="4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WAVWR-Pfad</w:t>
            </w:r>
          </w:p>
        </w:tc>
        <w:tc>
          <w:tcPr>
            <w:tcW w:w="2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18.068</w:t>
            </w:r>
          </w:p>
        </w:tc>
        <w:tc>
          <w:tcPr>
            <w:tcW w:w="4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Kostenwährung entspricht Belegwährung</w:t>
            </w:r>
          </w:p>
        </w:tc>
      </w:tr>
      <w:tr>
        <w:trPr>
          <w:cantSplit/>
        </w:trPr>
        <w:tc>
          <w:tcPr>
            <w:tcW w:w="4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CHF-Fallback-Kandidaten</w:t>
            </w:r>
          </w:p>
        </w:tc>
        <w:tc>
          <w:tcPr>
            <w:tcW w:w="2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655</w:t>
            </w:r>
          </w:p>
        </w:tc>
        <w:tc>
          <w:tcPr>
            <w:tcW w:w="4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Kostenwährung entspricht Hauswährung</w:t>
            </w:r>
          </w:p>
        </w:tc>
      </w:tr>
      <w:tr>
        <w:trPr>
          <w:cantSplit/>
        </w:trPr>
        <w:tc>
          <w:tcPr>
            <w:tcW w:w="4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positiver CHF-Fallback</w:t>
            </w:r>
          </w:p>
        </w:tc>
        <w:tc>
          <w:tcPr>
            <w:tcW w:w="2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104</w:t>
            </w:r>
          </w:p>
        </w:tc>
        <w:tc>
          <w:tcPr>
            <w:tcW w:w="4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STPRS_HC liefert einen positiven Wert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Kostenstichprobe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1400"/>
        <w:gridCol w:w="1900"/>
        <w:gridCol w:w="1500"/>
        <w:gridCol w:w="1700"/>
        <w:gridCol w:w="1700"/>
        <w:gridCol w:w="3100"/>
      </w:tblGrid>
      <w:tr>
        <w:trPr>
          <w:cantSplit/>
          <w:tblHeader/>
        </w:trPr>
        <w:tc>
          <w:tcPr>
            <w:tcW w:w="14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w="1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Beleg</w:t>
            </w:r>
          </w:p>
        </w:tc>
        <w:tc>
          <w:tcPr>
            <w:tcW w:w="15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Stückkosten</w:t>
            </w:r>
          </w:p>
        </w:tc>
        <w:tc>
          <w:tcPr>
            <w:tcW w:w="17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Kostenwährung</w:t>
            </w:r>
          </w:p>
        </w:tc>
        <w:tc>
          <w:tcPr>
            <w:tcW w:w="17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Belegwährung</w:t>
            </w:r>
          </w:p>
        </w:tc>
        <w:tc>
          <w:tcPr>
            <w:tcW w:w="31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Pfad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61645</w:t>
            </w:r>
          </w:p>
        </w:tc>
        <w:tc>
          <w:tcPr>
            <w:tcW w:w="1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90369725/10</w:t>
            </w:r>
          </w:p>
        </w:tc>
        <w:tc>
          <w:tcPr>
            <w:tcW w:w="15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218,4032</w:t>
            </w:r>
          </w:p>
        </w:tc>
        <w:tc>
          <w:tcPr>
            <w:tcW w:w="17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17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WAVWR_DC / FKIMG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64941</w:t>
            </w:r>
          </w:p>
        </w:tc>
        <w:tc>
          <w:tcPr>
            <w:tcW w:w="1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90380614/10</w:t>
            </w:r>
          </w:p>
        </w:tc>
        <w:tc>
          <w:tcPr>
            <w:tcW w:w="15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147,2964</w:t>
            </w:r>
          </w:p>
        </w:tc>
        <w:tc>
          <w:tcPr>
            <w:tcW w:w="17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17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WAVWR_DC / FKIMG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42703</w:t>
            </w:r>
          </w:p>
        </w:tc>
        <w:tc>
          <w:tcPr>
            <w:tcW w:w="1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90362380/10</w:t>
            </w:r>
          </w:p>
        </w:tc>
        <w:tc>
          <w:tcPr>
            <w:tcW w:w="15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243,7517</w:t>
            </w:r>
          </w:p>
        </w:tc>
        <w:tc>
          <w:tcPr>
            <w:tcW w:w="17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USD</w:t>
            </w:r>
          </w:p>
        </w:tc>
        <w:tc>
          <w:tcPr>
            <w:tcW w:w="17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USD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WAVWR_DC / FKIMG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B99999</w:t>
            </w:r>
          </w:p>
        </w:tc>
        <w:tc>
          <w:tcPr>
            <w:tcW w:w="1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90381743/10</w:t>
            </w:r>
          </w:p>
        </w:tc>
        <w:tc>
          <w:tcPr>
            <w:tcW w:w="15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0,23</w:t>
            </w:r>
          </w:p>
        </w:tc>
        <w:tc>
          <w:tcPr>
            <w:tcW w:w="17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CHF</w:t>
            </w:r>
          </w:p>
        </w:tc>
        <w:tc>
          <w:tcPr>
            <w:tcW w:w="17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STPRS_HC-Fallback</w:t>
            </w:r>
          </w:p>
        </w:tc>
      </w:tr>
    </w:tbl>
    <w:tbl>
      <w:tblPr>
        <w:tblW w:w="12100" w:type="dxa"/>
        <w:tblBorders>
          <w:top w:val="nil"/>
          <w:left w:val="single" w:color="7A5A00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FFF8E1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7A5A00"/>
                <w:sz w:val="18"/>
                <w:szCs w:val="18"/>
              </w:rPr>
              <w:t xml:space="preserve">Messgrenze: In CentralSalesRecords wird nur der aufgelöste Stückpreis gespeichert, nicht der ursprüngliche Rohwert WAVWR_DC. Deshalb kann lokal der Währungspfad, aber nicht jede Rohwertzeile erneut rekonstruiert werden. Die Original-SAP-Stichproben sind in FINANCE_VBRP_WAVWR_SPEZ_2026-07-16.md dokumentiert.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Beschaffungsindizien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2500"/>
        <w:gridCol w:w="1300"/>
        <w:gridCol w:w="1300"/>
        <w:gridCol w:w="1200"/>
        <w:gridCol w:w="5000"/>
      </w:tblGrid>
      <w:tr>
        <w:trPr>
          <w:cantSplit/>
          <w:tblHeader/>
        </w:trPr>
        <w:tc>
          <w:tcPr>
            <w:tcW w:w="25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Arbeitsklasse</w:t>
            </w:r>
          </w:p>
        </w:tc>
        <w:tc>
          <w:tcPr>
            <w:tcW w:w="13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Materialien</w:t>
            </w:r>
          </w:p>
        </w:tc>
        <w:tc>
          <w:tcPr>
            <w:tcW w:w="13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Zeilen</w:t>
            </w:r>
          </w:p>
        </w:tc>
        <w:tc>
          <w:tcPr>
            <w:tcW w:w="12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Anteil</w:t>
            </w:r>
          </w:p>
        </w:tc>
        <w:tc>
          <w:tcPr>
            <w:tcW w:w="5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Bedeutung</w:t>
            </w:r>
          </w:p>
        </w:tc>
      </w:tr>
      <w:tr>
        <w:trPr>
          <w:cantSplit/>
        </w:trPr>
        <w:tc>
          <w:tcPr>
            <w:tcW w:w="2500" w:type="dxa"/>
            <w:shd w:val="clear" w:fill="E3F3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Intern gut gestützt</w:t>
            </w:r>
          </w:p>
        </w:tc>
        <w:tc>
          <w:tcPr>
            <w:tcW w:w="1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734</w:t>
            </w:r>
          </w:p>
        </w:tc>
        <w:tc>
          <w:tcPr>
            <w:tcW w:w="1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8.045</w:t>
            </w:r>
          </w:p>
        </w:tc>
        <w:tc>
          <w:tcPr>
            <w:tcW w:w="12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16,4 %</w:t>
            </w:r>
          </w:p>
        </w:tc>
        <w:tc>
          <w:tcPr>
            <w:tcW w:w="5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BOM-/Stücklistenindiz oder anderer Standort nur mit Trafag/GFS</w:t>
            </w:r>
          </w:p>
        </w:tc>
      </w:tr>
      <w:tr>
        <w:trPr>
          <w:cantSplit/>
        </w:trPr>
        <w:tc>
          <w:tcPr>
            <w:tcW w:w="2500" w:type="dxa"/>
            <w:shd w:val="clear" w:fill="FFF1C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Fremdbezugs-Prüfliste</w:t>
            </w:r>
          </w:p>
        </w:tc>
        <w:tc>
          <w:tcPr>
            <w:tcW w:w="1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1.191</w:t>
            </w:r>
          </w:p>
        </w:tc>
        <w:tc>
          <w:tcPr>
            <w:tcW w:w="1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5.910</w:t>
            </w:r>
          </w:p>
        </w:tc>
        <w:tc>
          <w:tcPr>
            <w:tcW w:w="12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12,1 %</w:t>
            </w:r>
          </w:p>
        </w:tc>
        <w:tc>
          <w:tcPr>
            <w:tcW w:w="5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Echter, nicht gelöschter Einkaufsbeleg zum gleichen Material</w:t>
            </w:r>
          </w:p>
        </w:tc>
      </w:tr>
      <w:tr>
        <w:trPr>
          <w:cantSplit/>
        </w:trPr>
        <w:tc>
          <w:tcPr>
            <w:tcW w:w="2500" w:type="dxa"/>
            <w:shd w:val="clear" w:fill="EEF3F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Ohne Direktnachweis</w:t>
            </w:r>
          </w:p>
        </w:tc>
        <w:tc>
          <w:tcPr>
            <w:tcW w:w="1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6.632</w:t>
            </w:r>
          </w:p>
        </w:tc>
        <w:tc>
          <w:tcPr>
            <w:tcW w:w="1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34.977</w:t>
            </w:r>
          </w:p>
        </w:tc>
        <w:tc>
          <w:tcPr>
            <w:tcW w:w="12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71,5 %</w:t>
            </w:r>
          </w:p>
        </w:tc>
        <w:tc>
          <w:tcPr>
            <w:tcW w:w="5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Cache liefert kein positives Indiz; kein Gegenbeweis zur Eigenfertigung</w:t>
            </w:r>
          </w:p>
        </w:tc>
      </w:tr>
    </w:tbl>
    <w:p>
      <w:pPr>
        <w:pStyle w:val="Caption"/>
        <w:spacing w:after="100" w:line="260" w:lineRule="auto"/>
      </w:pPr>
      <w:r>
        <w:rPr>
          <w:rFonts w:ascii="Aptos" w:hAnsi="Aptos" w:eastAsia="Aptos"/>
          <w:i/>
          <w:color w:val="B14A35"/>
          <w:sz w:val="19"/>
          <w:szCs w:val="19"/>
        </w:rPr>
        <w:t xml:space="preserve">Der MaterialUsageCache enthält nur 105 Zeilen. Fehlende BOM-Evidenz darf deshalb ausdrücklich nicht als fehlende Eigenfertigung interpretiert werden.</w:t>
      </w:r>
    </w:p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3  Priorisierte Stichprobe für Andreas</w:t>
      </w:r>
    </w:p>
    <w:p>
      <w:pPr>
        <w:pStyle w:val="BodyText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Diese Auswahl ersetzt eine Vollprüfung. Sie enthält die fachlich aussagekräftigsten Fremdbezugsfälle aus der SAP-Einkaufshistorie und den einzigen externen Kreuzstandort-Hinweis.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1400"/>
        <w:gridCol w:w="3000"/>
        <w:gridCol w:w="900"/>
        <w:gridCol w:w="3100"/>
        <w:gridCol w:w="2900"/>
      </w:tblGrid>
      <w:tr>
        <w:trPr>
          <w:cantSplit/>
          <w:tblHeader/>
        </w:trPr>
        <w:tc>
          <w:tcPr>
            <w:tcW w:w="14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w="3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Bezeichnung</w:t>
            </w:r>
          </w:p>
        </w:tc>
        <w:tc>
          <w:tcPr>
            <w:tcW w:w="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Zeilen</w:t>
            </w:r>
          </w:p>
        </w:tc>
        <w:tc>
          <w:tcPr>
            <w:tcW w:w="31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Einkaufsnachweis</w:t>
            </w:r>
          </w:p>
        </w:tc>
        <w:tc>
          <w:tcPr>
            <w:tcW w:w="2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Prüfgrund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E11221</w:t>
            </w:r>
          </w:p>
        </w:tc>
        <w:tc>
          <w:tcPr>
            <w:tcW w:w="3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ASIC TRAFAG TX2a MLPQ32</w:t>
            </w:r>
          </w:p>
        </w:tc>
        <w:tc>
          <w:tcPr>
            <w:tcW w:w="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71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Presto Engineering France</w:t>
            </w:r>
          </w:p>
        </w:tc>
        <w:tc>
          <w:tcPr>
            <w:tcW w:w="2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 Elektronik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E01389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Schnappschalter Marquardt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30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Omni Ray / Marquardt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zugekauftes Bauteil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C13614</w:t>
            </w:r>
          </w:p>
        </w:tc>
        <w:tc>
          <w:tcPr>
            <w:tcW w:w="3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Diagnostic Valve Block</w:t>
            </w:r>
          </w:p>
        </w:tc>
        <w:tc>
          <w:tcPr>
            <w:tcW w:w="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56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Sole Solution / Hwajin</w:t>
            </w:r>
          </w:p>
        </w:tc>
        <w:tc>
          <w:tcPr>
            <w:tcW w:w="2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möglicher Handels-/Baugruppenfall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E11155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ASIC TRAFAG TR5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18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Aptasic u. a.; BESKZ F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stärkstes Fremdindiz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D34604</w:t>
            </w:r>
          </w:p>
        </w:tc>
        <w:tc>
          <w:tcPr>
            <w:tcW w:w="3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Cover with opening coated</w:t>
            </w:r>
          </w:p>
        </w:tc>
        <w:tc>
          <w:tcPr>
            <w:tcW w:w="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35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Fuchia Electron</w:t>
            </w:r>
          </w:p>
        </w:tc>
        <w:tc>
          <w:tcPr>
            <w:tcW w:w="2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zugekauftes mechanisches Teil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E11228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ASIC TRAFAG TX2D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22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Presto Engineering France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 Elektronik</w:t>
            </w:r>
          </w:p>
        </w:tc>
      </w:tr>
      <w:tr>
        <w:trPr>
          <w:cantSplit/>
        </w:trPr>
        <w:tc>
          <w:tcPr>
            <w:tcW w:w="14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F88103</w:t>
            </w:r>
          </w:p>
        </w:tc>
        <w:tc>
          <w:tcPr>
            <w:tcW w:w="30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8854 Transmitter EX</w:t>
            </w:r>
          </w:p>
        </w:tc>
        <w:tc>
          <w:tcPr>
            <w:tcW w:w="9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65</w:t>
            </w:r>
          </w:p>
        </w:tc>
        <w:tc>
          <w:tcPr>
            <w:tcW w:w="31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STS Sensor Technik Sirnach</w:t>
            </w:r>
          </w:p>
        </w:tc>
        <w:tc>
          <w:tcPr>
            <w:tcW w:w="29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fertiges Produkt; besonders relevant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D85031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Metallbalg NG36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12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Heitz GmbH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zugekauftes Teil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E11220</w:t>
            </w:r>
          </w:p>
        </w:tc>
        <w:tc>
          <w:tcPr>
            <w:tcW w:w="3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ASIC TRAFAG TX1b</w:t>
            </w:r>
          </w:p>
        </w:tc>
        <w:tc>
          <w:tcPr>
            <w:tcW w:w="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13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Presto / Aptasic</w:t>
            </w:r>
          </w:p>
        </w:tc>
        <w:tc>
          <w:tcPr>
            <w:tcW w:w="2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 Elektronik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C15414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Vessel Flange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46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Plattner / CPT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zugekauftes mechanisches Teil</w:t>
            </w:r>
          </w:p>
        </w:tc>
      </w:tr>
      <w:tr>
        <w:trPr>
          <w:cantSplit/>
        </w:trPr>
        <w:tc>
          <w:tcPr>
            <w:tcW w:w="14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R13025</w:t>
            </w:r>
          </w:p>
        </w:tc>
        <w:tc>
          <w:tcPr>
            <w:tcW w:w="30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Gehäuse-Unterteil Industat</w:t>
            </w:r>
          </w:p>
        </w:tc>
        <w:tc>
          <w:tcPr>
            <w:tcW w:w="9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4</w:t>
            </w:r>
          </w:p>
        </w:tc>
        <w:tc>
          <w:tcPr>
            <w:tcW w:w="31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TRIN: Somax Enterprise</w:t>
            </w:r>
          </w:p>
        </w:tc>
        <w:tc>
          <w:tcPr>
            <w:tcW w:w="29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einziger externer Kreuzstandort-Hinweis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Entscheidung, die Andreas noch treffen muss</w:t>
      </w:r>
    </w:p>
    <w:tbl>
      <w:tblPr>
        <w:tblW w:w="12100" w:type="dxa"/>
        <w:tblBorders>
          <w:top w:val="nil"/>
          <w:left w:val="single" w:color="1B4965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EAF4F4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1B4965"/>
                <w:sz w:val="18"/>
                <w:szCs w:val="18"/>
              </w:rPr>
              <w:t xml:space="preserve">Gilt für Verkäufe von TRCH/TRAT die Herstellerregel „Intern / liefernde Gesellschaft TR_AG“ auch dann, wenn zum verkauften Material ein externer Einkaufsbeleg existiert, oder sollen solche Materialien als Ausnahme nach „Extern“ klassifiziert werden?</w:t>
            </w:r>
          </w:p>
        </w:tc>
      </w:tr>
    </w:tbl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1.  Stichprobe fachlich einordnen – besonders F88103 und R13025.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2.  Wenn Einkaufsbelege keine Ausnahme erzeugen: heutige CH/AT-Regel bestätigen; keine Einzelprüfung der 6.632 Cache-Lücken.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3.  Wenn Einkaufsbelege eine Ausnahme erzeugen: zuerst eine Zusatzbedingung wie Materialart oder Verkaufsrolle definieren; nicht blind 1.191 Materialien umklassifizieren.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4.  Optional den Stücklisten-Cache vollständig laden, um weitere positive Eigenfertigungsindizien zu gewinnen.</w:t>
      </w:r>
    </w:p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4  Copy-ready für Issue 7</w:t>
      </w:r>
    </w:p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Nächster Schritt</w:t>
      </w:r>
    </w:p>
    <w:tbl>
      <w:tblPr>
        <w:tblW w:w="12100" w:type="dxa"/>
        <w:tblBorders>
          <w:top w:val="nil"/>
          <w:left w:val="single" w:color="245A34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E3F3E7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245A34"/>
                <w:sz w:val="18"/>
                <w:szCs w:val="18"/>
              </w:rPr>
              <w:t xml:space="preserve">UK ist vollständig; Italien und Indien sind nachgezogen. Für CH/AT die Herstellerregel als Standard beibehalten und mit Andreas nur anhand der priorisierten SAP-Stichprobe entscheiden, ob Materialien mit externem Einkaufsbeleg als Ausnahme gelten. Für DE/ES sowie FR/US anschließend Quellfelder beziehungsweise Mapping prüfen und die Supplier-Quote neu messen.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Kommentar</w:t>
      </w:r>
    </w:p>
    <w:tbl>
      <w:tblPr>
        <w:tblW w:w="12100" w:type="dxa"/>
        <w:tblBorders>
          <w:top w:val="nil"/>
          <w:left w:val="single" w:color="263238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F3F6F8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8"/>
                <w:szCs w:val="18"/>
              </w:rPr>
              <w:t xml:space="preserve">Supplier-Felder sind weiterhin nur in 18.241 von 96.233 Sales-Zeilen vollständig (19,0 %), die Situation ist je Land jedoch unterschiedlich: UK 100,0 %, IT 71,2 %, IN 11,6 % physisch, aber 94,0 % über Sales Type klassifizierbar; CH/AT, DE und ES 0,0 %, FR 5,2 %, US 0,4 %. CH/AT sind kein Zirkularreferenzproblem: Die TSC klassifiziert die liefernde Konzerngesellschaft, während WAVWR_DC/FKIMG beziehungsweise STPRS_HC separat die Kostenbasis liefern. Offenes Risiko sind nur mögliche Fremdbezugs-Ausnahmen. Die SAP-Vorprüfung markiert dafür 1.191 Materialien; Andreas erhält eine priorisierte Stichprobe statt einer Vollprüfung.</w:t>
            </w:r>
          </w:p>
        </w:tc>
      </w:tr>
    </w:tbl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5  Nachweise und Grenzen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neu.xlsx, Blatt Sales, ausgelesen am 11.08.2026.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Produktive trafag_exporter.db, ausschließlich read-only; Messung am 11.08.2026.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Services/GroupMarginSupplierClassifier.cs und Services/GroupMarginCalculator.cs – aktuelle Klassifikations- und Kostenlogik.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docs/FINANCE_VBRP_WAVWR_SPEZ_2026-07-16.md – ursprüngliche SAP-Rohwertstichproben.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docs/FINANCE_TRIN_EIGENFERTIGUNG_2026-08-05.md – Indien-Ersatzklassifikation.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Grenze: MaterialUsageCache enthält nur 105 Zeilen; negative Aussagen zur Eigenfertigung sind daraus nicht zulässig.</w:t>
      </w:r>
    </w:p>
    <w:p>
      <w:pPr>
        <w:pStyle w:val="Meta"/>
        <w:spacing w:after="120" w:line="260" w:lineRule="auto"/>
      </w:pPr>
      <w:r>
        <w:rPr>
          <w:rFonts w:ascii="Aptos" w:hAnsi="Aptos" w:eastAsia="Aptos"/>
          <w:color w:val="607D8B"/>
          <w:sz w:val="19"/>
          <w:szCs w:val="19"/>
        </w:rPr>
        <w:t xml:space="preserve">Erstellt für Finance / Issue 7 · Trafag Sales Exporter</w:t>
      </w:r>
    </w:p>
    <w:sectPr>
      <w:headerReference xmlns:r="http://schemas.openxmlformats.org/officeDocument/2006/relationships" w:type="default" r:id="R52bcc4f590e24ecf"/>
      <w:footerReference xmlns:r="http://schemas.openxmlformats.org/officeDocument/2006/relationships" w:type="default" r:id="R0f885abfb4344aab"/>
      <w:pgSz w:w="16838" w:h="11906" w:orient="landscape"/>
      <w:pgMar w:top="720" w:right="720" w:bottom="720" w:left="720" w:header="320" w:footer="320"/>
      <w:cols w:space="36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Footer"/>
      <w:spacing w:after="0" w:line="260" w:lineRule="auto"/>
    </w:pPr>
    <w:r>
      <w:rPr>
        <w:rFonts w:ascii="Aptos" w:hAnsi="Aptos" w:eastAsia="Aptos"/>
        <w:color w:val="78909C"/>
        <w:sz w:val="14"/>
        <w:szCs w:val="14"/>
      </w:rPr>
      <w:t xml:space="preserve">Finance Data Quality   ·   vertrauliche Arbeitsunterlage                                      </w:t>
    </w:r>
    <w:r>
      <w:rPr>
        <w:color w:val="78909C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spacing w:after="0" w:line="260" w:lineRule="auto"/>
    </w:pPr>
    <w:r>
      <w:rPr>
        <w:rFonts w:ascii="Aptos" w:hAnsi="Aptos" w:eastAsia="Aptos"/>
        <w:color w:val="607D8B"/>
        <w:sz w:val="15"/>
        <w:szCs w:val="15"/>
      </w:rPr>
      <w:t xml:space="preserve">TRAFAG  |  Supplier Review  |  11.08.2026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color w:val="263238"/>
        <w:sz w:val="19"/>
      </w:rPr>
    </w:rPrDefault>
    <w:pPrDefault>
      <w:pPr>
        <w:spacing w:after="100" w:line="260" w:lineRule="auto"/>
      </w:pPr>
    </w:pPrDefault>
  </w:docDefaults>
  <w:style w:type="paragraph" w:styleId="Normal" w:customStyle="false">
    <w:name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Title" w:customStyle="false">
    <w:name w:val="Title"/>
    <w:basedOn w:val="Normal"/>
    <w:pPr>
      <w:spacing w:before="0" w:after="100"/>
    </w:pPr>
    <w:rPr>
      <w:rFonts w:ascii="Aptos Display" w:hAnsi="Aptos Display" w:eastAsia="Aptos"/>
      <w:b/>
      <w:color w:val="1B4965"/>
      <w:sz w:val="40"/>
      <w:szCs w:val="40"/>
    </w:rPr>
  </w:style>
  <w:style w:type="paragraph" w:styleId="Subtitle" w:customStyle="false">
    <w:name w:val="Subtitle"/>
    <w:basedOn w:val="Normal"/>
    <w:pPr>
      <w:spacing w:before="0" w:after="100"/>
    </w:pPr>
    <w:rPr>
      <w:rFonts w:ascii="Aptos Display" w:hAnsi="Aptos Display" w:eastAsia="Aptos"/>
      <w:color w:val="1B4965"/>
      <w:sz w:val="28"/>
      <w:szCs w:val="28"/>
    </w:rPr>
  </w:style>
  <w:style w:type="paragraph" w:styleId="Heading1" w:customStyle="false">
    <w:name w:val="Heading 1"/>
    <w:basedOn w:val="Normal"/>
    <w:pPr>
      <w:keepNext/>
      <w:spacing w:before="320" w:after="100"/>
    </w:pPr>
    <w:rPr>
      <w:rFonts w:ascii="Aptos Display" w:hAnsi="Aptos Display" w:eastAsia="Aptos"/>
      <w:b/>
      <w:color w:val="1B4965"/>
      <w:sz w:val="27"/>
      <w:szCs w:val="27"/>
    </w:rPr>
  </w:style>
  <w:style w:type="paragraph" w:styleId="Heading2" w:customStyle="false">
    <w:name w:val="Heading 2"/>
    <w:basedOn w:val="Normal"/>
    <w:pPr>
      <w:keepNext/>
      <w:spacing w:before="220" w:after="80"/>
    </w:pPr>
    <w:rPr>
      <w:rFonts w:ascii="Aptos Display" w:hAnsi="Aptos Display" w:eastAsia="Aptos"/>
      <w:b/>
      <w:color w:val="2A6F77"/>
      <w:sz w:val="21"/>
      <w:szCs w:val="21"/>
    </w:rPr>
  </w:style>
  <w:style w:type="paragraph" w:styleId="BodyText" w:customStyle="true">
    <w:name w:val="BodyText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List" w:customStyle="true">
    <w:name w:val="List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Callout" w:customStyle="true">
    <w:name w:val="Callout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TableText" w:customStyle="true">
    <w:name w:val="TableText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Caption" w:customStyle="true">
    <w:name w:val="Caption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Meta" w:customStyle="true">
    <w:name w:val="Meta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Band" w:customStyle="true">
    <w:name w:val="Band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Metric" w:customStyle="true">
    <w:name w:val="Metric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MetricLabel" w:customStyle="true">
    <w:name w:val="MetricLabel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Header" w:customStyle="true">
    <w:name w:val="Header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Footer" w:customStyle="true">
    <w:name w:val="Footer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7eea15906ba47ea" /><Relationship Type="http://schemas.openxmlformats.org/officeDocument/2006/relationships/header" Target="/word/header1.xml" Id="R52bcc4f590e24ecf" /><Relationship Type="http://schemas.openxmlformats.org/officeDocument/2006/relationships/footer" Target="/word/footer1.xml" Id="R0f885abfb4344aab" /></Relationships>
</file>