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156380b854a74367" /></Relationships>
</file>

<file path=word/document.xml><?xml version="1.0" encoding="utf-8"?>
<w:document xmlns:w="http://schemas.openxmlformats.org/wordprocessingml/2006/main">
  <w:body>
    <w:p>
      <w:pPr>
        <w:pStyle w:val="Title"/>
      </w:pPr>
      <w:r>
        <w:rPr/>
        <w:t xml:space="preserve">ZC23: Materialanteil und Arbeit CZ</w:t>
      </w:r>
    </w:p>
    <w:p>
      <w:pPr>
        <w:pStyle w:val="Subtitle"/>
      </w:pPr>
      <w:r>
        <w:rPr/>
        <w:t xml:space="preserve">Formeln hinter den neuen Feldern der offenen Kundenaufträge</w:t>
      </w:r>
    </w:p>
    <w:p>
      <w:pPr>
        <w:pStyle w:val="Meta"/>
      </w:pPr>
      <w:r>
        <w:rPr/>
        <w:t xml:space="preserve">Ingo Kohler · SAP · Stand 15.10.2026 · Transport T76K912736 (Import P76 offen)</w:t>
      </w:r>
    </w:p>
    <w:p>
      <w:pPr>
        <w:pStyle w:val="Intro"/>
      </w:pPr>
      <w:r>
        <w:rPr/>
        <w:t xml:space="preserve">ZC23 (Programm ZM_OFFENE_KDAUF) zeigt je Auftragsposition den Standardwert, also die Herstellkosten zum Standardpreis. Neu zeigt ZC23 daneben, welcher Teil davon eingekauftes Material ist und welcher Teil Arbeit an tschechischen Arbeitsplätzen. Die Rechnung folgt der Preisliste Tschechien (Transaktion ZM03, Programm ZLO_CALC_CZ_PREISE) und liest die Standardkalkulation des Materials (wie CK11N/CK13N).</w:t>
      </w:r>
    </w:p>
    <w:p>
      <w:pPr>
        <w:pStyle w:val="Heading1"/>
      </w:pPr>
      <w:r>
        <w:rPr/>
        <w:t xml:space="preserve">1. Die Felder auf einen Blick</w:t>
      </w:r>
    </w:p>
    <w:tbl>
      <w:tblPr>
        <w:tblW w:w="5000" w:type="pct"/>
        <w:tblBorders>
          <w:top w:val="single" w:color="B4C6E7" w:sz="4"/>
          <w:left w:val="single" w:color="B4C6E7" w:sz="4"/>
          <w:bottom w:val="single" w:color="B4C6E7" w:sz="4"/>
          <w:right w:val="single" w:color="B4C6E7" w:sz="4"/>
          <w:insideH w:val="single" w:color="D9E2F3" w:sz="3"/>
          <w:insideV w:val="single" w:color="D9E2F3" w:sz="3"/>
        </w:tblBorders>
      </w:tblPr>
      <w:tblGrid>
        <w:gridCol w:w="1500"/>
        <w:gridCol w:w="1100"/>
        <w:gridCol w:w="2400"/>
      </w:tblGrid>
      <w:tr>
        <w:trPr>
          <w:tblHeader/>
        </w:trPr>
        <w:tc>
          <w:tcPr>
            <w:tcW w:w="1500" w:type="pct"/>
            <w:shd w:val="clear" w:fill="17365D"/>
            <w:tcMar>
              <w:top w:w="70" w:type="dxa"/>
              <w:left w:w="100" w:type="dxa"/>
              <w:bottom w:w="70" w:type="dxa"/>
              <w:right w:w="100" w:type="dxa"/>
            </w:tcMar>
          </w:tcPr>
          <w:p>
            <w:pPr>
              <w:pStyle w:val="Meta"/>
            </w:pPr>
            <w:r>
              <w:rPr>
                <w:b/>
                <w:color w:val="FFFFFF"/>
              </w:rPr>
              <w:t xml:space="preserve">Spalte in ZC23</w:t>
            </w:r>
          </w:p>
        </w:tc>
        <w:tc>
          <w:tcPr>
            <w:tcW w:w="1100" w:type="pct"/>
            <w:shd w:val="clear" w:fill="17365D"/>
            <w:tcMar>
              <w:top w:w="70" w:type="dxa"/>
              <w:left w:w="100" w:type="dxa"/>
              <w:bottom w:w="70" w:type="dxa"/>
              <w:right w:w="100" w:type="dxa"/>
            </w:tcMar>
          </w:tcPr>
          <w:p>
            <w:pPr>
              <w:pStyle w:val="Meta"/>
            </w:pPr>
            <w:r>
              <w:rPr>
                <w:b/>
                <w:color w:val="FFFFFF"/>
              </w:rPr>
              <w:t xml:space="preserve">Technisch</w:t>
            </w:r>
          </w:p>
        </w:tc>
        <w:tc>
          <w:tcPr>
            <w:tcW w:w="2400" w:type="pct"/>
            <w:shd w:val="clear" w:fill="17365D"/>
            <w:tcMar>
              <w:top w:w="70" w:type="dxa"/>
              <w:left w:w="100" w:type="dxa"/>
              <w:bottom w:w="70" w:type="dxa"/>
              <w:right w:w="100" w:type="dxa"/>
            </w:tcMar>
          </w:tcPr>
          <w:p>
            <w:pPr>
              <w:pStyle w:val="Meta"/>
            </w:pPr>
            <w:r>
              <w:rPr>
                <w:b/>
                <w:color w:val="FFFFFF"/>
              </w:rPr>
              <w:t xml:space="preserve">Formel je Auftragsposition</w:t>
            </w:r>
          </w:p>
        </w:tc>
      </w:tr>
      <w:tr>
        <w:tc>
          <w:tcPr>
            <w:tcW w:w="1500" w:type="pct"/>
            <w:shd w:val="clear" w:fill="FFFFFF"/>
            <w:tcMar>
              <w:top w:w="70" w:type="dxa"/>
              <w:left w:w="100" w:type="dxa"/>
              <w:bottom w:w="70" w:type="dxa"/>
              <w:right w:w="100" w:type="dxa"/>
            </w:tcMar>
          </w:tcPr>
          <w:p>
            <w:pPr>
              <w:pStyle w:val="Meta"/>
            </w:pPr>
            <w:r>
              <w:rPr>
                <w:b/>
              </w:rPr>
              <w:t xml:space="preserve">Standardpreis (bisher)</w:t>
            </w:r>
          </w:p>
        </w:tc>
        <w:tc>
          <w:tcPr>
            <w:tcW w:w="1100" w:type="pct"/>
            <w:shd w:val="clear" w:fill="FFFFFF"/>
            <w:tcMar>
              <w:top w:w="70" w:type="dxa"/>
              <w:left w:w="100" w:type="dxa"/>
              <w:bottom w:w="70" w:type="dxa"/>
              <w:right w:w="100" w:type="dxa"/>
            </w:tcMar>
          </w:tcPr>
          <w:p>
            <w:pPr>
              <w:pStyle w:val="Meta"/>
            </w:pPr>
            <w:r>
              <w:rPr/>
              <w:t xml:space="preserve">STANDARDPREIS</w:t>
            </w:r>
          </w:p>
        </w:tc>
        <w:tc>
          <w:tcPr>
            <w:tcW w:w="2400" w:type="pct"/>
            <w:shd w:val="clear" w:fill="FFFFFF"/>
            <w:tcMar>
              <w:top w:w="70" w:type="dxa"/>
              <w:left w:w="100" w:type="dxa"/>
              <w:bottom w:w="70" w:type="dxa"/>
              <w:right w:w="100" w:type="dxa"/>
            </w:tcMar>
          </w:tcPr>
          <w:p>
            <w:pPr>
              <w:pStyle w:val="Meta"/>
            </w:pPr>
            <w:r>
              <w:rPr/>
              <w:t xml:space="preserve">MBEW-STPRS des Materials im Werk</w:t>
            </w:r>
          </w:p>
        </w:tc>
      </w:tr>
      <w:tr>
        <w:tc>
          <w:tcPr>
            <w:tcW w:w="1500" w:type="pct"/>
            <w:shd w:val="clear" w:fill="F4F7FB"/>
            <w:tcMar>
              <w:top w:w="70" w:type="dxa"/>
              <w:left w:w="100" w:type="dxa"/>
              <w:bottom w:w="70" w:type="dxa"/>
              <w:right w:w="100" w:type="dxa"/>
            </w:tcMar>
          </w:tcPr>
          <w:p>
            <w:pPr>
              <w:pStyle w:val="Meta"/>
            </w:pPr>
            <w:r>
              <w:rPr>
                <w:b/>
              </w:rPr>
              <w:t xml:space="preserve">Standardwert (bisher)</w:t>
            </w:r>
          </w:p>
        </w:tc>
        <w:tc>
          <w:tcPr>
            <w:tcW w:w="1100" w:type="pct"/>
            <w:shd w:val="clear" w:fill="F4F7FB"/>
            <w:tcMar>
              <w:top w:w="70" w:type="dxa"/>
              <w:left w:w="100" w:type="dxa"/>
              <w:bottom w:w="70" w:type="dxa"/>
              <w:right w:w="100" w:type="dxa"/>
            </w:tcMar>
          </w:tcPr>
          <w:p>
            <w:pPr>
              <w:pStyle w:val="Meta"/>
            </w:pPr>
            <w:r>
              <w:rPr/>
              <w:t xml:space="preserve">STANDARDWERT</w:t>
            </w:r>
          </w:p>
        </w:tc>
        <w:tc>
          <w:tcPr>
            <w:tcW w:w="2400" w:type="pct"/>
            <w:shd w:val="clear" w:fill="F4F7FB"/>
            <w:tcMar>
              <w:top w:w="70" w:type="dxa"/>
              <w:left w:w="100" w:type="dxa"/>
              <w:bottom w:w="70" w:type="dxa"/>
              <w:right w:w="100" w:type="dxa"/>
            </w:tcMar>
          </w:tcPr>
          <w:p>
            <w:pPr>
              <w:pStyle w:val="Meta"/>
            </w:pPr>
            <w:r>
              <w:rPr/>
              <w:t xml:space="preserve">Standardpreis × bestätigte Menge (BMENG)</w:t>
            </w:r>
          </w:p>
        </w:tc>
      </w:tr>
      <w:tr>
        <w:tc>
          <w:tcPr>
            <w:tcW w:w="1500" w:type="pct"/>
            <w:shd w:val="clear" w:fill="FFFFFF"/>
            <w:tcMar>
              <w:top w:w="70" w:type="dxa"/>
              <w:left w:w="100" w:type="dxa"/>
              <w:bottom w:w="70" w:type="dxa"/>
              <w:right w:w="100" w:type="dxa"/>
            </w:tcMar>
          </w:tcPr>
          <w:p>
            <w:pPr>
              <w:pStyle w:val="Meta"/>
            </w:pPr>
            <w:r>
              <w:rPr>
                <w:b/>
              </w:rPr>
              <w:t xml:space="preserve">Materialanteil je Einheit CHF</w:t>
            </w:r>
          </w:p>
        </w:tc>
        <w:tc>
          <w:tcPr>
            <w:tcW w:w="1100" w:type="pct"/>
            <w:shd w:val="clear" w:fill="FFFFFF"/>
            <w:tcMar>
              <w:top w:w="70" w:type="dxa"/>
              <w:left w:w="100" w:type="dxa"/>
              <w:bottom w:w="70" w:type="dxa"/>
              <w:right w:w="100" w:type="dxa"/>
            </w:tcMar>
          </w:tcPr>
          <w:p>
            <w:pPr>
              <w:pStyle w:val="Meta"/>
            </w:pPr>
            <w:r>
              <w:rPr/>
              <w:t xml:space="preserve">MATPREIS</w:t>
            </w:r>
          </w:p>
        </w:tc>
        <w:tc>
          <w:tcPr>
            <w:tcW w:w="2400" w:type="pct"/>
            <w:shd w:val="clear" w:fill="FFFFFF"/>
            <w:tcMar>
              <w:top w:w="70" w:type="dxa"/>
              <w:left w:w="100" w:type="dxa"/>
              <w:bottom w:w="70" w:type="dxa"/>
              <w:right w:w="100" w:type="dxa"/>
            </w:tcMar>
          </w:tcPr>
          <w:p>
            <w:pPr>
              <w:pStyle w:val="Meta"/>
            </w:pPr>
            <w:r>
              <w:rPr/>
              <w:t xml:space="preserve">M(K) = Material je Basiseinheit der Kalkulation K</w:t>
            </w:r>
          </w:p>
        </w:tc>
      </w:tr>
      <w:tr>
        <w:tc>
          <w:tcPr>
            <w:tcW w:w="1500" w:type="pct"/>
            <w:shd w:val="clear" w:fill="F4F7FB"/>
            <w:tcMar>
              <w:top w:w="70" w:type="dxa"/>
              <w:left w:w="100" w:type="dxa"/>
              <w:bottom w:w="70" w:type="dxa"/>
              <w:right w:w="100" w:type="dxa"/>
            </w:tcMar>
          </w:tcPr>
          <w:p>
            <w:pPr>
              <w:pStyle w:val="Meta"/>
            </w:pPr>
            <w:r>
              <w:rPr>
                <w:b/>
              </w:rPr>
              <w:t xml:space="preserve">Materialanteil CHF</w:t>
            </w:r>
          </w:p>
        </w:tc>
        <w:tc>
          <w:tcPr>
            <w:tcW w:w="1100" w:type="pct"/>
            <w:shd w:val="clear" w:fill="F4F7FB"/>
            <w:tcMar>
              <w:top w:w="70" w:type="dxa"/>
              <w:left w:w="100" w:type="dxa"/>
              <w:bottom w:w="70" w:type="dxa"/>
              <w:right w:w="100" w:type="dxa"/>
            </w:tcMar>
          </w:tcPr>
          <w:p>
            <w:pPr>
              <w:pStyle w:val="Meta"/>
            </w:pPr>
            <w:r>
              <w:rPr/>
              <w:t xml:space="preserve">MATANTEIL</w:t>
            </w:r>
          </w:p>
        </w:tc>
        <w:tc>
          <w:tcPr>
            <w:tcW w:w="2400" w:type="pct"/>
            <w:shd w:val="clear" w:fill="F4F7FB"/>
            <w:tcMar>
              <w:top w:w="70" w:type="dxa"/>
              <w:left w:w="100" w:type="dxa"/>
              <w:bottom w:w="70" w:type="dxa"/>
              <w:right w:w="100" w:type="dxa"/>
            </w:tcMar>
          </w:tcPr>
          <w:p>
            <w:pPr>
              <w:pStyle w:val="Meta"/>
            </w:pPr>
            <w:r>
              <w:rPr/>
              <w:t xml:space="preserve">M(K) × BMENG</w:t>
            </w:r>
          </w:p>
        </w:tc>
      </w:tr>
      <w:tr>
        <w:tc>
          <w:tcPr>
            <w:tcW w:w="1500" w:type="pct"/>
            <w:shd w:val="clear" w:fill="FFFFFF"/>
            <w:tcMar>
              <w:top w:w="70" w:type="dxa"/>
              <w:left w:w="100" w:type="dxa"/>
              <w:bottom w:w="70" w:type="dxa"/>
              <w:right w:w="100" w:type="dxa"/>
            </w:tcMar>
          </w:tcPr>
          <w:p>
            <w:pPr>
              <w:pStyle w:val="Meta"/>
            </w:pPr>
            <w:r>
              <w:rPr>
                <w:b/>
              </w:rPr>
              <w:t xml:space="preserve">Arbeit CZ CHF</w:t>
            </w:r>
          </w:p>
        </w:tc>
        <w:tc>
          <w:tcPr>
            <w:tcW w:w="1100" w:type="pct"/>
            <w:shd w:val="clear" w:fill="FFFFFF"/>
            <w:tcMar>
              <w:top w:w="70" w:type="dxa"/>
              <w:left w:w="100" w:type="dxa"/>
              <w:bottom w:w="70" w:type="dxa"/>
              <w:right w:w="100" w:type="dxa"/>
            </w:tcMar>
          </w:tcPr>
          <w:p>
            <w:pPr>
              <w:pStyle w:val="Meta"/>
            </w:pPr>
            <w:r>
              <w:rPr/>
              <w:t xml:space="preserve">ARBEIT_CZ</w:t>
            </w:r>
          </w:p>
        </w:tc>
        <w:tc>
          <w:tcPr>
            <w:tcW w:w="2400" w:type="pct"/>
            <w:shd w:val="clear" w:fill="FFFFFF"/>
            <w:tcMar>
              <w:top w:w="70" w:type="dxa"/>
              <w:left w:w="100" w:type="dxa"/>
              <w:bottom w:w="70" w:type="dxa"/>
              <w:right w:w="100" w:type="dxa"/>
            </w:tcMar>
          </w:tcPr>
          <w:p>
            <w:pPr>
              <w:pStyle w:val="Meta"/>
            </w:pPr>
            <w:r>
              <w:rPr/>
              <w:t xml:space="preserve">C(K) × BMENG, C(K) = Arbeit an CZ-Arbeitsplätzen je Basiseinheit</w:t>
            </w:r>
          </w:p>
        </w:tc>
      </w:tr>
    </w:tbl>
    <w:p>
      <w:pPr>
        <w:pStyle w:val="BodyText"/>
      </w:pPr>
      <w:r>
        <w:rPr/>
        <w:t xml:space="preserve">Die drei neuen Spalten stehen direkt hinter „Standardwert“. Materialanteil und Arbeit CZ haben eine Summenzeile. Die Währung ist die Hauswährung des gewählten Werks, bei Werk 1100 CHF.</w:t>
      </w:r>
    </w:p>
    <w:p>
      <w:pPr>
        <w:pStyle w:val="Heading1"/>
      </w:pPr>
      <w:r>
        <w:rPr/>
        <w:t xml:space="preserve">2. Welche Kalkulation K verwendet wird</w:t>
      </w:r>
    </w:p>
    <w:p>
      <w:pPr>
        <w:pStyle w:val="BodyText"/>
      </w:pPr>
      <w:r>
        <w:rPr/>
        <w:t xml:space="preserve">Standardkalkulation des Materials im Werk: Kalkulationsart 01, Version 01, nicht gelöscht. Im Selektionsbild, Block „Materialanteil“:</w:t>
      </w:r>
    </w:p>
    <w:tbl>
      <w:tblPr>
        <w:tblW w:w="5000" w:type="pct"/>
        <w:tblBorders>
          <w:top w:val="single" w:color="B4C6E7" w:sz="4"/>
          <w:left w:val="single" w:color="B4C6E7" w:sz="4"/>
          <w:bottom w:val="single" w:color="B4C6E7" w:sz="4"/>
          <w:right w:val="single" w:color="B4C6E7" w:sz="4"/>
          <w:insideH w:val="single" w:color="D9E2F3" w:sz="3"/>
          <w:insideV w:val="single" w:color="D9E2F3" w:sz="3"/>
        </w:tblBorders>
      </w:tblPr>
      <w:tblGrid>
        <w:gridCol w:w="1800"/>
        <w:gridCol w:w="3200"/>
      </w:tblGrid>
      <w:tr>
        <w:trPr>
          <w:tblHeader/>
        </w:trPr>
        <w:tc>
          <w:tcPr>
            <w:tcW w:w="1800" w:type="pct"/>
            <w:shd w:val="clear" w:fill="17365D"/>
            <w:tcMar>
              <w:top w:w="70" w:type="dxa"/>
              <w:left w:w="100" w:type="dxa"/>
              <w:bottom w:w="70" w:type="dxa"/>
              <w:right w:w="100" w:type="dxa"/>
            </w:tcMar>
          </w:tcPr>
          <w:p>
            <w:pPr>
              <w:pStyle w:val="Meta"/>
            </w:pPr>
            <w:r>
              <w:rPr>
                <w:b/>
                <w:color w:val="FFFFFF"/>
              </w:rPr>
              <w:t xml:space="preserve">Auswahl</w:t>
            </w:r>
          </w:p>
        </w:tc>
        <w:tc>
          <w:tcPr>
            <w:tcW w:w="3200" w:type="pct"/>
            <w:shd w:val="clear" w:fill="17365D"/>
            <w:tcMar>
              <w:top w:w="70" w:type="dxa"/>
              <w:left w:w="100" w:type="dxa"/>
              <w:bottom w:w="70" w:type="dxa"/>
              <w:right w:w="100" w:type="dxa"/>
            </w:tcMar>
          </w:tcPr>
          <w:p>
            <w:pPr>
              <w:pStyle w:val="Meta"/>
            </w:pPr>
            <w:r>
              <w:rPr>
                <w:b/>
                <w:color w:val="FFFFFF"/>
              </w:rPr>
              <w:t xml:space="preserve">Welche Kalkulation</w:t>
            </w:r>
          </w:p>
        </w:tc>
      </w:tr>
      <w:tr>
        <w:tc>
          <w:tcPr>
            <w:tcW w:w="1800" w:type="pct"/>
            <w:shd w:val="clear" w:fill="FFFFFF"/>
            <w:tcMar>
              <w:top w:w="70" w:type="dxa"/>
              <w:left w:w="100" w:type="dxa"/>
              <w:bottom w:w="70" w:type="dxa"/>
              <w:right w:w="100" w:type="dxa"/>
            </w:tcMar>
          </w:tcPr>
          <w:p>
            <w:pPr>
              <w:pStyle w:val="Meta"/>
            </w:pPr>
            <w:r>
              <w:rPr>
                <w:b/>
              </w:rPr>
              <w:t xml:space="preserve">Freigegebene Standardkalkulation (Vorgabe)</w:t>
            </w:r>
          </w:p>
        </w:tc>
        <w:tc>
          <w:tcPr>
            <w:tcW w:w="3200" w:type="pct"/>
            <w:shd w:val="clear" w:fill="FFFFFF"/>
            <w:tcMar>
              <w:top w:w="70" w:type="dxa"/>
              <w:left w:w="100" w:type="dxa"/>
              <w:bottom w:w="70" w:type="dxa"/>
              <w:right w:w="100" w:type="dxa"/>
            </w:tcMar>
          </w:tcPr>
          <w:p>
            <w:pPr>
              <w:pStyle w:val="Meta"/>
            </w:pPr>
            <w:r>
              <w:rPr/>
              <w:t xml:space="preserve">jüngste mit Freigabe (KEKO-FREIG = X) und Gültig-ab (KADAT) bis heute. Gehört zum Standardpreis, Standardwert und Materialanteil passen zusammen.</w:t>
            </w:r>
          </w:p>
        </w:tc>
      </w:tr>
      <w:tr>
        <w:tc>
          <w:tcPr>
            <w:tcW w:w="1800" w:type="pct"/>
            <w:shd w:val="clear" w:fill="F4F7FB"/>
            <w:tcMar>
              <w:top w:w="70" w:type="dxa"/>
              <w:left w:w="100" w:type="dxa"/>
              <w:bottom w:w="70" w:type="dxa"/>
              <w:right w:w="100" w:type="dxa"/>
            </w:tcMar>
          </w:tcPr>
          <w:p>
            <w:pPr>
              <w:pStyle w:val="Meta"/>
            </w:pPr>
            <w:r>
              <w:rPr>
                <w:b/>
              </w:rPr>
              <w:t xml:space="preserve">Jüngste Standardkalkulation (wie ZM03)</w:t>
            </w:r>
          </w:p>
        </w:tc>
        <w:tc>
          <w:tcPr>
            <w:tcW w:w="3200" w:type="pct"/>
            <w:shd w:val="clear" w:fill="F4F7FB"/>
            <w:tcMar>
              <w:top w:w="70" w:type="dxa"/>
              <w:left w:w="100" w:type="dxa"/>
              <w:bottom w:w="70" w:type="dxa"/>
              <w:right w:w="100" w:type="dxa"/>
            </w:tcMar>
          </w:tcPr>
          <w:p>
            <w:pPr>
              <w:pStyle w:val="Meta"/>
            </w:pPr>
            <w:r>
              <w:rPr/>
              <w:t xml:space="preserve">jüngste mit Kalkulationsdatum (KADKY) bis heute und ohne Fehlerstatus KF</w:t>
            </w:r>
          </w:p>
        </w:tc>
      </w:tr>
    </w:tbl>
    <w:p>
      <w:pPr>
        <w:pStyle w:val="Heading1"/>
      </w:pPr>
      <w:r>
        <w:rPr/>
        <w:t xml:space="preserve">3. Materialanteil je Einheit M(K)</w:t>
      </w:r>
    </w:p>
    <w:p>
      <w:pPr>
        <w:pStyle w:val="BodyText"/>
      </w:pPr>
      <w:r>
        <w:rPr/>
        <w:t xml:space="preserve">Summe der Positionswerte der Kalkulation (CKIS, Wert WRTFW_KPF für die Kalkulationslosgrösse), geteilt durch die Losgrösse:</w:t>
      </w:r>
    </w:p>
    <w:p>
      <w:pPr>
        <w:pStyle w:val="Code"/>
        <w:pBdr>
          <w:left w:val="single" w:color="B4C6E7" w:sz="12" w:space="8"/>
        </w:pBdr>
        <w:shd w:val="clear" w:fill="F4F7FB"/>
        <w:ind w:left="220"/>
      </w:pPr>
      <w:r>
        <w:t xml:space="preserve">M(K) = ( Σ Material + Σ Fremdleistung* ) / Losgrösse(K)</w:t>
      </w:r>
    </w:p>
    <w:tbl>
      <w:tblPr>
        <w:tblW w:w="5000" w:type="pct"/>
        <w:tblBorders>
          <w:top w:val="single" w:color="B4C6E7" w:sz="4"/>
          <w:left w:val="single" w:color="B4C6E7" w:sz="4"/>
          <w:bottom w:val="single" w:color="B4C6E7" w:sz="4"/>
          <w:right w:val="single" w:color="B4C6E7" w:sz="4"/>
          <w:insideH w:val="single" w:color="D9E2F3" w:sz="3"/>
          <w:insideV w:val="single" w:color="D9E2F3" w:sz="3"/>
        </w:tblBorders>
      </w:tblPr>
      <w:tblGrid>
        <w:gridCol w:w="2500"/>
        <w:gridCol w:w="2500"/>
      </w:tblGrid>
      <w:tr>
        <w:trPr>
          <w:tblHeader/>
        </w:trPr>
        <w:tc>
          <w:tcPr>
            <w:tcW w:w="2500" w:type="pct"/>
            <w:shd w:val="clear" w:fill="17365D"/>
            <w:tcMar>
              <w:top w:w="70" w:type="dxa"/>
              <w:left w:w="100" w:type="dxa"/>
              <w:bottom w:w="70" w:type="dxa"/>
              <w:right w:w="100" w:type="dxa"/>
            </w:tcMar>
          </w:tcPr>
          <w:p>
            <w:pPr>
              <w:pStyle w:val="Meta"/>
            </w:pPr>
            <w:r>
              <w:rPr>
                <w:b/>
                <w:color w:val="FFFFFF"/>
              </w:rPr>
              <w:t xml:space="preserve">Position in der Kalkulation</w:t>
            </w:r>
          </w:p>
        </w:tc>
        <w:tc>
          <w:tcPr>
            <w:tcW w:w="2500" w:type="pct"/>
            <w:shd w:val="clear" w:fill="17365D"/>
            <w:tcMar>
              <w:top w:w="70" w:type="dxa"/>
              <w:left w:w="100" w:type="dxa"/>
              <w:bottom w:w="70" w:type="dxa"/>
              <w:right w:w="100" w:type="dxa"/>
            </w:tcMar>
          </w:tcPr>
          <w:p>
            <w:pPr>
              <w:pStyle w:val="Meta"/>
            </w:pPr>
            <w:r>
              <w:rPr>
                <w:b/>
                <w:color w:val="FFFFFF"/>
              </w:rPr>
              <w:t xml:space="preserve">Zählt als</w:t>
            </w:r>
          </w:p>
        </w:tc>
      </w:tr>
      <w:tr>
        <w:tc>
          <w:tcPr>
            <w:tcW w:w="2500" w:type="pct"/>
            <w:shd w:val="clear" w:fill="FFFFFF"/>
            <w:tcMar>
              <w:top w:w="70" w:type="dxa"/>
              <w:left w:w="100" w:type="dxa"/>
              <w:bottom w:w="70" w:type="dxa"/>
              <w:right w:w="100" w:type="dxa"/>
            </w:tcMar>
          </w:tcPr>
          <w:p>
            <w:pPr>
              <w:pStyle w:val="Meta"/>
            </w:pPr>
            <w:r>
              <w:rPr>
                <w:b/>
              </w:rPr>
              <w:t xml:space="preserve">Material (Typ M/I), Zukaufteil (Beschaffungsart F)</w:t>
            </w:r>
          </w:p>
        </w:tc>
        <w:tc>
          <w:tcPr>
            <w:tcW w:w="2500" w:type="pct"/>
            <w:shd w:val="clear" w:fill="FFFFFF"/>
            <w:tcMar>
              <w:top w:w="70" w:type="dxa"/>
              <w:left w:w="100" w:type="dxa"/>
              <w:bottom w:w="70" w:type="dxa"/>
              <w:right w:w="100" w:type="dxa"/>
            </w:tcMar>
          </w:tcPr>
          <w:p>
            <w:pPr>
              <w:pStyle w:val="Meta"/>
            </w:pPr>
            <w:r>
              <w:rPr/>
              <w:t xml:space="preserve">Material, voller Positionswert</w:t>
            </w:r>
          </w:p>
        </w:tc>
      </w:tr>
      <w:tr>
        <w:tc>
          <w:tcPr>
            <w:tcW w:w="2500" w:type="pct"/>
            <w:shd w:val="clear" w:fill="F4F7FB"/>
            <w:tcMar>
              <w:top w:w="70" w:type="dxa"/>
              <w:left w:w="100" w:type="dxa"/>
              <w:bottom w:w="70" w:type="dxa"/>
              <w:right w:w="100" w:type="dxa"/>
            </w:tcMar>
          </w:tcPr>
          <w:p>
            <w:pPr>
              <w:pStyle w:val="Meta"/>
            </w:pPr>
            <w:r>
              <w:rPr>
                <w:b/>
              </w:rPr>
              <w:t xml:space="preserve">Material ohne eigene Unterkalkulation</w:t>
            </w:r>
          </w:p>
        </w:tc>
        <w:tc>
          <w:tcPr>
            <w:tcW w:w="2500" w:type="pct"/>
            <w:shd w:val="clear" w:fill="F4F7FB"/>
            <w:tcMar>
              <w:top w:w="70" w:type="dxa"/>
              <w:left w:w="100" w:type="dxa"/>
              <w:bottom w:w="70" w:type="dxa"/>
              <w:right w:w="100" w:type="dxa"/>
            </w:tcMar>
          </w:tcPr>
          <w:p>
            <w:pPr>
              <w:pStyle w:val="Meta"/>
            </w:pPr>
            <w:r>
              <w:rPr/>
              <w:t xml:space="preserve">Material, voller Positionswert</w:t>
            </w:r>
          </w:p>
        </w:tc>
      </w:tr>
      <w:tr>
        <w:tc>
          <w:tcPr>
            <w:tcW w:w="2500" w:type="pct"/>
            <w:shd w:val="clear" w:fill="FFFFFF"/>
            <w:tcMar>
              <w:top w:w="70" w:type="dxa"/>
              <w:left w:w="100" w:type="dxa"/>
              <w:bottom w:w="70" w:type="dxa"/>
              <w:right w:w="100" w:type="dxa"/>
            </w:tcMar>
          </w:tcPr>
          <w:p>
            <w:pPr>
              <w:pStyle w:val="Meta"/>
            </w:pPr>
            <w:r>
              <w:rPr>
                <w:b/>
              </w:rPr>
              <w:t xml:space="preserve">Material aus einem anderen Werk</w:t>
            </w:r>
          </w:p>
        </w:tc>
        <w:tc>
          <w:tcPr>
            <w:tcW w:w="2500" w:type="pct"/>
            <w:shd w:val="clear" w:fill="FFFFFF"/>
            <w:tcMar>
              <w:top w:w="70" w:type="dxa"/>
              <w:left w:w="100" w:type="dxa"/>
              <w:bottom w:w="70" w:type="dxa"/>
              <w:right w:w="100" w:type="dxa"/>
            </w:tcMar>
          </w:tcPr>
          <w:p>
            <w:pPr>
              <w:pStyle w:val="Meta"/>
            </w:pPr>
            <w:r>
              <w:rPr/>
              <w:t xml:space="preserve">Material, voller Positionswert</w:t>
            </w:r>
          </w:p>
        </w:tc>
      </w:tr>
      <w:tr>
        <w:tc>
          <w:tcPr>
            <w:tcW w:w="2500" w:type="pct"/>
            <w:shd w:val="clear" w:fill="F4F7FB"/>
            <w:tcMar>
              <w:top w:w="70" w:type="dxa"/>
              <w:left w:w="100" w:type="dxa"/>
              <w:bottom w:w="70" w:type="dxa"/>
              <w:right w:w="100" w:type="dxa"/>
            </w:tcMar>
          </w:tcPr>
          <w:p>
            <w:pPr>
              <w:pStyle w:val="Meta"/>
            </w:pPr>
            <w:r>
              <w:rPr>
                <w:b/>
              </w:rPr>
              <w:t xml:space="preserve">Material aus Eigenfertigung (Halbfabrikat)</w:t>
            </w:r>
          </w:p>
        </w:tc>
        <w:tc>
          <w:tcPr>
            <w:tcW w:w="2500" w:type="pct"/>
            <w:shd w:val="clear" w:fill="F4F7FB"/>
            <w:tcMar>
              <w:top w:w="70" w:type="dxa"/>
              <w:left w:w="100" w:type="dxa"/>
              <w:bottom w:w="70" w:type="dxa"/>
              <w:right w:w="100" w:type="dxa"/>
            </w:tcMar>
          </w:tcPr>
          <w:p>
            <w:pPr>
              <w:pStyle w:val="Meta"/>
            </w:pPr>
            <w:r>
              <w:rPr/>
              <w:t xml:space="preserve">wird aufgelöst: M(Unterkalkulation) × Positionsmenge, über alle Stufen</w:t>
            </w:r>
          </w:p>
        </w:tc>
      </w:tr>
      <w:tr>
        <w:tc>
          <w:tcPr>
            <w:tcW w:w="2500" w:type="pct"/>
            <w:shd w:val="clear" w:fill="FFFFFF"/>
            <w:tcMar>
              <w:top w:w="70" w:type="dxa"/>
              <w:left w:w="100" w:type="dxa"/>
              <w:bottom w:w="70" w:type="dxa"/>
              <w:right w:w="100" w:type="dxa"/>
            </w:tcMar>
          </w:tcPr>
          <w:p>
            <w:pPr>
              <w:pStyle w:val="Meta"/>
            </w:pPr>
            <w:r>
              <w:rPr>
                <w:b/>
              </w:rPr>
              <w:t xml:space="preserve">Fremdleistung (Typ F)</w:t>
            </w:r>
          </w:p>
        </w:tc>
        <w:tc>
          <w:tcPr>
            <w:tcW w:w="2500" w:type="pct"/>
            <w:shd w:val="clear" w:fill="FFFFFF"/>
            <w:tcMar>
              <w:top w:w="70" w:type="dxa"/>
              <w:left w:w="100" w:type="dxa"/>
              <w:bottom w:w="70" w:type="dxa"/>
              <w:right w:w="100" w:type="dxa"/>
            </w:tcMar>
          </w:tcPr>
          <w:p>
            <w:pPr>
              <w:pStyle w:val="Meta"/>
            </w:pPr>
            <w:r>
              <w:rPr/>
              <w:t xml:space="preserve">nur mit Schalter „Fremdleistungen zum Material zählen“</w:t>
            </w:r>
          </w:p>
        </w:tc>
      </w:tr>
      <w:tr>
        <w:tc>
          <w:tcPr>
            <w:tcW w:w="2500" w:type="pct"/>
            <w:shd w:val="clear" w:fill="F4F7FB"/>
            <w:tcMar>
              <w:top w:w="70" w:type="dxa"/>
              <w:left w:w="100" w:type="dxa"/>
              <w:bottom w:w="70" w:type="dxa"/>
              <w:right w:w="100" w:type="dxa"/>
            </w:tcMar>
          </w:tcPr>
          <w:p>
            <w:pPr>
              <w:pStyle w:val="Meta"/>
            </w:pPr>
            <w:r>
              <w:rPr>
                <w:b/>
              </w:rPr>
              <w:t xml:space="preserve">Eigenleistung (Typ E), Zuschläge, übrige</w:t>
            </w:r>
          </w:p>
        </w:tc>
        <w:tc>
          <w:tcPr>
            <w:tcW w:w="2500" w:type="pct"/>
            <w:shd w:val="clear" w:fill="F4F7FB"/>
            <w:tcMar>
              <w:top w:w="70" w:type="dxa"/>
              <w:left w:w="100" w:type="dxa"/>
              <w:bottom w:w="70" w:type="dxa"/>
              <w:right w:w="100" w:type="dxa"/>
            </w:tcMar>
          </w:tcPr>
          <w:p>
            <w:pPr>
              <w:pStyle w:val="Meta"/>
            </w:pPr>
            <w:r>
              <w:rPr/>
              <w:t xml:space="preserve">nie Material</w:t>
            </w:r>
          </w:p>
        </w:tc>
      </w:tr>
    </w:tbl>
    <w:p>
      <w:pPr>
        <w:pStyle w:val="BodyText"/>
      </w:pPr>
      <w:r>
        <w:rPr/>
        <w:t xml:space="preserve">Durch die Auflösung der Halbfabrikate zählt nur eingekauftes Material. Die Arbeit, die in einem selbst gefertigten Halbfabrikat steckt, landet nicht im Materialanteil.</w:t>
      </w:r>
    </w:p>
    <w:p>
      <w:pPr>
        <w:pStyle w:val="Heading1"/>
      </w:pPr>
      <w:r>
        <w:rPr/>
        <w:t xml:space="preserve">4. Arbeit CZ je Einheit C(K)</w:t>
      </w:r>
    </w:p>
    <w:p>
      <w:pPr>
        <w:pStyle w:val="BodyText"/>
      </w:pPr>
      <w:r>
        <w:rPr/>
        <w:t xml:space="preserve">Dieselbe Auflösung über alle Stufen, aber nur Eigenleistung an tschechischen Arbeitsplätzen:</w:t>
      </w:r>
    </w:p>
    <w:p>
      <w:pPr>
        <w:pStyle w:val="Code"/>
        <w:pBdr>
          <w:left w:val="single" w:color="B4C6E7" w:sz="12" w:space="8"/>
        </w:pBdr>
        <w:shd w:val="clear" w:fill="F4F7FB"/>
        <w:ind w:left="220"/>
      </w:pPr>
      <w:r>
        <w:t xml:space="preserve">C(K) = ( Σ Eigenleistung an CZ-Arbeitsplätzen + Σ C(Unterkalkulation) × Positionsmenge ) / Losgrösse(K)</w:t>
      </w:r>
    </w:p>
    <w:p>
      <w:pPr>
        <w:pStyle w:val="BodyText"/>
      </w:pPr>
      <w:r>
        <w:rPr/>
        <w:t xml:space="preserve">CZ-Arbeitsplatz heisst: Arbeitsplatzname beginnt mit „CZ“ (zum Beispiel CZCDA00, CZABM00), wie in ZM03. Es gibt in SAP kein eigenes tschechisches Werk; die tschechische Fertigung läuft im Werk 1100 über diese Arbeitsplätze und wird deshalb in CHF bewertet. Gemeinkosten-Zuschläge zählen wie in ZM03 nicht dazu.</w:t>
      </w:r>
    </w:p>
    <w:p>
      <w:pPr>
        <w:pStyle w:val="Heading1"/>
      </w:pPr>
      <w:r>
        <w:rPr/>
        <w:t xml:space="preserve">5. Beispiel B87813 (Membrane)</w:t>
      </w:r>
    </w:p>
    <w:p>
      <w:pPr>
        <w:pStyle w:val="BodyText"/>
      </w:pPr>
      <w:r>
        <w:rPr/>
        <w:t xml:space="preserve">Kalkulationslosgrösse 1'200 Stück, Auftragsposition über 1'200 Stück, Standardpreis 1.25 CHF:</w:t>
      </w:r>
    </w:p>
    <w:tbl>
      <w:tblPr>
        <w:tblW w:w="5000" w:type="pct"/>
        <w:tblBorders>
          <w:top w:val="single" w:color="B4C6E7" w:sz="4"/>
          <w:left w:val="single" w:color="B4C6E7" w:sz="4"/>
          <w:bottom w:val="single" w:color="B4C6E7" w:sz="4"/>
          <w:right w:val="single" w:color="B4C6E7" w:sz="4"/>
          <w:insideH w:val="single" w:color="D9E2F3" w:sz="3"/>
          <w:insideV w:val="single" w:color="D9E2F3" w:sz="3"/>
        </w:tblBorders>
      </w:tblPr>
      <w:tblGrid>
        <w:gridCol w:w="1800"/>
        <w:gridCol w:w="2000"/>
        <w:gridCol w:w="1200"/>
      </w:tblGrid>
      <w:tr>
        <w:trPr>
          <w:tblHeader/>
        </w:trPr>
        <w:tc>
          <w:tcPr>
            <w:tcW w:w="1800" w:type="pct"/>
            <w:shd w:val="clear" w:fill="17365D"/>
            <w:tcMar>
              <w:top w:w="70" w:type="dxa"/>
              <w:left w:w="100" w:type="dxa"/>
              <w:bottom w:w="70" w:type="dxa"/>
              <w:right w:w="100" w:type="dxa"/>
            </w:tcMar>
          </w:tcPr>
          <w:p>
            <w:pPr>
              <w:pStyle w:val="Meta"/>
            </w:pPr>
            <w:r>
              <w:rPr>
                <w:b/>
                <w:color w:val="FFFFFF"/>
              </w:rPr>
              <w:t xml:space="preserve">Grösse</w:t>
            </w:r>
          </w:p>
        </w:tc>
        <w:tc>
          <w:tcPr>
            <w:tcW w:w="2000" w:type="pct"/>
            <w:shd w:val="clear" w:fill="17365D"/>
            <w:tcMar>
              <w:top w:w="70" w:type="dxa"/>
              <w:left w:w="100" w:type="dxa"/>
              <w:bottom w:w="70" w:type="dxa"/>
              <w:right w:w="100" w:type="dxa"/>
            </w:tcMar>
          </w:tcPr>
          <w:p>
            <w:pPr>
              <w:pStyle w:val="Meta"/>
            </w:pPr>
            <w:r>
              <w:rPr>
                <w:b/>
                <w:color w:val="FFFFFF"/>
              </w:rPr>
              <w:t xml:space="preserve">Rechnung</w:t>
            </w:r>
          </w:p>
        </w:tc>
        <w:tc>
          <w:tcPr>
            <w:tcW w:w="1200" w:type="pct"/>
            <w:shd w:val="clear" w:fill="17365D"/>
            <w:tcMar>
              <w:top w:w="70" w:type="dxa"/>
              <w:left w:w="100" w:type="dxa"/>
              <w:bottom w:w="70" w:type="dxa"/>
              <w:right w:w="100" w:type="dxa"/>
            </w:tcMar>
          </w:tcPr>
          <w:p>
            <w:pPr>
              <w:pStyle w:val="Meta"/>
            </w:pPr>
            <w:r>
              <w:rPr>
                <w:b/>
                <w:color w:val="FFFFFF"/>
              </w:rPr>
              <w:t xml:space="preserve">Ergebnis CHF</w:t>
            </w:r>
          </w:p>
        </w:tc>
      </w:tr>
      <w:tr>
        <w:tc>
          <w:tcPr>
            <w:tcW w:w="1800" w:type="pct"/>
            <w:shd w:val="clear" w:fill="FFFFFF"/>
            <w:tcMar>
              <w:top w:w="70" w:type="dxa"/>
              <w:left w:w="100" w:type="dxa"/>
              <w:bottom w:w="70" w:type="dxa"/>
              <w:right w:w="100" w:type="dxa"/>
            </w:tcMar>
          </w:tcPr>
          <w:p>
            <w:pPr>
              <w:pStyle w:val="Meta"/>
            </w:pPr>
            <w:r>
              <w:rPr>
                <w:b/>
              </w:rPr>
              <w:t xml:space="preserve">Standardwert</w:t>
            </w:r>
          </w:p>
        </w:tc>
        <w:tc>
          <w:tcPr>
            <w:tcW w:w="2000" w:type="pct"/>
            <w:shd w:val="clear" w:fill="FFFFFF"/>
            <w:tcMar>
              <w:top w:w="70" w:type="dxa"/>
              <w:left w:w="100" w:type="dxa"/>
              <w:bottom w:w="70" w:type="dxa"/>
              <w:right w:w="100" w:type="dxa"/>
            </w:tcMar>
          </w:tcPr>
          <w:p>
            <w:pPr>
              <w:pStyle w:val="Meta"/>
            </w:pPr>
            <w:r>
              <w:rPr/>
              <w:t xml:space="preserve">1.25 × 1'200</w:t>
            </w:r>
          </w:p>
        </w:tc>
        <w:tc>
          <w:tcPr>
            <w:tcW w:w="1200" w:type="pct"/>
            <w:shd w:val="clear" w:fill="FFFFFF"/>
            <w:tcMar>
              <w:top w:w="70" w:type="dxa"/>
              <w:left w:w="100" w:type="dxa"/>
              <w:bottom w:w="70" w:type="dxa"/>
              <w:right w:w="100" w:type="dxa"/>
            </w:tcMar>
          </w:tcPr>
          <w:p>
            <w:pPr>
              <w:pStyle w:val="Meta"/>
            </w:pPr>
            <w:r>
              <w:rPr/>
              <w:t xml:space="preserve">1'500.00</w:t>
            </w:r>
          </w:p>
        </w:tc>
      </w:tr>
      <w:tr>
        <w:tc>
          <w:tcPr>
            <w:tcW w:w="1800" w:type="pct"/>
            <w:shd w:val="clear" w:fill="F4F7FB"/>
            <w:tcMar>
              <w:top w:w="70" w:type="dxa"/>
              <w:left w:w="100" w:type="dxa"/>
              <w:bottom w:w="70" w:type="dxa"/>
              <w:right w:w="100" w:type="dxa"/>
            </w:tcMar>
          </w:tcPr>
          <w:p>
            <w:pPr>
              <w:pStyle w:val="Meta"/>
            </w:pPr>
            <w:r>
              <w:rPr>
                <w:b/>
              </w:rPr>
              <w:t xml:space="preserve">Materialanteil je Einheit</w:t>
            </w:r>
          </w:p>
        </w:tc>
        <w:tc>
          <w:tcPr>
            <w:tcW w:w="2000" w:type="pct"/>
            <w:shd w:val="clear" w:fill="F4F7FB"/>
            <w:tcMar>
              <w:top w:w="70" w:type="dxa"/>
              <w:left w:w="100" w:type="dxa"/>
              <w:bottom w:w="70" w:type="dxa"/>
              <w:right w:w="100" w:type="dxa"/>
            </w:tcMar>
          </w:tcPr>
          <w:p>
            <w:pPr>
              <w:pStyle w:val="Meta"/>
            </w:pPr>
            <w:r>
              <w:rPr/>
              <w:t xml:space="preserve">133.78 / 1'200</w:t>
            </w:r>
          </w:p>
        </w:tc>
        <w:tc>
          <w:tcPr>
            <w:tcW w:w="1200" w:type="pct"/>
            <w:shd w:val="clear" w:fill="F4F7FB"/>
            <w:tcMar>
              <w:top w:w="70" w:type="dxa"/>
              <w:left w:w="100" w:type="dxa"/>
              <w:bottom w:w="70" w:type="dxa"/>
              <w:right w:w="100" w:type="dxa"/>
            </w:tcMar>
          </w:tcPr>
          <w:p>
            <w:pPr>
              <w:pStyle w:val="Meta"/>
            </w:pPr>
            <w:r>
              <w:rPr/>
              <w:t xml:space="preserve">0.1115</w:t>
            </w:r>
          </w:p>
        </w:tc>
      </w:tr>
      <w:tr>
        <w:tc>
          <w:tcPr>
            <w:tcW w:w="1800" w:type="pct"/>
            <w:shd w:val="clear" w:fill="FFFFFF"/>
            <w:tcMar>
              <w:top w:w="70" w:type="dxa"/>
              <w:left w:w="100" w:type="dxa"/>
              <w:bottom w:w="70" w:type="dxa"/>
              <w:right w:w="100" w:type="dxa"/>
            </w:tcMar>
          </w:tcPr>
          <w:p>
            <w:pPr>
              <w:pStyle w:val="Meta"/>
            </w:pPr>
            <w:r>
              <w:rPr>
                <w:b/>
              </w:rPr>
              <w:t xml:space="preserve">Materialanteil</w:t>
            </w:r>
          </w:p>
        </w:tc>
        <w:tc>
          <w:tcPr>
            <w:tcW w:w="2000" w:type="pct"/>
            <w:shd w:val="clear" w:fill="FFFFFF"/>
            <w:tcMar>
              <w:top w:w="70" w:type="dxa"/>
              <w:left w:w="100" w:type="dxa"/>
              <w:bottom w:w="70" w:type="dxa"/>
              <w:right w:w="100" w:type="dxa"/>
            </w:tcMar>
          </w:tcPr>
          <w:p>
            <w:pPr>
              <w:pStyle w:val="Meta"/>
            </w:pPr>
            <w:r>
              <w:rPr/>
              <w:t xml:space="preserve">0.1115 × 1'200</w:t>
            </w:r>
          </w:p>
        </w:tc>
        <w:tc>
          <w:tcPr>
            <w:tcW w:w="1200" w:type="pct"/>
            <w:shd w:val="clear" w:fill="FFFFFF"/>
            <w:tcMar>
              <w:top w:w="70" w:type="dxa"/>
              <w:left w:w="100" w:type="dxa"/>
              <w:bottom w:w="70" w:type="dxa"/>
              <w:right w:w="100" w:type="dxa"/>
            </w:tcMar>
          </w:tcPr>
          <w:p>
            <w:pPr>
              <w:pStyle w:val="Meta"/>
            </w:pPr>
            <w:r>
              <w:rPr/>
              <w:t xml:space="preserve">133.78</w:t>
            </w:r>
          </w:p>
        </w:tc>
      </w:tr>
      <w:tr>
        <w:tc>
          <w:tcPr>
            <w:tcW w:w="1800" w:type="pct"/>
            <w:shd w:val="clear" w:fill="F4F7FB"/>
            <w:tcMar>
              <w:top w:w="70" w:type="dxa"/>
              <w:left w:w="100" w:type="dxa"/>
              <w:bottom w:w="70" w:type="dxa"/>
              <w:right w:w="100" w:type="dxa"/>
            </w:tcMar>
          </w:tcPr>
          <w:p>
            <w:pPr>
              <w:pStyle w:val="Meta"/>
            </w:pPr>
            <w:r>
              <w:rPr>
                <w:b/>
              </w:rPr>
              <w:t xml:space="preserve">Arbeit CZ</w:t>
            </w:r>
          </w:p>
        </w:tc>
        <w:tc>
          <w:tcPr>
            <w:tcW w:w="2000" w:type="pct"/>
            <w:shd w:val="clear" w:fill="F4F7FB"/>
            <w:tcMar>
              <w:top w:w="70" w:type="dxa"/>
              <w:left w:w="100" w:type="dxa"/>
              <w:bottom w:w="70" w:type="dxa"/>
              <w:right w:w="100" w:type="dxa"/>
            </w:tcMar>
          </w:tcPr>
          <w:p>
            <w:pPr>
              <w:pStyle w:val="Meta"/>
            </w:pPr>
            <w:r>
              <w:rPr/>
              <w:t xml:space="preserve">1'355.18 / 1'200 × 1'200</w:t>
            </w:r>
          </w:p>
        </w:tc>
        <w:tc>
          <w:tcPr>
            <w:tcW w:w="1200" w:type="pct"/>
            <w:shd w:val="clear" w:fill="F4F7FB"/>
            <w:tcMar>
              <w:top w:w="70" w:type="dxa"/>
              <w:left w:w="100" w:type="dxa"/>
              <w:bottom w:w="70" w:type="dxa"/>
              <w:right w:w="100" w:type="dxa"/>
            </w:tcMar>
          </w:tcPr>
          <w:p>
            <w:pPr>
              <w:pStyle w:val="Meta"/>
            </w:pPr>
            <w:r>
              <w:rPr/>
              <w:t xml:space="preserve">1'355.18</w:t>
            </w:r>
          </w:p>
        </w:tc>
      </w:tr>
      <w:tr>
        <w:tc>
          <w:tcPr>
            <w:tcW w:w="1800" w:type="pct"/>
            <w:shd w:val="clear" w:fill="FFFFFF"/>
            <w:tcMar>
              <w:top w:w="70" w:type="dxa"/>
              <w:left w:w="100" w:type="dxa"/>
              <w:bottom w:w="70" w:type="dxa"/>
              <w:right w:w="100" w:type="dxa"/>
            </w:tcMar>
          </w:tcPr>
          <w:p>
            <w:pPr>
              <w:pStyle w:val="Meta"/>
            </w:pPr>
            <w:r>
              <w:rPr>
                <w:b/>
              </w:rPr>
              <w:t xml:space="preserve">Rest: Arbeit Schweiz und Gemeinkosten</w:t>
            </w:r>
          </w:p>
        </w:tc>
        <w:tc>
          <w:tcPr>
            <w:tcW w:w="2000" w:type="pct"/>
            <w:shd w:val="clear" w:fill="FFFFFF"/>
            <w:tcMar>
              <w:top w:w="70" w:type="dxa"/>
              <w:left w:w="100" w:type="dxa"/>
              <w:bottom w:w="70" w:type="dxa"/>
              <w:right w:w="100" w:type="dxa"/>
            </w:tcMar>
          </w:tcPr>
          <w:p>
            <w:pPr>
              <w:pStyle w:val="Meta"/>
            </w:pPr>
            <w:r>
              <w:rPr/>
              <w:t xml:space="preserve">1'500.00 − 133.78 − 1'355.18</w:t>
            </w:r>
          </w:p>
        </w:tc>
        <w:tc>
          <w:tcPr>
            <w:tcW w:w="1200" w:type="pct"/>
            <w:shd w:val="clear" w:fill="FFFFFF"/>
            <w:tcMar>
              <w:top w:w="70" w:type="dxa"/>
              <w:left w:w="100" w:type="dxa"/>
              <w:bottom w:w="70" w:type="dxa"/>
              <w:right w:w="100" w:type="dxa"/>
            </w:tcMar>
          </w:tcPr>
          <w:p>
            <w:pPr>
              <w:pStyle w:val="Meta"/>
            </w:pPr>
            <w:r>
              <w:rPr/>
              <w:t xml:space="preserve">11.04</w:t>
            </w:r>
          </w:p>
        </w:tc>
      </w:tr>
    </w:tbl>
    <w:p>
      <w:pPr>
        <w:pStyle w:val="BodyText"/>
      </w:pPr>
      <w:r>
        <w:rPr/>
        <w:t xml:space="preserve">ZM03 zeigt für B87813 denselben Stand: Arbeit CZ 1.13 und Material 0.11 je Stück.</w:t>
      </w:r>
    </w:p>
    <w:p>
      <w:pPr>
        <w:pStyle w:val="Heading1"/>
      </w:pPr>
      <w:r>
        <w:rPr/>
        <w:t xml:space="preserve">6. Bedienung</w:t>
      </w:r>
    </w:p>
    <w:p>
      <w:pPr>
        <w:pStyle w:val="BodyText"/>
        <w:numPr>
          <w:ilvl w:val="0"/>
          <w:numId w:val="1"/>
        </w:numPr>
        <w:spacing w:after="60" w:line="276" w:lineRule="auto"/>
      </w:pPr>
      <w:r>
        <w:t xml:space="preserve">Block „Materialanteil“ im Selektionsbild: „Materialanteil rechnen“ (Vorgabe ein), Wahl der Kalkulation, Ankreuzfeld Fremdleistungen.</w:t>
      </w:r>
    </w:p>
    <w:p>
      <w:pPr>
        <w:pStyle w:val="BodyText"/>
        <w:numPr>
          <w:ilvl w:val="0"/>
          <w:numId w:val="1"/>
        </w:numPr>
        <w:spacing w:after="60" w:line="276" w:lineRule="auto"/>
      </w:pPr>
      <w:r>
        <w:t xml:space="preserve">Schalter aus: die drei Spalten bleiben leer, ZC23 läuft so schnell wie vorher.</w:t>
      </w:r>
    </w:p>
    <w:p>
      <w:pPr>
        <w:pStyle w:val="BodyText"/>
        <w:numPr>
          <w:ilvl w:val="0"/>
          <w:numId w:val="1"/>
        </w:numPr>
        <w:spacing w:after="60" w:line="276" w:lineRule="auto"/>
      </w:pPr>
      <w:r>
        <w:t xml:space="preserve">Gespeicherte Layouts zeigen neue Spalten nicht automatisch. Einmal „Layout ändern“, die Spalten aus dem Spaltenvorrat einblenden und sichern.</w:t>
      </w:r>
    </w:p>
    <w:p>
      <w:pPr>
        <w:pStyle w:val="BodyText"/>
        <w:numPr>
          <w:ilvl w:val="0"/>
          <w:numId w:val="1"/>
        </w:numPr>
        <w:spacing w:after="60" w:line="276" w:lineRule="auto"/>
      </w:pPr>
      <w:r>
        <w:t xml:space="preserve">Gespeicherte Varianten (zum Beispiel „BI UPDATE“) rechnen mit der Vorgabe, also mit Materialanteil.</w:t>
      </w:r>
    </w:p>
    <w:p>
      <w:pPr>
        <w:pStyle w:val="BodyText"/>
        <w:numPr>
          <w:ilvl w:val="0"/>
          <w:numId w:val="1"/>
        </w:numPr>
        <w:spacing w:after="60" w:line="276" w:lineRule="auto"/>
      </w:pPr>
      <w:r>
        <w:t xml:space="preserve">Für Power BI stehen die Werte in ZPOWERBI_KDAUF und im OData-Dienst ZPOWERBI_EINKAUF_SRV, Entität ZPOWERBI_KDAUFSet: Standardwert, Matanteil, ArbeitCz.</w:t>
      </w:r>
    </w:p>
    <w:p>
      <w:pPr>
        <w:pStyle w:val="Heading1"/>
      </w:pPr>
      <w:r>
        <w:rPr/>
        <w:t xml:space="preserve">7. Grenzen der Rechnung</w:t>
      </w:r>
    </w:p>
    <w:p>
      <w:pPr>
        <w:pStyle w:val="BodyText"/>
        <w:numPr>
          <w:ilvl w:val="0"/>
          <w:numId w:val="1"/>
        </w:numPr>
        <w:spacing w:after="60" w:line="276" w:lineRule="auto"/>
      </w:pPr>
      <w:r>
        <w:t xml:space="preserve">Positionsmengen werden nicht in die Mengeneinheit der Unterkalkulation umgerechnet (wie ZM03).</w:t>
      </w:r>
    </w:p>
    <w:p>
      <w:pPr>
        <w:pStyle w:val="BodyText"/>
        <w:numPr>
          <w:ilvl w:val="0"/>
          <w:numId w:val="1"/>
        </w:numPr>
        <w:spacing w:after="60" w:line="276" w:lineRule="auto"/>
      </w:pPr>
      <w:r>
        <w:t xml:space="preserve">Der Standardwert nutzt den Standardpreis ohne Preiseinheit (unverändert seit jeher); bei den geprüften Materialien ist die Preiseinheit 1.</w:t>
      </w:r>
    </w:p>
    <w:p>
      <w:pPr>
        <w:pStyle w:val="BodyText"/>
        <w:numPr>
          <w:ilvl w:val="0"/>
          <w:numId w:val="1"/>
        </w:numPr>
        <w:spacing w:after="60" w:line="276" w:lineRule="auto"/>
      </w:pPr>
      <w:r>
        <w:t xml:space="preserve">Ein Schwesterwerk am selben Standort zählt als „anderes Werk“ und damit als Material; ZM03 vergleicht Standorte.</w:t>
      </w:r>
    </w:p>
    <w:p>
      <w:pPr>
        <w:pStyle w:val="BodyText"/>
        <w:numPr>
          <w:ilvl w:val="0"/>
          <w:numId w:val="1"/>
        </w:numPr>
        <w:spacing w:after="60" w:line="276" w:lineRule="auto"/>
      </w:pPr>
      <w:r>
        <w:t xml:space="preserve">Arbeit in der Schweiz und Gemeinkosten werden nicht einzeln ausgewiesen, sie stecken im Rest.</w:t>
      </w:r>
    </w:p>
    <w:p>
      <w:pPr>
        <w:pStyle w:val="Heading1"/>
      </w:pPr>
      <w:r>
        <w:rPr/>
        <w:t xml:space="preserve">8. Prüfung (T76, 15.10.2026)</w:t>
      </w:r>
    </w:p>
    <w:tbl>
      <w:tblPr>
        <w:tblW w:w="5000" w:type="pct"/>
        <w:tblBorders>
          <w:top w:val="single" w:color="B4C6E7" w:sz="4"/>
          <w:left w:val="single" w:color="B4C6E7" w:sz="4"/>
          <w:bottom w:val="single" w:color="B4C6E7" w:sz="4"/>
          <w:right w:val="single" w:color="B4C6E7" w:sz="4"/>
          <w:insideH w:val="single" w:color="D9E2F3" w:sz="3"/>
          <w:insideV w:val="single" w:color="D9E2F3" w:sz="3"/>
        </w:tblBorders>
      </w:tblPr>
      <w:tblGrid>
        <w:gridCol w:w="2600"/>
        <w:gridCol w:w="2400"/>
      </w:tblGrid>
      <w:tr>
        <w:trPr>
          <w:tblHeader/>
        </w:trPr>
        <w:tc>
          <w:tcPr>
            <w:tcW w:w="2600" w:type="pct"/>
            <w:shd w:val="clear" w:fill="17365D"/>
            <w:tcMar>
              <w:top w:w="70" w:type="dxa"/>
              <w:left w:w="100" w:type="dxa"/>
              <w:bottom w:w="70" w:type="dxa"/>
              <w:right w:w="100" w:type="dxa"/>
            </w:tcMar>
          </w:tcPr>
          <w:p>
            <w:pPr>
              <w:pStyle w:val="Meta"/>
            </w:pPr>
            <w:r>
              <w:rPr>
                <w:b/>
                <w:color w:val="FFFFFF"/>
              </w:rPr>
              <w:t xml:space="preserve">Prüfung</w:t>
            </w:r>
          </w:p>
        </w:tc>
        <w:tc>
          <w:tcPr>
            <w:tcW w:w="2400" w:type="pct"/>
            <w:shd w:val="clear" w:fill="17365D"/>
            <w:tcMar>
              <w:top w:w="70" w:type="dxa"/>
              <w:left w:w="100" w:type="dxa"/>
              <w:bottom w:w="70" w:type="dxa"/>
              <w:right w:w="100" w:type="dxa"/>
            </w:tcMar>
          </w:tcPr>
          <w:p>
            <w:pPr>
              <w:pStyle w:val="Meta"/>
            </w:pPr>
            <w:r>
              <w:rPr>
                <w:b/>
                <w:color w:val="FFFFFF"/>
              </w:rPr>
              <w:t xml:space="preserve">Ergebnis</w:t>
            </w:r>
          </w:p>
        </w:tc>
      </w:tr>
      <w:tr>
        <w:tc>
          <w:tcPr>
            <w:tcW w:w="2600" w:type="pct"/>
            <w:shd w:val="clear" w:fill="FFFFFF"/>
            <w:tcMar>
              <w:top w:w="70" w:type="dxa"/>
              <w:left w:w="100" w:type="dxa"/>
              <w:bottom w:w="70" w:type="dxa"/>
              <w:right w:w="100" w:type="dxa"/>
            </w:tcMar>
          </w:tcPr>
          <w:p>
            <w:pPr>
              <w:pStyle w:val="Meta"/>
            </w:pPr>
            <w:r>
              <w:rPr>
                <w:b/>
              </w:rPr>
              <w:t xml:space="preserve">Vergleich mit dem bisherigen Programm, Q2 2026, Werk 1100</w:t>
            </w:r>
          </w:p>
        </w:tc>
        <w:tc>
          <w:tcPr>
            <w:tcW w:w="2400" w:type="pct"/>
            <w:shd w:val="clear" w:fill="FFFFFF"/>
            <w:tcMar>
              <w:top w:w="70" w:type="dxa"/>
              <w:left w:w="100" w:type="dxa"/>
              <w:bottom w:w="70" w:type="dxa"/>
              <w:right w:w="100" w:type="dxa"/>
            </w:tcMar>
          </w:tcPr>
          <w:p>
            <w:pPr>
              <w:pStyle w:val="Meta"/>
            </w:pPr>
            <w:r>
              <w:rPr/>
              <w:t xml:space="preserve">4'392 Zeilen, alle bisherigen Felder identisch</w:t>
            </w:r>
          </w:p>
        </w:tc>
      </w:tr>
      <w:tr>
        <w:tc>
          <w:tcPr>
            <w:tcW w:w="2600" w:type="pct"/>
            <w:shd w:val="clear" w:fill="F4F7FB"/>
            <w:tcMar>
              <w:top w:w="70" w:type="dxa"/>
              <w:left w:w="100" w:type="dxa"/>
              <w:bottom w:w="70" w:type="dxa"/>
              <w:right w:w="100" w:type="dxa"/>
            </w:tcMar>
          </w:tcPr>
          <w:p>
            <w:pPr>
              <w:pStyle w:val="Meta"/>
            </w:pPr>
            <w:r>
              <w:rPr>
                <w:b/>
              </w:rPr>
              <w:t xml:space="preserve">ZM03 B80004 (Stahlmembrane)</w:t>
            </w:r>
          </w:p>
        </w:tc>
        <w:tc>
          <w:tcPr>
            <w:tcW w:w="2400" w:type="pct"/>
            <w:shd w:val="clear" w:fill="F4F7FB"/>
            <w:tcMar>
              <w:top w:w="70" w:type="dxa"/>
              <w:left w:w="100" w:type="dxa"/>
              <w:bottom w:w="70" w:type="dxa"/>
              <w:right w:w="100" w:type="dxa"/>
            </w:tcMar>
          </w:tcPr>
          <w:p>
            <w:pPr>
              <w:pStyle w:val="Meta"/>
            </w:pPr>
            <w:r>
              <w:rPr/>
              <w:t xml:space="preserve">Material 0.12 je Stück, wie ZC23</w:t>
            </w:r>
          </w:p>
        </w:tc>
      </w:tr>
      <w:tr>
        <w:tc>
          <w:tcPr>
            <w:tcW w:w="2600" w:type="pct"/>
            <w:shd w:val="clear" w:fill="FFFFFF"/>
            <w:tcMar>
              <w:top w:w="70" w:type="dxa"/>
              <w:left w:w="100" w:type="dxa"/>
              <w:bottom w:w="70" w:type="dxa"/>
              <w:right w:w="100" w:type="dxa"/>
            </w:tcMar>
          </w:tcPr>
          <w:p>
            <w:pPr>
              <w:pStyle w:val="Meta"/>
            </w:pPr>
            <w:r>
              <w:rPr>
                <w:b/>
              </w:rPr>
              <w:t xml:space="preserve">ZM03 B87813</w:t>
            </w:r>
          </w:p>
        </w:tc>
        <w:tc>
          <w:tcPr>
            <w:tcW w:w="2400" w:type="pct"/>
            <w:shd w:val="clear" w:fill="FFFFFF"/>
            <w:tcMar>
              <w:top w:w="70" w:type="dxa"/>
              <w:left w:w="100" w:type="dxa"/>
              <w:bottom w:w="70" w:type="dxa"/>
              <w:right w:w="100" w:type="dxa"/>
            </w:tcMar>
          </w:tcPr>
          <w:p>
            <w:pPr>
              <w:pStyle w:val="Meta"/>
            </w:pPr>
            <w:r>
              <w:rPr/>
              <w:t xml:space="preserve">Arbeit CZ 1.13 und Material 0.11 je Stück, wie ZC23</w:t>
            </w:r>
          </w:p>
        </w:tc>
      </w:tr>
      <w:tr>
        <w:tc>
          <w:tcPr>
            <w:tcW w:w="2600" w:type="pct"/>
            <w:shd w:val="clear" w:fill="F4F7FB"/>
            <w:tcMar>
              <w:top w:w="70" w:type="dxa"/>
              <w:left w:w="100" w:type="dxa"/>
              <w:bottom w:w="70" w:type="dxa"/>
              <w:right w:w="100" w:type="dxa"/>
            </w:tcMar>
          </w:tcPr>
          <w:p>
            <w:pPr>
              <w:pStyle w:val="Meta"/>
            </w:pPr>
            <w:r>
              <w:rPr>
                <w:b/>
              </w:rPr>
              <w:t xml:space="preserve">Unabhängige Nachrechnung aus KEKO/CKIS/MARC</w:t>
            </w:r>
          </w:p>
        </w:tc>
        <w:tc>
          <w:tcPr>
            <w:tcW w:w="2400" w:type="pct"/>
            <w:shd w:val="clear" w:fill="F4F7FB"/>
            <w:tcMar>
              <w:top w:w="70" w:type="dxa"/>
              <w:left w:w="100" w:type="dxa"/>
              <w:bottom w:w="70" w:type="dxa"/>
              <w:right w:w="100" w:type="dxa"/>
            </w:tcMar>
          </w:tcPr>
          <w:p>
            <w:pPr>
              <w:pStyle w:val="Meta"/>
            </w:pPr>
            <w:r>
              <w:rPr/>
              <w:t xml:space="preserve">44640, 42211, E11221, B87813: auf den Rappen gleich</w:t>
            </w:r>
          </w:p>
        </w:tc>
      </w:tr>
      <w:tr>
        <w:tc>
          <w:tcPr>
            <w:tcW w:w="2600" w:type="pct"/>
            <w:shd w:val="clear" w:fill="FFFFFF"/>
            <w:tcMar>
              <w:top w:w="70" w:type="dxa"/>
              <w:left w:w="100" w:type="dxa"/>
              <w:bottom w:w="70" w:type="dxa"/>
              <w:right w:w="100" w:type="dxa"/>
            </w:tcMar>
          </w:tcPr>
          <w:p>
            <w:pPr>
              <w:pStyle w:val="Meta"/>
            </w:pPr>
            <w:r>
              <w:rPr>
                <w:b/>
              </w:rPr>
              <w:t xml:space="preserve">Laufzeit Q2 2026 im Dialog</w:t>
            </w:r>
          </w:p>
        </w:tc>
        <w:tc>
          <w:tcPr>
            <w:tcW w:w="2400" w:type="pct"/>
            <w:shd w:val="clear" w:fill="FFFFFF"/>
            <w:tcMar>
              <w:top w:w="70" w:type="dxa"/>
              <w:left w:w="100" w:type="dxa"/>
              <w:bottom w:w="70" w:type="dxa"/>
              <w:right w:w="100" w:type="dxa"/>
            </w:tcMar>
          </w:tcPr>
          <w:p>
            <w:pPr>
              <w:pStyle w:val="Meta"/>
            </w:pPr>
            <w:r>
              <w:rPr/>
              <w:t xml:space="preserve">15.9 s mit Materialanteil und Fortschreibung, 7.5 s ohne</w:t>
            </w:r>
          </w:p>
        </w:tc>
      </w:tr>
    </w:tbl>
    <w:sectPr>
      <w:headerReference xmlns:r="http://schemas.openxmlformats.org/officeDocument/2006/relationships" w:type="default" r:id="R7df9a8883b114664"/>
      <w:footerReference xmlns:r="http://schemas.openxmlformats.org/officeDocument/2006/relationships" w:type="default" r:id="R9584f3af7cf942f4"/>
      <w:pgSz w:w="11906" w:h="16838"/>
      <w:pgMar w:top="1134" w:right="1134" w:bottom="1134" w:left="1134" w:header="567" w:footer="567" w:gutter="0"/>
    </w:sectPr>
  </w:body>
</w:document>
</file>

<file path=word/footer1.xml><?xml version="1.0" encoding="utf-8"?>
<w:ftr xmlns:w="http://schemas.openxmlformats.org/wordprocessingml/2006/main">
  <w:p>
    <w:pPr>
      <w:pStyle w:val="Meta"/>
      <w:jc w:val="right"/>
    </w:pPr>
    <w:r>
      <w:rPr>
        <w:color w:val="6F7782"/>
        <w:sz w:val="18"/>
      </w:rPr>
      <w:t>Seite </w:t>
    </w:r>
    <w:r>
      <w:fldChar w:fldCharType="begin"/>
    </w:r>
    <w:r>
      <w:instrText> PAGE </w:instrText>
    </w:r>
    <w:r>
      <w:fldChar w:fldCharType="end"/>
    </w:r>
  </w:p>
</w:ftr>
</file>

<file path=word/header1.xml><?xml version="1.0" encoding="utf-8"?>
<w:hdr xmlns:w="http://schemas.openxmlformats.org/wordprocessingml/2006/main">
  <w:p>
    <w:pPr>
      <w:pStyle w:val="Meta"/>
    </w:pPr>
    <w:r>
      <w:rPr>
        <w:color w:val="6F7782"/>
        <w:sz w:val="18"/>
      </w:rPr>
      <w:t xml:space="preserve">Trafag · SAP ZC23 · Materialanteil und Arbeit CZ · Stand 15.10.2026</w:t>
    </w:r>
  </w:p>
</w:hdr>
</file>

<file path=word/numbering.xml><?xml version="1.0" encoding="utf-8"?>
<w:numbering xmlns:w="http://schemas.openxmlformats.org/wordprocessingml/2006/main">
  <w:abstractNum w:abstractNumId="1">
    <w:lvl w:ilvl="0">
      <w:numFmt w:val="bullet"/>
      <w:lvlText w:val="•"/>
      <w:lvlJc w:val="left"/>
      <w:pPr>
        <w:ind w:left="540" w:hanging="260"/>
      </w:pPr>
      <w:rPr>
        <w:rFonts w:ascii="Aptos" w:hAnsi="Aptos"/>
      </w:rPr>
    </w:lvl>
  </w:abstractNum>
  <w:num w:numId="1">
    <w:abstractNumId w:val="1"/>
  </w:num>
</w:numbering>
</file>

<file path=word/styles.xml><?xml version="1.0" encoding="utf-8"?>
<w:styles xmlns:w="http://schemas.openxmlformats.org/wordprocessingml/2006/main">
  <w:docDefaults>
    <w:rPrDefault>
      <w:rPr>
        <w:rFonts w:ascii="Aptos" w:hAnsi="Aptos" w:eastAsia="Aptos"/>
        <w:sz w:val="22"/>
        <w:lang w:val="de-CH"/>
      </w:rPr>
    </w:rPrDefault>
    <w:pPrDefault>
      <w:pPr>
        <w:spacing w:after="120" w:line="276" w:lineRule="auto"/>
      </w:pPr>
    </w:pPrDefault>
  </w:docDefaults>
  <w:style w:type="paragraph" w:styleId="Normal" w:customStyle="true">
    <w:name w:val="Normal"/>
    <w:basedOn w:val="Normal"/>
    <w:next w:val="Normal"/>
    <w:pPr>
      <w:spacing w:before="0" w:after="120" w:line="276" w:lineRule="auto"/>
    </w:pPr>
    <w:rPr>
      <w:rFonts w:ascii="Aptos" w:hAnsi="Aptos" w:eastAsia="Aptos"/>
      <w:color w:val="202020"/>
      <w:sz w:val="22"/>
    </w:rPr>
  </w:style>
  <w:style w:type="paragraph" w:styleId="Title" w:customStyle="true">
    <w:name w:val="Titel"/>
    <w:basedOn w:val="Normal"/>
    <w:next w:val="Normal"/>
    <w:pPr>
      <w:spacing w:before="0" w:after="80" w:line="276" w:lineRule="auto"/>
    </w:pPr>
    <w:rPr>
      <w:rFonts w:ascii="Aptos" w:hAnsi="Aptos" w:eastAsia="Aptos"/>
      <w:b/>
      <w:color w:val="17365D"/>
      <w:sz w:val="40"/>
    </w:rPr>
  </w:style>
  <w:style w:type="paragraph" w:styleId="Subtitle" w:customStyle="true">
    <w:name w:val="Untertitel"/>
    <w:basedOn w:val="Normal"/>
    <w:next w:val="Normal"/>
    <w:pPr>
      <w:spacing w:before="0" w:after="60" w:line="276" w:lineRule="auto"/>
    </w:pPr>
    <w:rPr>
      <w:rFonts w:ascii="Aptos" w:hAnsi="Aptos" w:eastAsia="Aptos"/>
      <w:i/>
      <w:color w:val="5B6573"/>
      <w:sz w:val="25"/>
    </w:rPr>
  </w:style>
  <w:style w:type="paragraph" w:styleId="Intro" w:customStyle="true">
    <w:name w:val="Einleitung"/>
    <w:basedOn w:val="Normal"/>
    <w:next w:val="Normal"/>
    <w:pPr>
      <w:spacing w:before="200" w:after="220" w:line="276" w:lineRule="auto"/>
    </w:pPr>
    <w:rPr>
      <w:rFonts w:ascii="Aptos" w:hAnsi="Aptos" w:eastAsia="Aptos"/>
      <w:color w:val="303030"/>
      <w:sz w:val="22"/>
    </w:rPr>
  </w:style>
  <w:style w:type="paragraph" w:styleId="Heading1" w:customStyle="true">
    <w:name w:val="Überschrift 1"/>
    <w:basedOn w:val="Normal"/>
    <w:next w:val="Normal"/>
    <w:pPr>
      <w:keepNext/>
      <w:spacing w:before="320" w:after="140" w:line="276" w:lineRule="auto"/>
    </w:pPr>
    <w:rPr>
      <w:rFonts w:ascii="Aptos" w:hAnsi="Aptos" w:eastAsia="Aptos"/>
      <w:b/>
      <w:color w:val="17365D"/>
      <w:sz w:val="30"/>
    </w:rPr>
  </w:style>
  <w:style w:type="paragraph" w:styleId="Meta" w:customStyle="true">
    <w:name w:val="Metadaten"/>
    <w:basedOn w:val="Normal"/>
    <w:next w:val="Normal"/>
    <w:pPr>
      <w:spacing w:before="0" w:after="0" w:line="276" w:lineRule="auto"/>
    </w:pPr>
    <w:rPr>
      <w:rFonts w:ascii="Aptos" w:hAnsi="Aptos" w:eastAsia="Aptos"/>
      <w:color w:val="303030"/>
      <w:sz w:val="20"/>
    </w:rPr>
  </w:style>
  <w:style w:type="paragraph" w:styleId="BodyText" w:customStyle="true">
    <w:name w:val="Textkörper"/>
    <w:basedOn w:val="Normal"/>
    <w:next w:val="Normal"/>
    <w:pPr>
      <w:spacing w:before="0" w:after="120" w:line="276" w:lineRule="auto"/>
    </w:pPr>
    <w:rPr>
      <w:rFonts w:ascii="Aptos" w:hAnsi="Aptos" w:eastAsia="Aptos"/>
      <w:color w:val="202020"/>
      <w:sz w:val="22"/>
    </w:rPr>
  </w:style>
  <w:style w:type="paragraph" w:styleId="Code" w:customStyle="true">
    <w:name w:val="Formel"/>
    <w:basedOn w:val="Normal"/>
    <w:next w:val="Normal"/>
    <w:pPr>
      <w:spacing w:before="80" w:after="160" w:line="276" w:lineRule="auto"/>
    </w:pPr>
    <w:rPr>
      <w:rFonts w:ascii="Consolas" w:hAnsi="Consolas" w:eastAsia="Consolas"/>
      <w:color w:val="17365D"/>
      <w:sz w:val="21"/>
    </w:rPr>
  </w:style>
</w:styles>
</file>

<file path=word/_rels/document.xml.rels>&#65279;<?xml version="1.0" encoding="utf-8"?><Relationships xmlns="http://schemas.openxmlformats.org/package/2006/relationships"><Relationship Type="http://schemas.openxmlformats.org/officeDocument/2006/relationships/styles" Target="/word/styles.xml" Id="Raf6476543c1645e8" /><Relationship Type="http://schemas.openxmlformats.org/officeDocument/2006/relationships/numbering" Target="/word/numbering.xml" Id="R748b071263e74d7e" /><Relationship Type="http://schemas.openxmlformats.org/officeDocument/2006/relationships/header" Target="/word/header1.xml" Id="R7df9a8883b114664" /><Relationship Type="http://schemas.openxmlformats.org/officeDocument/2006/relationships/footer" Target="/word/footer1.xml" Id="R9584f3af7cf942f4" /></Relationships>
</file>