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7fd787a5843d47f7" /></Relationships>
</file>

<file path=word/document.xml><?xml version="1.0" encoding="utf-8"?>
<w:document xmlns:w="http://schemas.openxmlformats.org/wordprocessingml/2006/main">
  <w:body>
    <w:p>
      <w:pPr>
        <w:pStyle w:val="Title"/>
      </w:pPr>
      <w:r>
        <w:rPr/>
        <w:t xml:space="preserve">Analytics, BI und Reporting bei Trafag</w:t>
      </w:r>
    </w:p>
    <w:p>
      <w:pPr>
        <w:pStyle w:val="Subtitle"/>
      </w:pPr>
      <w:r>
        <w:rPr/>
        <w:t xml:space="preserve">Woran ich arbeite, was in meiner Verantwortung liegt und wo ich einen Entscheid brauche</w:t>
      </w:r>
    </w:p>
    <w:p>
      <w:pPr>
        <w:pStyle w:val="Meta"/>
      </w:pPr>
      <w:r>
        <w:rPr/>
        <w:t xml:space="preserve">Ingo Kohler · IT Analytics · Stand 02.09.2026</w:t>
      </w:r>
    </w:p>
    <w:p>
      <w:pPr>
        <w:pStyle w:val="Intro"/>
      </w:pPr>
      <w:r>
        <w:rPr/>
        <w:t xml:space="preserve">Dieses Dokument gibt einen vollständigen Überblick über meinen Aufgabenbereich. Es ist so aufgebaut, dass jedes Arbeitspaket dieselben fünf Angaben trägt: Auftrag, Stand mit Datum, nächster Schritt, wer entscheidet und Termin. Damit ist auf einen Blick erkennbar, was läuft, was fertig ist und was auf eine Entscheidung wartet. Jede Zahl trägt das Datum ihrer Messung. Statusangaben stammen aus dem geführten Issue-Log und aus dem Projektstatus, nicht aus Arbeitsnotizen.</w:t>
      </w:r>
    </w:p>
    <w:p>
      <w:pPr>
        <w:pStyle w:val="Heading1"/>
      </w:pPr>
      <w:r>
        <w:rPr/>
        <w:t xml:space="preserve">Inhalt</w:t>
      </w:r>
    </w:p>
    <w:p>
      <w:pPr>
        <w:pStyle w:val="BodyText"/>
        <w:numPr>
          <w:ilvl w:val="0"/>
          <w:numId w:val="1"/>
        </w:numPr>
        <w:spacing w:after="60" w:line="288" w:lineRule="auto"/>
      </w:pPr>
      <w:r>
        <w:t xml:space="preserve">1. Rolle und Auftrag</w:t>
      </w:r>
    </w:p>
    <w:p>
      <w:pPr>
        <w:pStyle w:val="BodyText"/>
        <w:numPr>
          <w:ilvl w:val="0"/>
          <w:numId w:val="1"/>
        </w:numPr>
        <w:spacing w:after="60" w:line="288" w:lineRule="auto"/>
      </w:pPr>
      <w:r>
        <w:t xml:space="preserve">2. Meine fünf Aufgabengebiete</w:t>
      </w:r>
    </w:p>
    <w:p>
      <w:pPr>
        <w:pStyle w:val="BodyText"/>
        <w:numPr>
          <w:ilvl w:val="0"/>
          <w:numId w:val="1"/>
        </w:numPr>
        <w:spacing w:after="60" w:line="288" w:lineRule="auto"/>
      </w:pPr>
      <w:r>
        <w:t xml:space="preserve">3. Was in meiner Verantwortung liegt und was nicht</w:t>
      </w:r>
    </w:p>
    <w:p>
      <w:pPr>
        <w:pStyle w:val="BodyText"/>
        <w:numPr>
          <w:ilvl w:val="0"/>
          <w:numId w:val="1"/>
        </w:numPr>
        <w:spacing w:after="60" w:line="288" w:lineRule="auto"/>
      </w:pPr>
      <w:r>
        <w:t xml:space="preserve">4. Der einzige harte Termin: 08.09.2026</w:t>
      </w:r>
    </w:p>
    <w:p>
      <w:pPr>
        <w:pStyle w:val="BodyText"/>
        <w:numPr>
          <w:ilvl w:val="0"/>
          <w:numId w:val="1"/>
        </w:numPr>
        <w:spacing w:after="60" w:line="288" w:lineRule="auto"/>
      </w:pPr>
      <w:r>
        <w:t xml:space="preserve">5. Wo ich einen Entscheid oder eine Zulieferung brauche</w:t>
      </w:r>
    </w:p>
    <w:p>
      <w:pPr>
        <w:pStyle w:val="BodyText"/>
        <w:numPr>
          <w:ilvl w:val="0"/>
          <w:numId w:val="1"/>
        </w:numPr>
        <w:spacing w:after="60" w:line="288" w:lineRule="auto"/>
      </w:pPr>
      <w:r>
        <w:t xml:space="preserve">6. Die acht Arbeitspakete im Einzelnen</w:t>
      </w:r>
    </w:p>
    <w:p>
      <w:pPr>
        <w:pStyle w:val="BodyText"/>
        <w:numPr>
          <w:ilvl w:val="0"/>
          <w:numId w:val="1"/>
        </w:numPr>
        <w:spacing w:after="60" w:line="288" w:lineRule="auto"/>
      </w:pPr>
      <w:r>
        <w:t xml:space="preserve">7. Was in den nächsten sechs Monaten fertig wird</w:t>
      </w:r>
    </w:p>
    <w:p>
      <w:pPr>
        <w:pStyle w:val="BodyText"/>
        <w:numPr>
          <w:ilvl w:val="0"/>
          <w:numId w:val="1"/>
        </w:numPr>
        <w:spacing w:after="60" w:line="288" w:lineRule="auto"/>
      </w:pPr>
      <w:r>
        <w:t xml:space="preserve">8. Datenqualität und Nachweisführung</w:t>
      </w:r>
    </w:p>
    <w:p>
      <w:pPr>
        <w:pStyle w:val="BodyText"/>
        <w:numPr>
          <w:ilvl w:val="0"/>
          <w:numId w:val="1"/>
        </w:numPr>
        <w:spacing w:after="60" w:line="288" w:lineRule="auto"/>
      </w:pPr>
      <w:r>
        <w:t xml:space="preserve">9. Know-how-Risiko und Wiederanlauf</w:t>
      </w:r>
    </w:p>
    <w:p>
      <w:pPr>
        <w:pStyle w:val="BodyText"/>
        <w:numPr>
          <w:ilvl w:val="0"/>
          <w:numId w:val="1"/>
        </w:numPr>
        <w:spacing w:after="60" w:line="288" w:lineRule="auto"/>
      </w:pPr>
      <w:r>
        <w:t xml:space="preserve">10. Personen, mit denen ich zusammenarbeite</w:t>
      </w:r>
    </w:p>
    <w:p>
      <w:pPr>
        <w:pStyle w:val="BodyText"/>
        <w:numPr>
          <w:ilvl w:val="0"/>
          <w:numId w:val="1"/>
        </w:numPr>
        <w:spacing w:after="60" w:line="288" w:lineRule="auto"/>
      </w:pPr>
      <w:r>
        <w:t xml:space="preserve">11. Vorschlag für die Zusammenarbeit</w:t>
      </w:r>
    </w:p>
    <w:p>
      <w:pPr>
        <w:pStyle w:val="Heading1"/>
      </w:pPr>
      <w:r>
        <w:rPr/>
        <w:t xml:space="preserve">1. Rolle und Auftrag</w:t>
      </w:r>
    </w:p>
    <w:p>
      <w:pPr>
        <w:pStyle w:val="BodyText"/>
      </w:pPr>
      <w:r>
        <w:rPr/>
        <w:t xml:space="preserve">Meine Aufgabe ist es, aus den ERP-Systemen der einzelnen Landesgesellschaften ein gemeinsames, nachvollziehbares Zahlenbild für die Gruppe zu machen. Jede Tochtergesellschaft arbeitet mit einem eigenen System und mit eigenen Bezeichnungen. Ich hole diese Daten täglich ab, vereinheitliche sie, rechne die Kennzahlen und stelle sie im Cockpit, in Power BI und in einer zentralen Excel-Datei bereit.</w:t>
      </w:r>
    </w:p>
    <w:p>
      <w:pPr>
        <w:pStyle w:val="BodyText"/>
      </w:pPr>
      <w:r>
        <w:rPr/>
        <w:t xml:space="preserve">Dazu kommen die Auswertungen für Personal und für den Einkauf sowie die Pflege der SAP-Auswertungsprogramme, soweit sie für das Reporting gebraucht werden. Der Betrieb der Auswertungsplattform, ihre Weiterentwicklung und die Sicherstellung der Datenqualität gehören ebenfalls dazu.</w:t>
      </w:r>
    </w:p>
    <w:p>
      <w:pPr>
        <w:pStyle w:val="BodyText"/>
      </w:pPr>
      <w:r>
        <w:rPr/>
        <w:t xml:space="preserve">Der zweite Teil meiner Arbeit liegt im SAP-System selbst. Ich entwickle und pflege die kundeneigenen ABAP-Programme, mit denen Trafag Auswertungen und Abläufe abbildet, die der Standard nicht hergibt. Abschnitt 2 beschreibt diese fünf dauerhaften Aufgabengebiete im Einzelnen.</w:t>
      </w:r>
    </w:p>
    <w:p>
      <w:pPr>
        <w:pStyle w:val="BodyText"/>
      </w:pPr>
      <w:r>
        <w:rPr/>
        <w:t xml:space="preserve">Wichtig für die Einordnung: Ich liefere die Zahlen, die Rechenwege und den Nachweis dafür. Die fachliche Freigabe einer Zahl als offizielle Kennzahl liegt bei der jeweiligen Fachstelle, im Finanzbereich bei Andreas Stoller. Diese Trennung ist bewusst so festgelegt und wird eingehalten.</w:t>
      </w:r>
    </w:p>
    <w:tbl>
      <w:tblPr>
        <w:tblW w:w="5000" w:type="pct"/>
        <w:tblBorders>
          <w:top w:val="single" w:color="B4C6E7" w:sz="4"/>
          <w:left w:val="single" w:color="B4C6E7" w:sz="4"/>
          <w:bottom w:val="single" w:color="B4C6E7" w:sz="4"/>
          <w:right w:val="single" w:color="B4C6E7" w:sz="4"/>
          <w:insideH w:val="single" w:color="D9E2F3" w:sz="3"/>
          <w:insideV w:val="single" w:color="D9E2F3" w:sz="3"/>
        </w:tblBorders>
      </w:tblPr>
      <w:tblGrid>
        <w:gridCol w:w="1500"/>
        <w:gridCol w:w="3500"/>
      </w:tblGrid>
      <w:tr>
        <w:tc>
          <w:tcPr>
            <w:tcW w:w="1500" w:type="pct"/>
            <w:shd w:val="clear" w:fill="D9E2F3"/>
            <w:tcMar>
              <w:top w:w="80" w:type="dxa"/>
              <w:left w:w="100" w:type="dxa"/>
              <w:bottom w:w="80" w:type="dxa"/>
              <w:right w:w="100" w:type="dxa"/>
            </w:tcMar>
          </w:tcPr>
          <w:p>
            <w:pPr>
              <w:pStyle w:val="Meta"/>
            </w:pPr>
            <w:r>
              <w:rPr>
                <w:b/>
                <w:color w:val="17365D"/>
              </w:rPr>
              <w:t xml:space="preserve">Verantwortung</w:t>
            </w:r>
          </w:p>
        </w:tc>
        <w:tc>
          <w:tcPr>
            <w:tcW w:w="3500" w:type="pct"/>
            <w:shd w:val="clear" w:fill="FFFFFF"/>
            <w:tcMar>
              <w:top w:w="80" w:type="dxa"/>
              <w:left w:w="100" w:type="dxa"/>
              <w:bottom w:w="80" w:type="dxa"/>
              <w:right w:w="100" w:type="dxa"/>
            </w:tcMar>
          </w:tcPr>
          <w:p>
            <w:pPr>
              <w:pStyle w:val="Meta"/>
            </w:pPr>
            <w:r>
              <w:rPr/>
              <w:t xml:space="preserve">Fünf Gebiete: ABAP-Entwicklung in S/4HANA, Data-Warehouse-Architektur, Konzernreporting, Personalkennzahlen, Innovation</w:t>
            </w:r>
          </w:p>
        </w:tc>
      </w:tr>
      <w:tr>
        <w:tc>
          <w:tcPr>
            <w:tcW w:w="1500" w:type="pct"/>
            <w:shd w:val="clear" w:fill="D9E2F3"/>
            <w:tcMar>
              <w:top w:w="80" w:type="dxa"/>
              <w:left w:w="100" w:type="dxa"/>
              <w:bottom w:w="80" w:type="dxa"/>
              <w:right w:w="100" w:type="dxa"/>
            </w:tcMar>
          </w:tcPr>
          <w:p>
            <w:pPr>
              <w:pStyle w:val="Meta"/>
            </w:pPr>
            <w:r>
              <w:rPr>
                <w:b/>
                <w:color w:val="17365D"/>
              </w:rPr>
              <w:t xml:space="preserve">Datenumfang</w:t>
            </w:r>
          </w:p>
        </w:tc>
        <w:tc>
          <w:tcPr>
            <w:tcW w:w="3500" w:type="pct"/>
            <w:shd w:val="clear" w:fill="FFFFFF"/>
            <w:tcMar>
              <w:top w:w="80" w:type="dxa"/>
              <w:left w:w="100" w:type="dxa"/>
              <w:bottom w:w="80" w:type="dxa"/>
              <w:right w:w="100" w:type="dxa"/>
            </w:tcMar>
          </w:tcPr>
          <w:p>
            <w:pPr>
              <w:pStyle w:val="Meta"/>
            </w:pPr>
            <w:r>
              <w:rPr/>
              <w:t xml:space="preserve">Neun Standorte; 105'282 Verkaufszeilen in der zentralen Datei, gemessen am 01.09.2026</w:t>
            </w:r>
          </w:p>
        </w:tc>
      </w:tr>
      <w:tr>
        <w:tc>
          <w:tcPr>
            <w:tcW w:w="1500" w:type="pct"/>
            <w:shd w:val="clear" w:fill="D9E2F3"/>
            <w:tcMar>
              <w:top w:w="80" w:type="dxa"/>
              <w:left w:w="100" w:type="dxa"/>
              <w:bottom w:w="80" w:type="dxa"/>
              <w:right w:w="100" w:type="dxa"/>
            </w:tcMar>
          </w:tcPr>
          <w:p>
            <w:pPr>
              <w:pStyle w:val="Meta"/>
            </w:pPr>
            <w:r>
              <w:rPr>
                <w:b/>
                <w:color w:val="17365D"/>
              </w:rPr>
              <w:t xml:space="preserve">Systeme</w:t>
            </w:r>
          </w:p>
        </w:tc>
        <w:tc>
          <w:tcPr>
            <w:tcW w:w="3500" w:type="pct"/>
            <w:shd w:val="clear" w:fill="FFFFFF"/>
            <w:tcMar>
              <w:top w:w="80" w:type="dxa"/>
              <w:left w:w="100" w:type="dxa"/>
              <w:bottom w:w="80" w:type="dxa"/>
              <w:right w:w="100" w:type="dxa"/>
            </w:tcMar>
          </w:tcPr>
          <w:p>
            <w:pPr>
              <w:pStyle w:val="Meta"/>
            </w:pPr>
            <w:r>
              <w:rPr/>
              <w:t xml:space="preserve">SAP, Sage 200 (Spanien), SAP Business One, Alphaplan (Deutschland), eigene .NET-Plattform</w:t>
            </w:r>
          </w:p>
        </w:tc>
      </w:tr>
      <w:tr>
        <w:tc>
          <w:tcPr>
            <w:tcW w:w="1500" w:type="pct"/>
            <w:shd w:val="clear" w:fill="D9E2F3"/>
            <w:tcMar>
              <w:top w:w="80" w:type="dxa"/>
              <w:left w:w="100" w:type="dxa"/>
              <w:bottom w:w="80" w:type="dxa"/>
              <w:right w:w="100" w:type="dxa"/>
            </w:tcMar>
          </w:tcPr>
          <w:p>
            <w:pPr>
              <w:pStyle w:val="Meta"/>
            </w:pPr>
            <w:r>
              <w:rPr>
                <w:b/>
                <w:color w:val="17365D"/>
              </w:rPr>
              <w:t xml:space="preserve">Betriebsrhythmus</w:t>
            </w:r>
          </w:p>
        </w:tc>
        <w:tc>
          <w:tcPr>
            <w:tcW w:w="3500" w:type="pct"/>
            <w:shd w:val="clear" w:fill="FFFFFF"/>
            <w:tcMar>
              <w:top w:w="80" w:type="dxa"/>
              <w:left w:w="100" w:type="dxa"/>
              <w:bottom w:w="80" w:type="dxa"/>
              <w:right w:w="100" w:type="dxa"/>
            </w:tcMar>
          </w:tcPr>
          <w:p>
            <w:pPr>
              <w:pStyle w:val="Meta"/>
            </w:pPr>
            <w:r>
              <w:rPr/>
              <w:t xml:space="preserve">Täglicher automatischer Datenabzug je Standort, täglich erzeugte zentrale Excel-Datei</w:t>
            </w:r>
          </w:p>
        </w:tc>
      </w:tr>
      <w:tr>
        <w:tc>
          <w:tcPr>
            <w:tcW w:w="1500" w:type="pct"/>
            <w:shd w:val="clear" w:fill="D9E2F3"/>
            <w:tcMar>
              <w:top w:w="80" w:type="dxa"/>
              <w:left w:w="100" w:type="dxa"/>
              <w:bottom w:w="80" w:type="dxa"/>
              <w:right w:w="100" w:type="dxa"/>
            </w:tcMar>
          </w:tcPr>
          <w:p>
            <w:pPr>
              <w:pStyle w:val="Meta"/>
            </w:pPr>
            <w:r>
              <w:rPr>
                <w:b/>
                <w:color w:val="17365D"/>
              </w:rPr>
              <w:t xml:space="preserve">Planungshorizont</w:t>
            </w:r>
          </w:p>
        </w:tc>
        <w:tc>
          <w:tcPr>
            <w:tcW w:w="3500" w:type="pct"/>
            <w:shd w:val="clear" w:fill="FFFFFF"/>
            <w:tcMar>
              <w:top w:w="80" w:type="dxa"/>
              <w:left w:w="100" w:type="dxa"/>
              <w:bottom w:w="80" w:type="dxa"/>
              <w:right w:w="100" w:type="dxa"/>
            </w:tcMar>
          </w:tcPr>
          <w:p>
            <w:pPr>
              <w:pStyle w:val="Meta"/>
            </w:pPr>
            <w:r>
              <w:rPr/>
              <w:t xml:space="preserve">18.06.2026 bis 15.12.2026, danach Fortschreibung für 2027</w:t>
            </w:r>
          </w:p>
        </w:tc>
      </w:tr>
      <w:tr>
        <w:tc>
          <w:tcPr>
            <w:tcW w:w="1500" w:type="pct"/>
            <w:shd w:val="clear" w:fill="D9E2F3"/>
            <w:tcMar>
              <w:top w:w="80" w:type="dxa"/>
              <w:left w:w="100" w:type="dxa"/>
              <w:bottom w:w="80" w:type="dxa"/>
              <w:right w:w="100" w:type="dxa"/>
            </w:tcMar>
          </w:tcPr>
          <w:p>
            <w:pPr>
              <w:pStyle w:val="Meta"/>
            </w:pPr>
            <w:r>
              <w:rPr>
                <w:b/>
                <w:color w:val="17365D"/>
              </w:rPr>
              <w:t xml:space="preserve">Offene Punkte</w:t>
            </w:r>
          </w:p>
        </w:tc>
        <w:tc>
          <w:tcPr>
            <w:tcW w:w="3500" w:type="pct"/>
            <w:shd w:val="clear" w:fill="FFFFFF"/>
            <w:tcMar>
              <w:top w:w="80" w:type="dxa"/>
              <w:left w:w="100" w:type="dxa"/>
              <w:bottom w:w="80" w:type="dxa"/>
              <w:right w:w="100" w:type="dxa"/>
            </w:tcMar>
          </w:tcPr>
          <w:p>
            <w:pPr>
              <w:pStyle w:val="Meta"/>
            </w:pPr>
            <w:r>
              <w:rPr/>
              <w:t xml:space="preserve">8 übergeordnete Arbeitspakete, davon 1 mit festem Termin; 25 Detailpunkte im Issue-Log</w:t>
            </w:r>
          </w:p>
        </w:tc>
      </w:tr>
    </w:tbl>
    <w:p>
      <w:pPr>
        <w:pStyle w:val="Meta"/>
        <w:spacing w:after="0" w:line="160" w:lineRule="exact"/>
      </w:pPr>
    </w:p>
    <w:p>
      <w:pPr>
        <w:pStyle w:val="Heading1"/>
      </w:pPr>
      <w:r>
        <w:rPr/>
        <w:t xml:space="preserve">2. Meine fünf Aufgabengebiete</w:t>
      </w:r>
    </w:p>
    <w:p>
      <w:pPr>
        <w:pStyle w:val="BodyText"/>
      </w:pPr>
      <w:r>
        <w:rPr/>
        <w:t xml:space="preserve">Diese fünf Gebiete beschreiben die Rolle und gelten dauerhaft. Sie sind nicht zu verwechseln mit dem aktuellen Stand der Arbeit, der in Abschnitt 6 steht. Damit beides zusammenfindet, nennt jedes Gebiet am Ende die Arbeitspakete, die derzeit daraus laufen.</w:t>
      </w:r>
    </w:p>
    <w:p>
      <w:pPr>
        <w:pStyle w:val="Heading2"/>
      </w:pPr>
      <w:r>
        <w:rPr/>
        <w:t xml:space="preserve">2.1 SAP S/4HANA: Entwicklung und Betreuung (ABAP)</w:t>
      </w:r>
    </w:p>
    <w:p>
      <w:pPr>
        <w:pStyle w:val="BodyText"/>
      </w:pPr>
      <w:r>
        <w:rPr/>
        <w:t xml:space="preserve">Ich konzipiere, entwickle und warte eigenständig die kundeneigenen ABAP-Programme und Schnittstellen im S/4HANA-Umfeld. Die Schwerpunkte liegen in der Logistik, im Vertrieb, in der Variantenkonfiguration, bei den Ursprungsland- und Zollthemen sowie in der Preisfindung.</w:t>
      </w:r>
    </w:p>
    <w:p>
      <w:pPr>
        <w:pStyle w:val="BodyText"/>
      </w:pPr>
      <w:r>
        <w:rPr/>
        <w:t xml:space="preserve">Ein eigener Schwerpunkt sind komplexe Auswertungen der mehrstufigen Stücklistenauflösung, sowohl von der Baugruppe nach unten als auch vom Einzelteil nach oben. Dazu gehören die Vererbung der Sortimentscodes über Core-, OEM- und Extended-Sortimente sowie die Vererbung der Lebenszykluscodes. Weil solche Auflösungen sehr rechenintensiv sind, werden die Ergebnisse für das nachgelagerte Reporting materialisiert, also einmal berechnet und abgelegt, statt bei jedem Aufruf neu ermittelt.</w:t>
      </w:r>
    </w:p>
    <w:p>
      <w:pPr>
        <w:pStyle w:val="BodyText"/>
      </w:pPr>
      <w:r>
        <w:rPr/>
        <w:t xml:space="preserve">Dazu kommen Laufzeitoptimierungen, systematische Datenbereinigungen und die enge fachliche Zusammenarbeit mit externen Partnern wie NTT Data.</w:t>
      </w:r>
    </w:p>
    <w:p>
      <w:pPr>
        <w:pStyle w:val="BodyText"/>
        <w:pBdr>
          <w:left w:val="single" w:color="B4C6E7" w:sz="12" w:space="8"/>
        </w:pBdr>
        <w:spacing w:before="60" w:after="200" w:line="288" w:lineRule="auto"/>
        <w:ind w:left="220"/>
      </w:pPr>
      <w:r>
        <w:rPr>
          <w:i/>
          <w:color w:val="365F91"/>
        </w:rPr>
        <w:t xml:space="preserve">Aktuell aus diesem Gebiet in Arbeit: PM-01, PM-02 und PM-03, siehe Abschnitt 6.</w:t>
      </w:r>
    </w:p>
    <w:p>
      <w:pPr>
        <w:pStyle w:val="Heading2"/>
      </w:pPr>
      <w:r>
        <w:rPr/>
        <w:t xml:space="preserve">2.2 Aufbau und Architektur des Data-Warehouse-Dashboards</w:t>
      </w:r>
    </w:p>
    <w:p>
      <w:pPr>
        <w:pStyle w:val="BodyText"/>
      </w:pPr>
      <w:r>
        <w:rPr/>
        <w:t xml:space="preserve">Ich habe die gruppenweite Data-Warehouse-Architektur als zentrale Datenplattform für das Konzernreporting konzipiert und realisiert. Dazu gehören die SAP-seitigen Extraktoren und Exportprogramme, die die operativen Daten strukturiert und wiederholbar in die Plattform überführen.</w:t>
      </w:r>
    </w:p>
    <w:p>
      <w:pPr>
        <w:pStyle w:val="BodyText"/>
      </w:pPr>
      <w:r>
        <w:rPr/>
        <w:t xml:space="preserve">Wiederholbar heisst, dass derselbe Lauf am nächsten Tag dasselbe Ergebnis liefert und jede Zahl bis auf ihren Ursprungsbeleg zurückverfolgbar bleibt. Auf dieser Plattform setzen alle weiteren Auswertungen auf, das Verkaufsreporting ebenso wie die Auswertungen für Einkauf und Personal.</w:t>
      </w:r>
    </w:p>
    <w:p>
      <w:pPr>
        <w:pStyle w:val="BodyText"/>
        <w:pBdr>
          <w:left w:val="single" w:color="B4C6E7" w:sz="12" w:space="8"/>
        </w:pBdr>
        <w:spacing w:before="60" w:after="200" w:line="288" w:lineRule="auto"/>
        <w:ind w:left="220"/>
      </w:pPr>
      <w:r>
        <w:rPr>
          <w:i/>
          <w:color w:val="365F91"/>
        </w:rPr>
        <w:t xml:space="preserve">Aktuell aus diesem Gebiet in Arbeit: PM-05 und PM-04, siehe Abschnitt 6.</w:t>
      </w:r>
    </w:p>
    <w:p>
      <w:pPr>
        <w:pStyle w:val="Heading2"/>
      </w:pPr>
      <w:r>
        <w:rPr/>
        <w:t xml:space="preserve">2.3 Gruppenweites Power-BI-Reporting über alle Tochtergesellschaften</w:t>
      </w:r>
    </w:p>
    <w:p>
      <w:pPr>
        <w:pStyle w:val="BodyText"/>
      </w:pPr>
      <w:r>
        <w:rPr/>
        <w:t xml:space="preserve">Ich habe das konzernweite Umsatzreporting über sämtliche internationalen Tochtergesellschaften aufgebaut. Dazu gehörten die Anbindung der sehr unterschiedlichen ERP-Systeme, namentlich SAP S/4HANA, SAP Business One, Sage 200 und Alphaplan, die Umsetzung der Intercompany-Abgrenzungslogik sowie die Umsatzabstimmung je Land.</w:t>
      </w:r>
    </w:p>
    <w:p>
      <w:pPr>
        <w:pStyle w:val="BodyText"/>
      </w:pPr>
      <w:r>
        <w:rPr/>
        <w:t xml:space="preserve">Intercompany-Abgrenzung bedeutet, Verkäufe an Konzerngesellschaften von Verkäufen an Dritte zu trennen, damit derselbe Umsatz in der Gruppensicht nicht zweimal gezählt wird. Die fachlichen Anforderungen stimme ich direkt mit den Ansprechpartnern der Tochtergesellschaften ab, unter anderem in Spanien und Italien.</w:t>
      </w:r>
    </w:p>
    <w:p>
      <w:pPr>
        <w:pStyle w:val="BodyText"/>
        <w:pBdr>
          <w:left w:val="single" w:color="B4C6E7" w:sz="12" w:space="8"/>
        </w:pBdr>
        <w:spacing w:before="60" w:after="200" w:line="288" w:lineRule="auto"/>
        <w:ind w:left="220"/>
      </w:pPr>
      <w:r>
        <w:rPr>
          <w:i/>
          <w:color w:val="365F91"/>
        </w:rPr>
        <w:t xml:space="preserve">Aktuell aus diesem Gebiet in Arbeit: PM-05 und PM-08, siehe Abschnitt 6.</w:t>
      </w:r>
    </w:p>
    <w:p>
      <w:pPr>
        <w:pStyle w:val="Heading2"/>
      </w:pPr>
      <w:r>
        <w:rPr/>
        <w:t xml:space="preserve">2.4 HR-Kennzahlen-Dashboard und bereichsübergreifende Projekte</w:t>
      </w:r>
    </w:p>
    <w:p>
      <w:pPr>
        <w:pStyle w:val="BodyText"/>
      </w:pPr>
      <w:r>
        <w:rPr/>
        <w:t xml:space="preserve">In enger Zusammenarbeit mit dem Personalbereich habe ich das HR-Kennzahlen-Dashboard entwickelt, mit Datenintegration aus Rexx und SAP-HR, umgesetzt über Power Query und DAX im Corporate Design von Trafag.</w:t>
      </w:r>
    </w:p>
    <w:p>
      <w:pPr>
        <w:pStyle w:val="BodyText"/>
      </w:pPr>
      <w:r>
        <w:rPr/>
        <w:t xml:space="preserve">Das Projekt steht beispielhaft für bereichsübergreifende Vorhaben, die ich eigenständig von der Anforderungsaufnahme bis zur Auslieferung führe.</w:t>
      </w:r>
    </w:p>
    <w:p>
      <w:pPr>
        <w:pStyle w:val="BodyText"/>
        <w:pBdr>
          <w:left w:val="single" w:color="B4C6E7" w:sz="12" w:space="8"/>
        </w:pBdr>
        <w:spacing w:before="60" w:after="200" w:line="288" w:lineRule="auto"/>
        <w:ind w:left="220"/>
      </w:pPr>
      <w:r>
        <w:rPr>
          <w:i/>
          <w:color w:val="365F91"/>
        </w:rPr>
        <w:t xml:space="preserve">Aktuell aus diesem Gebiet in Arbeit: PM-07, siehe Abschnitt 6.</w:t>
      </w:r>
    </w:p>
    <w:p>
      <w:pPr>
        <w:pStyle w:val="Heading2"/>
      </w:pPr>
      <w:r>
        <w:rPr/>
        <w:t xml:space="preserve">2.5 Innovation und Modernisierung</w:t>
      </w:r>
    </w:p>
    <w:p>
      <w:pPr>
        <w:pStyle w:val="BodyText"/>
      </w:pPr>
      <w:r>
        <w:rPr/>
        <w:t xml:space="preserve">Ich treibe die Einführung und Nutzung moderner Werkzeuge und Methoden aktiv voran, insbesondere die KI-gestützte Softwareentwicklung, die CDS-Views als moderne Auswertungsschicht direkt in S/4HANA und die Themen rund um die S/4HANA-Migration.</w:t>
      </w:r>
    </w:p>
    <w:p>
      <w:pPr>
        <w:pStyle w:val="BodyText"/>
      </w:pPr>
      <w:r>
        <w:rPr/>
        <w:t xml:space="preserve">Die Reporting- und Datenlandschaft entwickle ich im Rahmen der Digitalisierungsstrategie laufend weiter und bringe neue Ansätze regelmässig in die Organisation ein.</w:t>
      </w:r>
    </w:p>
    <w:p>
      <w:pPr>
        <w:pStyle w:val="BodyText"/>
        <w:pBdr>
          <w:left w:val="single" w:color="B4C6E7" w:sz="12" w:space="8"/>
        </w:pBdr>
        <w:spacing w:before="60" w:after="200" w:line="288" w:lineRule="auto"/>
        <w:ind w:left="220"/>
      </w:pPr>
      <w:r>
        <w:rPr>
          <w:i/>
          <w:color w:val="365F91"/>
        </w:rPr>
        <w:t xml:space="preserve">Kein eigenes Arbeitspaket. Dieses Gebiet wirkt in alle übrigen vier hinein.</w:t>
      </w:r>
    </w:p>
    <w:p>
      <w:pPr>
        <w:pStyle w:val="Heading1"/>
      </w:pPr>
      <w:r>
        <w:rPr/>
        <w:t xml:space="preserve">3. Was in meiner Verantwortung liegt und was nicht</w:t>
      </w:r>
    </w:p>
    <w:p>
      <w:pPr>
        <w:pStyle w:val="BodyText"/>
      </w:pPr>
      <w:r>
        <w:rPr/>
        <w:t xml:space="preserve">Diese Abgrenzung ist am 18.06.2026 festgelegt worden und gilt unverändert. Sie ist der wichtigste Punkt für eine neue Zusammenarbeit, weil mehrere grosse IT-Themen bei Trafag direkt benachbart sind, aber ausdrücklich nicht bei mir liegen.</w:t>
      </w:r>
    </w:p>
    <w:p>
      <w:pPr>
        <w:pStyle w:val="Heading2"/>
      </w:pPr>
      <w:r>
        <w:rPr/>
        <w:t xml:space="preserve">3.1 In meiner Verantwortung</w:t>
      </w:r>
    </w:p>
    <w:tbl>
      <w:tblPr>
        <w:tblW w:w="5000" w:type="pct"/>
        <w:tblBorders>
          <w:top w:val="single" w:color="B4C6E7" w:sz="4"/>
          <w:left w:val="single" w:color="B4C6E7" w:sz="4"/>
          <w:bottom w:val="single" w:color="B4C6E7" w:sz="4"/>
          <w:right w:val="single" w:color="B4C6E7" w:sz="4"/>
          <w:insideH w:val="single" w:color="D9E2F3" w:sz="3"/>
          <w:insideV w:val="single" w:color="D9E2F3" w:sz="3"/>
        </w:tblBorders>
      </w:tblPr>
      <w:tblGrid>
        <w:gridCol w:w="1700"/>
        <w:gridCol w:w="3300"/>
      </w:tblGrid>
      <w:tr>
        <w:trPr>
          <w:tblHeader/>
        </w:trPr>
        <w:tc>
          <w:tcPr>
            <w:tcW w:w="1700" w:type="pct"/>
            <w:shd w:val="clear" w:fill="17365D"/>
            <w:tcMar>
              <w:top w:w="80" w:type="dxa"/>
              <w:left w:w="100" w:type="dxa"/>
              <w:bottom w:w="80" w:type="dxa"/>
              <w:right w:w="100" w:type="dxa"/>
            </w:tcMar>
          </w:tcPr>
          <w:p>
            <w:pPr>
              <w:pStyle w:val="Meta"/>
            </w:pPr>
            <w:r>
              <w:rPr>
                <w:b/>
                <w:color w:val="FFFFFF"/>
              </w:rPr>
              <w:t xml:space="preserve">Bereich</w:t>
            </w:r>
          </w:p>
        </w:tc>
        <w:tc>
          <w:tcPr>
            <w:tcW w:w="3300" w:type="pct"/>
            <w:shd w:val="clear" w:fill="17365D"/>
            <w:tcMar>
              <w:top w:w="80" w:type="dxa"/>
              <w:left w:w="100" w:type="dxa"/>
              <w:bottom w:w="80" w:type="dxa"/>
              <w:right w:w="100" w:type="dxa"/>
            </w:tcMar>
          </w:tcPr>
          <w:p>
            <w:pPr>
              <w:pStyle w:val="Meta"/>
            </w:pPr>
            <w:r>
              <w:rPr>
                <w:b/>
                <w:color w:val="FFFFFF"/>
              </w:rPr>
              <w:t xml:space="preserve">Was ich dort verantworte</w:t>
            </w:r>
          </w:p>
        </w:tc>
      </w:tr>
      <w:tr>
        <w:tc>
          <w:tcPr>
            <w:tcW w:w="1700" w:type="pct"/>
            <w:shd w:val="clear" w:fill="FFFFFF"/>
            <w:tcMar>
              <w:top w:w="80" w:type="dxa"/>
              <w:left w:w="100" w:type="dxa"/>
              <w:bottom w:w="80" w:type="dxa"/>
              <w:right w:w="100" w:type="dxa"/>
            </w:tcMar>
          </w:tcPr>
          <w:p>
            <w:pPr>
              <w:pStyle w:val="Meta"/>
            </w:pPr>
            <w:r>
              <w:rPr>
                <w:b/>
              </w:rPr>
              <w:t xml:space="preserve">ABAP-Entwicklung in S/4HANA</w:t>
            </w:r>
          </w:p>
        </w:tc>
        <w:tc>
          <w:tcPr>
            <w:tcW w:w="3300" w:type="pct"/>
            <w:shd w:val="clear" w:fill="FFFFFF"/>
            <w:tcMar>
              <w:top w:w="80" w:type="dxa"/>
              <w:left w:w="100" w:type="dxa"/>
              <w:bottom w:w="80" w:type="dxa"/>
              <w:right w:w="100" w:type="dxa"/>
            </w:tcMar>
          </w:tcPr>
          <w:p>
            <w:pPr>
              <w:pStyle w:val="Meta"/>
            </w:pPr>
            <w:r>
              <w:rPr/>
              <w:t xml:space="preserve">Eigenständige Konzeption, Entwicklung und Wartung der kundeneigenen Programme und Schnittstellen in Logistik, Vertrieb, Variantenkonfiguration, Ursprungsland und Zoll sowie Preisfindung</w:t>
            </w:r>
          </w:p>
        </w:tc>
      </w:tr>
      <w:tr>
        <w:tc>
          <w:tcPr>
            <w:tcW w:w="1700" w:type="pct"/>
            <w:shd w:val="clear" w:fill="F4F7FB"/>
            <w:tcMar>
              <w:top w:w="80" w:type="dxa"/>
              <w:left w:w="100" w:type="dxa"/>
              <w:bottom w:w="80" w:type="dxa"/>
              <w:right w:w="100" w:type="dxa"/>
            </w:tcMar>
          </w:tcPr>
          <w:p>
            <w:pPr>
              <w:pStyle w:val="Meta"/>
            </w:pPr>
            <w:r>
              <w:rPr>
                <w:b/>
              </w:rPr>
              <w:t xml:space="preserve">Data-Warehouse-Architektur</w:t>
            </w:r>
          </w:p>
        </w:tc>
        <w:tc>
          <w:tcPr>
            <w:tcW w:w="3300" w:type="pct"/>
            <w:shd w:val="clear" w:fill="F4F7FB"/>
            <w:tcMar>
              <w:top w:w="80" w:type="dxa"/>
              <w:left w:w="100" w:type="dxa"/>
              <w:bottom w:w="80" w:type="dxa"/>
              <w:right w:w="100" w:type="dxa"/>
            </w:tcMar>
          </w:tcPr>
          <w:p>
            <w:pPr>
              <w:pStyle w:val="Meta"/>
            </w:pPr>
            <w:r>
              <w:rPr/>
              <w:t xml:space="preserve">Aufbau und Betrieb der zentralen Datenplattform samt der SAP-seitigen Extraktoren und Exportprogramme</w:t>
            </w:r>
          </w:p>
        </w:tc>
      </w:tr>
      <w:tr>
        <w:tc>
          <w:tcPr>
            <w:tcW w:w="1700" w:type="pct"/>
            <w:shd w:val="clear" w:fill="FFFFFF"/>
            <w:tcMar>
              <w:top w:w="80" w:type="dxa"/>
              <w:left w:w="100" w:type="dxa"/>
              <w:bottom w:w="80" w:type="dxa"/>
              <w:right w:w="100" w:type="dxa"/>
            </w:tcMar>
          </w:tcPr>
          <w:p>
            <w:pPr>
              <w:pStyle w:val="Meta"/>
            </w:pPr>
            <w:r>
              <w:rPr>
                <w:b/>
              </w:rPr>
              <w:t xml:space="preserve">Verkaufsdaten der Gruppe</w:t>
            </w:r>
          </w:p>
        </w:tc>
        <w:tc>
          <w:tcPr>
            <w:tcW w:w="3300" w:type="pct"/>
            <w:shd w:val="clear" w:fill="FFFFFF"/>
            <w:tcMar>
              <w:top w:w="80" w:type="dxa"/>
              <w:left w:w="100" w:type="dxa"/>
              <w:bottom w:w="80" w:type="dxa"/>
              <w:right w:w="100" w:type="dxa"/>
            </w:tcMar>
          </w:tcPr>
          <w:p>
            <w:pPr>
              <w:pStyle w:val="Meta"/>
            </w:pPr>
            <w:r>
              <w:rPr/>
              <w:t xml:space="preserve">Abzug, Vereinheitlichung und Zusammenführung der ERP-Daten aller Tochtergesellschaften in eine gemeinsame Auswertungsbasis</w:t>
            </w:r>
          </w:p>
        </w:tc>
      </w:tr>
      <w:tr>
        <w:tc>
          <w:tcPr>
            <w:tcW w:w="1700" w:type="pct"/>
            <w:shd w:val="clear" w:fill="F4F7FB"/>
            <w:tcMar>
              <w:top w:w="80" w:type="dxa"/>
              <w:left w:w="100" w:type="dxa"/>
              <w:bottom w:w="80" w:type="dxa"/>
              <w:right w:w="100" w:type="dxa"/>
            </w:tcMar>
          </w:tcPr>
          <w:p>
            <w:pPr>
              <w:pStyle w:val="Meta"/>
            </w:pPr>
            <w:r>
              <w:rPr>
                <w:b/>
              </w:rPr>
              <w:t xml:space="preserve">Finanz- und Verkaufsreporting</w:t>
            </w:r>
          </w:p>
        </w:tc>
        <w:tc>
          <w:tcPr>
            <w:tcW w:w="3300" w:type="pct"/>
            <w:shd w:val="clear" w:fill="F4F7FB"/>
            <w:tcMar>
              <w:top w:w="80" w:type="dxa"/>
              <w:left w:w="100" w:type="dxa"/>
              <w:bottom w:w="80" w:type="dxa"/>
              <w:right w:w="100" w:type="dxa"/>
            </w:tcMar>
          </w:tcPr>
          <w:p>
            <w:pPr>
              <w:pStyle w:val="Meta"/>
            </w:pPr>
            <w:r>
              <w:rPr/>
              <w:t xml:space="preserve">Harmonisierung der Kennzahlen, Umsatz, Marge, Standardkosten, Nachvollziehbarkeit und Nachweisführung</w:t>
            </w:r>
          </w:p>
        </w:tc>
      </w:tr>
      <w:tr>
        <w:tc>
          <w:tcPr>
            <w:tcW w:w="1700" w:type="pct"/>
            <w:shd w:val="clear" w:fill="FFFFFF"/>
            <w:tcMar>
              <w:top w:w="80" w:type="dxa"/>
              <w:left w:w="100" w:type="dxa"/>
              <w:bottom w:w="80" w:type="dxa"/>
              <w:right w:w="100" w:type="dxa"/>
            </w:tcMar>
          </w:tcPr>
          <w:p>
            <w:pPr>
              <w:pStyle w:val="Meta"/>
            </w:pPr>
            <w:r>
              <w:rPr>
                <w:b/>
              </w:rPr>
              <w:t xml:space="preserve">Personalauswertung</w:t>
            </w:r>
          </w:p>
        </w:tc>
        <w:tc>
          <w:tcPr>
            <w:tcW w:w="3300" w:type="pct"/>
            <w:shd w:val="clear" w:fill="FFFFFF"/>
            <w:tcMar>
              <w:top w:w="80" w:type="dxa"/>
              <w:left w:w="100" w:type="dxa"/>
              <w:bottom w:w="80" w:type="dxa"/>
              <w:right w:w="100" w:type="dxa"/>
            </w:tcMar>
          </w:tcPr>
          <w:p>
            <w:pPr>
              <w:pStyle w:val="Meta"/>
            </w:pPr>
            <w:r>
              <w:rPr/>
              <w:t xml:space="preserve">Auswertung und Darstellung der Personaldaten, Fluktuation und Absenzen; getrennte Zugriffsrechte</w:t>
            </w:r>
          </w:p>
        </w:tc>
      </w:tr>
      <w:tr>
        <w:tc>
          <w:tcPr>
            <w:tcW w:w="1700" w:type="pct"/>
            <w:shd w:val="clear" w:fill="F4F7FB"/>
            <w:tcMar>
              <w:top w:w="80" w:type="dxa"/>
              <w:left w:w="100" w:type="dxa"/>
              <w:bottom w:w="80" w:type="dxa"/>
              <w:right w:w="100" w:type="dxa"/>
            </w:tcMar>
          </w:tcPr>
          <w:p>
            <w:pPr>
              <w:pStyle w:val="Meta"/>
            </w:pPr>
            <w:r>
              <w:rPr>
                <w:b/>
              </w:rPr>
              <w:t xml:space="preserve">Einkaufsauswertung</w:t>
            </w:r>
          </w:p>
        </w:tc>
        <w:tc>
          <w:tcPr>
            <w:tcW w:w="3300" w:type="pct"/>
            <w:shd w:val="clear" w:fill="F4F7FB"/>
            <w:tcMar>
              <w:top w:w="80" w:type="dxa"/>
              <w:left w:w="100" w:type="dxa"/>
              <w:bottom w:w="80" w:type="dxa"/>
              <w:right w:w="100" w:type="dxa"/>
            </w:tcMar>
          </w:tcPr>
          <w:p>
            <w:pPr>
              <w:pStyle w:val="Meta"/>
            </w:pPr>
            <w:r>
              <w:rPr/>
              <w:t xml:space="preserve">Einkaufsvolumen je Lieferant und Jahr, offene Bestellungen, Disposition, Produkt- und Warengruppen</w:t>
            </w:r>
          </w:p>
        </w:tc>
      </w:tr>
      <w:tr>
        <w:tc>
          <w:tcPr>
            <w:tcW w:w="1700" w:type="pct"/>
            <w:shd w:val="clear" w:fill="FFFFFF"/>
            <w:tcMar>
              <w:top w:w="80" w:type="dxa"/>
              <w:left w:w="100" w:type="dxa"/>
              <w:bottom w:w="80" w:type="dxa"/>
              <w:right w:w="100" w:type="dxa"/>
            </w:tcMar>
          </w:tcPr>
          <w:p>
            <w:pPr>
              <w:pStyle w:val="Meta"/>
            </w:pPr>
            <w:r>
              <w:rPr>
                <w:b/>
              </w:rPr>
              <w:t xml:space="preserve">Auswertungsplattform</w:t>
            </w:r>
          </w:p>
        </w:tc>
        <w:tc>
          <w:tcPr>
            <w:tcW w:w="3300" w:type="pct"/>
            <w:shd w:val="clear" w:fill="FFFFFF"/>
            <w:tcMar>
              <w:top w:w="80" w:type="dxa"/>
              <w:left w:w="100" w:type="dxa"/>
              <w:bottom w:w="80" w:type="dxa"/>
              <w:right w:w="100" w:type="dxa"/>
            </w:tcMar>
          </w:tcPr>
          <w:p>
            <w:pPr>
              <w:pStyle w:val="Meta"/>
            </w:pPr>
            <w:r>
              <w:rPr/>
              <w:t xml:space="preserve">Betrieb, Weiterentwicklung, Bereitstellung auf dem Server und Datenqualität</w:t>
            </w:r>
          </w:p>
        </w:tc>
      </w:tr>
      <w:tr>
        <w:tc>
          <w:tcPr>
            <w:tcW w:w="1700" w:type="pct"/>
            <w:shd w:val="clear" w:fill="F4F7FB"/>
            <w:tcMar>
              <w:top w:w="80" w:type="dxa"/>
              <w:left w:w="100" w:type="dxa"/>
              <w:bottom w:w="80" w:type="dxa"/>
              <w:right w:w="100" w:type="dxa"/>
            </w:tcMar>
          </w:tcPr>
          <w:p>
            <w:pPr>
              <w:pStyle w:val="Meta"/>
            </w:pPr>
            <w:r>
              <w:rPr>
                <w:b/>
              </w:rPr>
              <w:t xml:space="preserve">Innovation und Modernisierung</w:t>
            </w:r>
          </w:p>
        </w:tc>
        <w:tc>
          <w:tcPr>
            <w:tcW w:w="3300" w:type="pct"/>
            <w:shd w:val="clear" w:fill="F4F7FB"/>
            <w:tcMar>
              <w:top w:w="80" w:type="dxa"/>
              <w:left w:w="100" w:type="dxa"/>
              <w:bottom w:w="80" w:type="dxa"/>
              <w:right w:w="100" w:type="dxa"/>
            </w:tcMar>
          </w:tcPr>
          <w:p>
            <w:pPr>
              <w:pStyle w:val="Meta"/>
            </w:pPr>
            <w:r>
              <w:rPr/>
              <w:t xml:space="preserve">KI-gestützte Softwareentwicklung, CDS-Views und die Weiterentwicklung der Datenlandschaft im Rahmen der Digitalisierungsstrategie</w:t>
            </w:r>
          </w:p>
        </w:tc>
      </w:tr>
    </w:tbl>
    <w:p>
      <w:pPr>
        <w:pStyle w:val="Meta"/>
        <w:spacing w:after="0" w:line="160" w:lineRule="exact"/>
      </w:pPr>
    </w:p>
    <w:p>
      <w:pPr>
        <w:pStyle w:val="Heading2"/>
      </w:pPr>
      <w:r>
        <w:rPr/>
        <w:t xml:space="preserve">3.2 Nicht in meiner Verantwortung</w:t>
      </w:r>
    </w:p>
    <w:tbl>
      <w:tblPr>
        <w:tblW w:w="5000" w:type="pct"/>
        <w:tblBorders>
          <w:top w:val="single" w:color="B4C6E7" w:sz="4"/>
          <w:left w:val="single" w:color="B4C6E7" w:sz="4"/>
          <w:bottom w:val="single" w:color="B4C6E7" w:sz="4"/>
          <w:right w:val="single" w:color="B4C6E7" w:sz="4"/>
          <w:insideH w:val="single" w:color="D9E2F3" w:sz="3"/>
          <w:insideV w:val="single" w:color="D9E2F3" w:sz="3"/>
        </w:tblBorders>
      </w:tblPr>
      <w:tblGrid>
        <w:gridCol w:w="3200"/>
        <w:gridCol w:w="1800"/>
      </w:tblGrid>
      <w:tr>
        <w:trPr>
          <w:tblHeader/>
        </w:trPr>
        <w:tc>
          <w:tcPr>
            <w:tcW w:w="3200" w:type="pct"/>
            <w:shd w:val="clear" w:fill="17365D"/>
            <w:tcMar>
              <w:top w:w="80" w:type="dxa"/>
              <w:left w:w="100" w:type="dxa"/>
              <w:bottom w:w="80" w:type="dxa"/>
              <w:right w:w="100" w:type="dxa"/>
            </w:tcMar>
          </w:tcPr>
          <w:p>
            <w:pPr>
              <w:pStyle w:val="Meta"/>
            </w:pPr>
            <w:r>
              <w:rPr>
                <w:b/>
                <w:color w:val="FFFFFF"/>
              </w:rPr>
              <w:t xml:space="preserve">Thema</w:t>
            </w:r>
          </w:p>
        </w:tc>
        <w:tc>
          <w:tcPr>
            <w:tcW w:w="1800" w:type="pct"/>
            <w:shd w:val="clear" w:fill="17365D"/>
            <w:tcMar>
              <w:top w:w="80" w:type="dxa"/>
              <w:left w:w="100" w:type="dxa"/>
              <w:bottom w:w="80" w:type="dxa"/>
              <w:right w:w="100" w:type="dxa"/>
            </w:tcMar>
          </w:tcPr>
          <w:p>
            <w:pPr>
              <w:pStyle w:val="Meta"/>
            </w:pPr>
            <w:r>
              <w:rPr>
                <w:b/>
                <w:color w:val="FFFFFF"/>
              </w:rPr>
              <w:t xml:space="preserve">Liegt bei</w:t>
            </w:r>
          </w:p>
        </w:tc>
      </w:tr>
      <w:tr>
        <w:tc>
          <w:tcPr>
            <w:tcW w:w="3200" w:type="pct"/>
            <w:shd w:val="clear" w:fill="FFFFFF"/>
            <w:tcMar>
              <w:top w:w="80" w:type="dxa"/>
              <w:left w:w="100" w:type="dxa"/>
              <w:bottom w:w="80" w:type="dxa"/>
              <w:right w:w="100" w:type="dxa"/>
            </w:tcMar>
          </w:tcPr>
          <w:p>
            <w:pPr>
              <w:pStyle w:val="Meta"/>
            </w:pPr>
            <w:r>
              <w:rPr>
                <w:b/>
              </w:rPr>
              <w:t xml:space="preserve">S/4HANA-Verträglichkeitsprüfung und die Abschaltung der Fernaufrufe, rund 30 betroffene SAP-Anwendungen. Die ABAP-Entwicklung selbst liegt bei mir (Abschnitt 2.1); hier geht es um das Migrationsprojekt und die Abschaltungen.</w:t>
            </w:r>
          </w:p>
        </w:tc>
        <w:tc>
          <w:tcPr>
            <w:tcW w:w="1800" w:type="pct"/>
            <w:shd w:val="clear" w:fill="FFFFFF"/>
            <w:tcMar>
              <w:top w:w="80" w:type="dxa"/>
              <w:left w:w="100" w:type="dxa"/>
              <w:bottom w:w="80" w:type="dxa"/>
              <w:right w:w="100" w:type="dxa"/>
            </w:tcMar>
          </w:tcPr>
          <w:p>
            <w:pPr>
              <w:pStyle w:val="Meta"/>
            </w:pPr>
            <w:r>
              <w:rPr/>
              <w:t xml:space="preserve">Lucas</w:t>
            </w:r>
          </w:p>
        </w:tc>
      </w:tr>
      <w:tr>
        <w:tc>
          <w:tcPr>
            <w:tcW w:w="3200" w:type="pct"/>
            <w:shd w:val="clear" w:fill="F4F7FB"/>
            <w:tcMar>
              <w:top w:w="80" w:type="dxa"/>
              <w:left w:w="100" w:type="dxa"/>
              <w:bottom w:w="80" w:type="dxa"/>
              <w:right w:w="100" w:type="dxa"/>
            </w:tcMar>
          </w:tcPr>
          <w:p>
            <w:pPr>
              <w:pStyle w:val="Meta"/>
            </w:pPr>
            <w:r>
              <w:rPr>
                <w:b/>
              </w:rPr>
              <w:t xml:space="preserve">SAP Business One als Server- und Anwendungsprojekt</w:t>
            </w:r>
          </w:p>
        </w:tc>
        <w:tc>
          <w:tcPr>
            <w:tcW w:w="1800" w:type="pct"/>
            <w:shd w:val="clear" w:fill="F4F7FB"/>
            <w:tcMar>
              <w:top w:w="80" w:type="dxa"/>
              <w:left w:w="100" w:type="dxa"/>
              <w:bottom w:w="80" w:type="dxa"/>
              <w:right w:w="100" w:type="dxa"/>
            </w:tcMar>
          </w:tcPr>
          <w:p>
            <w:pPr>
              <w:pStyle w:val="Meta"/>
            </w:pPr>
            <w:r>
              <w:rPr/>
              <w:t xml:space="preserve">Lucas, Upgreat, NTT beziehungsweise ANG</w:t>
            </w:r>
          </w:p>
        </w:tc>
      </w:tr>
      <w:tr>
        <w:tc>
          <w:tcPr>
            <w:tcW w:w="3200" w:type="pct"/>
            <w:shd w:val="clear" w:fill="FFFFFF"/>
            <w:tcMar>
              <w:top w:w="80" w:type="dxa"/>
              <w:left w:w="100" w:type="dxa"/>
              <w:bottom w:w="80" w:type="dxa"/>
              <w:right w:w="100" w:type="dxa"/>
            </w:tcMar>
          </w:tcPr>
          <w:p>
            <w:pPr>
              <w:pStyle w:val="Meta"/>
            </w:pPr>
            <w:r>
              <w:rPr>
                <w:b/>
              </w:rPr>
              <w:t xml:space="preserve">Netzwerk, Server, Sicherheit und Infrastrukturerneuerung</w:t>
            </w:r>
          </w:p>
        </w:tc>
        <w:tc>
          <w:tcPr>
            <w:tcW w:w="1800" w:type="pct"/>
            <w:shd w:val="clear" w:fill="FFFFFF"/>
            <w:tcMar>
              <w:top w:w="80" w:type="dxa"/>
              <w:left w:w="100" w:type="dxa"/>
              <w:bottom w:w="80" w:type="dxa"/>
              <w:right w:w="100" w:type="dxa"/>
            </w:tcMar>
          </w:tcPr>
          <w:p>
            <w:pPr>
              <w:pStyle w:val="Meta"/>
            </w:pPr>
            <w:r>
              <w:rPr/>
              <w:t xml:space="preserve">Alex, Ramon, Upgreat und die Infrastrukturpartner</w:t>
            </w:r>
          </w:p>
        </w:tc>
      </w:tr>
      <w:tr>
        <w:tc>
          <w:tcPr>
            <w:tcW w:w="3200" w:type="pct"/>
            <w:shd w:val="clear" w:fill="F4F7FB"/>
            <w:tcMar>
              <w:top w:w="80" w:type="dxa"/>
              <w:left w:w="100" w:type="dxa"/>
              <w:bottom w:w="80" w:type="dxa"/>
              <w:right w:w="100" w:type="dxa"/>
            </w:tcMar>
          </w:tcPr>
          <w:p>
            <w:pPr>
              <w:pStyle w:val="Meta"/>
            </w:pPr>
            <w:r>
              <w:rPr>
                <w:b/>
              </w:rPr>
              <w:t xml:space="preserve">Fachliche Freigabe von Finanz- und Personalkennzahlen</w:t>
            </w:r>
          </w:p>
        </w:tc>
        <w:tc>
          <w:tcPr>
            <w:tcW w:w="1800" w:type="pct"/>
            <w:shd w:val="clear" w:fill="F4F7FB"/>
            <w:tcMar>
              <w:top w:w="80" w:type="dxa"/>
              <w:left w:w="100" w:type="dxa"/>
              <w:bottom w:w="80" w:type="dxa"/>
              <w:right w:w="100" w:type="dxa"/>
            </w:tcMar>
          </w:tcPr>
          <w:p>
            <w:pPr>
              <w:pStyle w:val="Meta"/>
            </w:pPr>
            <w:r>
              <w:rPr/>
              <w:t xml:space="preserve">Andreas Stoller (Finanzen), Sonja (Personal)</w:t>
            </w:r>
          </w:p>
        </w:tc>
      </w:tr>
      <w:tr>
        <w:tc>
          <w:tcPr>
            <w:tcW w:w="3200" w:type="pct"/>
            <w:shd w:val="clear" w:fill="FFFFFF"/>
            <w:tcMar>
              <w:top w:w="80" w:type="dxa"/>
              <w:left w:w="100" w:type="dxa"/>
              <w:bottom w:w="80" w:type="dxa"/>
              <w:right w:w="100" w:type="dxa"/>
            </w:tcMar>
          </w:tcPr>
          <w:p>
            <w:pPr>
              <w:pStyle w:val="Meta"/>
            </w:pPr>
            <w:r>
              <w:rPr>
                <w:b/>
              </w:rPr>
              <w:t xml:space="preserve">Zuordnung von Kunden zu Marktsegmenten</w:t>
            </w:r>
          </w:p>
        </w:tc>
        <w:tc>
          <w:tcPr>
            <w:tcW w:w="1800" w:type="pct"/>
            <w:shd w:val="clear" w:fill="FFFFFF"/>
            <w:tcMar>
              <w:top w:w="80" w:type="dxa"/>
              <w:left w:w="100" w:type="dxa"/>
              <w:bottom w:w="80" w:type="dxa"/>
              <w:right w:w="100" w:type="dxa"/>
            </w:tcMar>
          </w:tcPr>
          <w:p>
            <w:pPr>
              <w:pStyle w:val="Meta"/>
            </w:pPr>
            <w:r>
              <w:rPr/>
              <w:t xml:space="preserve">Patrik, Verkauf</w:t>
            </w:r>
          </w:p>
        </w:tc>
      </w:tr>
    </w:tbl>
    <w:p>
      <w:pPr>
        <w:pStyle w:val="Meta"/>
        <w:spacing w:after="0" w:line="160" w:lineRule="exact"/>
      </w:pPr>
    </w:p>
    <w:p>
      <w:pPr>
        <w:pStyle w:val="Heading1"/>
      </w:pPr>
      <w:r>
        <w:rPr/>
        <w:t xml:space="preserve">4. Der einzige harte Termin: 08.09.2026</w:t>
      </w:r>
    </w:p>
    <w:p>
      <w:pPr>
        <w:pStyle w:val="BodyText"/>
      </w:pPr>
      <w:r>
        <w:rPr/>
        <w:t xml:space="preserve">Rohail Munir aus Deutschland hat am 27.08.2026 eine Auswertung angefragt, wie viel Umsatz der Konzern mit der Bahnindustrie macht. Er braucht sie bis zum 08.09.2026 für eine Präsentation zum Projektstand. Das ist der einzige zugesagte Termin in meinem Bereich.</w:t>
      </w:r>
    </w:p>
    <w:p>
      <w:pPr>
        <w:pStyle w:val="BodyText"/>
      </w:pPr>
      <w:r>
        <w:rPr/>
        <w:t xml:space="preserve">Die technische Seite ist fertig und seit dem 13.08.2026 produktiv; seit dem 01.09.2026 gibt es zusätzlich einen Excel-Export auf Knopfdruck. Zwei Dinge fehlen, und beide liegen nicht bei mir.</w:t>
      </w:r>
    </w:p>
    <w:p>
      <w:pPr>
        <w:pStyle w:val="BodyText"/>
      </w:pPr>
      <w:r>
        <w:rPr/>
        <w:t xml:space="preserve">Erstens muss der Verkauf bestätigen, welche Kunden zur Bahnindustrie gehören. Die Zuordnung hängt am Kunden und nicht am Produkt, weil derselbe Drucktransmitter in einen Zug oder in eine Werkzeugmaschine gehen kann. Es liegen 173 maschinelle Vorschläge vor, bestätigt ist bisher keiner. Ich bestätige sie bewusst nicht stellvertretend, weil das eine Verkaufsentscheidung ist.</w:t>
      </w:r>
    </w:p>
    <w:p>
      <w:pPr>
        <w:pStyle w:val="BodyText"/>
      </w:pPr>
      <w:r>
        <w:rPr/>
        <w:t xml:space="preserve">Zweitens fehlen für Deutschland die Kundennamen. Das ist ausdrücklich eine Lücke in unserer eigenen Abfrage und kein Versäumnis des Standorts: Die Abfrage liest die Adressnummer, löst sie aber nie zu einem Namen auf. Deshalb konnte der Namensabgleich für Deutschland nichts finden. Dafür brauche ich einen lesenden Auszug der Tabellenstruktur aus der deutschen Datenbank.</w:t>
      </w:r>
    </w:p>
    <w:p>
      <w:pPr>
        <w:pStyle w:val="BodyText"/>
      </w:pPr>
      <w:r>
        <w:rPr/>
        <w:t xml:space="preserve">Meine Empfehlung ist, Herrn Munir jetzt schon zu sagen, dass Deutschland möglicherweise fehlt. Eine Auswertung, die Deutschland stillschweigend mit null Bahnumsatz zeigt, wäre in einer Präsentation schlechter als eine, die die Lücke offen benennt.</w:t>
      </w:r>
    </w:p>
    <w:tbl>
      <w:tblPr>
        <w:tblW w:w="5000" w:type="pct"/>
        <w:tblBorders>
          <w:top w:val="single" w:color="B4C6E7" w:sz="4"/>
          <w:left w:val="single" w:color="B4C6E7" w:sz="4"/>
          <w:bottom w:val="single" w:color="B4C6E7" w:sz="4"/>
          <w:right w:val="single" w:color="B4C6E7" w:sz="4"/>
          <w:insideH w:val="single" w:color="D9E2F3" w:sz="3"/>
          <w:insideV w:val="single" w:color="D9E2F3" w:sz="3"/>
        </w:tblBorders>
      </w:tblPr>
      <w:tblGrid>
        <w:gridCol w:w="1900"/>
        <w:gridCol w:w="3100"/>
      </w:tblGrid>
      <w:tr>
        <w:trPr>
          <w:tblHeader/>
        </w:trPr>
        <w:tc>
          <w:tcPr>
            <w:tcW w:w="1900" w:type="pct"/>
            <w:shd w:val="clear" w:fill="17365D"/>
            <w:tcMar>
              <w:top w:w="80" w:type="dxa"/>
              <w:left w:w="100" w:type="dxa"/>
              <w:bottom w:w="80" w:type="dxa"/>
              <w:right w:w="100" w:type="dxa"/>
            </w:tcMar>
          </w:tcPr>
          <w:p>
            <w:pPr>
              <w:pStyle w:val="Meta"/>
            </w:pPr>
            <w:r>
              <w:rPr>
                <w:b/>
                <w:color w:val="FFFFFF"/>
              </w:rPr>
              <w:t xml:space="preserve">Punkt</w:t>
            </w:r>
          </w:p>
        </w:tc>
        <w:tc>
          <w:tcPr>
            <w:tcW w:w="3100" w:type="pct"/>
            <w:shd w:val="clear" w:fill="17365D"/>
            <w:tcMar>
              <w:top w:w="80" w:type="dxa"/>
              <w:left w:w="100" w:type="dxa"/>
              <w:bottom w:w="80" w:type="dxa"/>
              <w:right w:w="100" w:type="dxa"/>
            </w:tcMar>
          </w:tcPr>
          <w:p>
            <w:pPr>
              <w:pStyle w:val="Meta"/>
            </w:pPr>
            <w:r>
              <w:rPr>
                <w:b/>
                <w:color w:val="FFFFFF"/>
              </w:rPr>
              <w:t xml:space="preserve">Stand am 01.09.2026</w:t>
            </w:r>
          </w:p>
        </w:tc>
      </w:tr>
      <w:tr>
        <w:tc>
          <w:tcPr>
            <w:tcW w:w="1900" w:type="pct"/>
            <w:shd w:val="clear" w:fill="FFFFFF"/>
            <w:tcMar>
              <w:top w:w="80" w:type="dxa"/>
              <w:left w:w="100" w:type="dxa"/>
              <w:bottom w:w="80" w:type="dxa"/>
              <w:right w:w="100" w:type="dxa"/>
            </w:tcMar>
          </w:tcPr>
          <w:p>
            <w:pPr>
              <w:pStyle w:val="Meta"/>
            </w:pPr>
            <w:r>
              <w:rPr>
                <w:b/>
              </w:rPr>
              <w:t xml:space="preserve">Zugesagter Termin</w:t>
            </w:r>
          </w:p>
        </w:tc>
        <w:tc>
          <w:tcPr>
            <w:tcW w:w="3100" w:type="pct"/>
            <w:shd w:val="clear" w:fill="FFFFFF"/>
            <w:tcMar>
              <w:top w:w="80" w:type="dxa"/>
              <w:left w:w="100" w:type="dxa"/>
              <w:bottom w:w="80" w:type="dxa"/>
              <w:right w:w="100" w:type="dxa"/>
            </w:tcMar>
          </w:tcPr>
          <w:p>
            <w:pPr>
              <w:pStyle w:val="Meta"/>
            </w:pPr>
            <w:r>
              <w:rPr/>
              <w:t xml:space="preserve">08.09.2026, angefragt am 27.08.2026 von Rohail Munir (Deutschland)</w:t>
            </w:r>
          </w:p>
        </w:tc>
      </w:tr>
      <w:tr>
        <w:tc>
          <w:tcPr>
            <w:tcW w:w="1900" w:type="pct"/>
            <w:shd w:val="clear" w:fill="F4F7FB"/>
            <w:tcMar>
              <w:top w:w="80" w:type="dxa"/>
              <w:left w:w="100" w:type="dxa"/>
              <w:bottom w:w="80" w:type="dxa"/>
              <w:right w:w="100" w:type="dxa"/>
            </w:tcMar>
          </w:tcPr>
          <w:p>
            <w:pPr>
              <w:pStyle w:val="Meta"/>
            </w:pPr>
            <w:r>
              <w:rPr>
                <w:b/>
              </w:rPr>
              <w:t xml:space="preserve">Technik</w:t>
            </w:r>
          </w:p>
        </w:tc>
        <w:tc>
          <w:tcPr>
            <w:tcW w:w="3100" w:type="pct"/>
            <w:shd w:val="clear" w:fill="F4F7FB"/>
            <w:tcMar>
              <w:top w:w="80" w:type="dxa"/>
              <w:left w:w="100" w:type="dxa"/>
              <w:bottom w:w="80" w:type="dxa"/>
              <w:right w:w="100" w:type="dxa"/>
            </w:tcMar>
          </w:tcPr>
          <w:p>
            <w:pPr>
              <w:pStyle w:val="Meta"/>
            </w:pPr>
            <w:r>
              <w:rPr/>
              <w:t xml:space="preserve">Fertig und produktiv seit 13.08.2026; Excel-Export seit 01.09.2026, 668 von 668 Freigabetests grün</w:t>
            </w:r>
          </w:p>
        </w:tc>
      </w:tr>
      <w:tr>
        <w:tc>
          <w:tcPr>
            <w:tcW w:w="1900" w:type="pct"/>
            <w:shd w:val="clear" w:fill="FFFFFF"/>
            <w:tcMar>
              <w:top w:w="80" w:type="dxa"/>
              <w:left w:w="100" w:type="dxa"/>
              <w:bottom w:w="80" w:type="dxa"/>
              <w:right w:w="100" w:type="dxa"/>
            </w:tcMar>
          </w:tcPr>
          <w:p>
            <w:pPr>
              <w:pStyle w:val="Meta"/>
            </w:pPr>
            <w:r>
              <w:rPr>
                <w:b/>
              </w:rPr>
              <w:t xml:space="preserve">Kundenvorschläge</w:t>
            </w:r>
          </w:p>
        </w:tc>
        <w:tc>
          <w:tcPr>
            <w:tcW w:w="3100" w:type="pct"/>
            <w:shd w:val="clear" w:fill="FFFFFF"/>
            <w:tcMar>
              <w:top w:w="80" w:type="dxa"/>
              <w:left w:w="100" w:type="dxa"/>
              <w:bottom w:w="80" w:type="dxa"/>
              <w:right w:w="100" w:type="dxa"/>
            </w:tcMar>
          </w:tcPr>
          <w:p>
            <w:pPr>
              <w:pStyle w:val="Meta"/>
            </w:pPr>
            <w:r>
              <w:rPr/>
              <w:t xml:space="preserve">173 Vorschläge über acht Standorte, davon 0 bestätigt</w:t>
            </w:r>
          </w:p>
        </w:tc>
      </w:tr>
      <w:tr>
        <w:tc>
          <w:tcPr>
            <w:tcW w:w="1900" w:type="pct"/>
            <w:shd w:val="clear" w:fill="F4F7FB"/>
            <w:tcMar>
              <w:top w:w="80" w:type="dxa"/>
              <w:left w:w="100" w:type="dxa"/>
              <w:bottom w:w="80" w:type="dxa"/>
              <w:right w:w="100" w:type="dxa"/>
            </w:tcMar>
          </w:tcPr>
          <w:p>
            <w:pPr>
              <w:pStyle w:val="Meta"/>
            </w:pPr>
            <w:r>
              <w:rPr>
                <w:b/>
              </w:rPr>
              <w:t xml:space="preserve">Deutschland</w:t>
            </w:r>
          </w:p>
        </w:tc>
        <w:tc>
          <w:tcPr>
            <w:tcW w:w="3100" w:type="pct"/>
            <w:shd w:val="clear" w:fill="F4F7FB"/>
            <w:tcMar>
              <w:top w:w="80" w:type="dxa"/>
              <w:left w:w="100" w:type="dxa"/>
              <w:bottom w:w="80" w:type="dxa"/>
              <w:right w:w="100" w:type="dxa"/>
            </w:tcMar>
          </w:tcPr>
          <w:p>
            <w:pPr>
              <w:pStyle w:val="Meta"/>
            </w:pPr>
            <w:r>
              <w:rPr/>
              <w:t xml:space="preserve">0 Vorschläge, weil bei allen 7'526 deutschen Verkaufszeilen der Kundenname fehlt (gemessen 27.08.2026)</w:t>
            </w:r>
          </w:p>
        </w:tc>
      </w:tr>
      <w:tr>
        <w:tc>
          <w:tcPr>
            <w:tcW w:w="1900" w:type="pct"/>
            <w:shd w:val="clear" w:fill="FFFFFF"/>
            <w:tcMar>
              <w:top w:w="80" w:type="dxa"/>
              <w:left w:w="100" w:type="dxa"/>
              <w:bottom w:w="80" w:type="dxa"/>
              <w:right w:w="100" w:type="dxa"/>
            </w:tcMar>
          </w:tcPr>
          <w:p>
            <w:pPr>
              <w:pStyle w:val="Meta"/>
            </w:pPr>
            <w:r>
              <w:rPr>
                <w:b/>
              </w:rPr>
              <w:t xml:space="preserve">Was fehlt</w:t>
            </w:r>
          </w:p>
        </w:tc>
        <w:tc>
          <w:tcPr>
            <w:tcW w:w="3100" w:type="pct"/>
            <w:shd w:val="clear" w:fill="FFFFFF"/>
            <w:tcMar>
              <w:top w:w="80" w:type="dxa"/>
              <w:left w:w="100" w:type="dxa"/>
              <w:bottom w:w="80" w:type="dxa"/>
              <w:right w:w="100" w:type="dxa"/>
            </w:tcMar>
          </w:tcPr>
          <w:p>
            <w:pPr>
              <w:pStyle w:val="Meta"/>
            </w:pPr>
            <w:r>
              <w:rPr/>
              <w:t xml:space="preserve">Bestätigung durch den Verkauf und ein lesender Auszug der deutschen Datenbankstruktur</w:t>
            </w:r>
          </w:p>
        </w:tc>
      </w:tr>
      <w:tr>
        <w:tc>
          <w:tcPr>
            <w:tcW w:w="1900" w:type="pct"/>
            <w:shd w:val="clear" w:fill="F4F7FB"/>
            <w:tcMar>
              <w:top w:w="80" w:type="dxa"/>
              <w:left w:w="100" w:type="dxa"/>
              <w:bottom w:w="80" w:type="dxa"/>
              <w:right w:w="100" w:type="dxa"/>
            </w:tcMar>
          </w:tcPr>
          <w:p>
            <w:pPr>
              <w:pStyle w:val="Meta"/>
            </w:pPr>
            <w:r>
              <w:rPr>
                <w:b/>
              </w:rPr>
              <w:t xml:space="preserve">Wenn nichts passiert</w:t>
            </w:r>
          </w:p>
        </w:tc>
        <w:tc>
          <w:tcPr>
            <w:tcW w:w="3100" w:type="pct"/>
            <w:shd w:val="clear" w:fill="F4F7FB"/>
            <w:tcMar>
              <w:top w:w="80" w:type="dxa"/>
              <w:left w:w="100" w:type="dxa"/>
              <w:bottom w:w="80" w:type="dxa"/>
              <w:right w:w="100" w:type="dxa"/>
            </w:tcMar>
          </w:tcPr>
          <w:p>
            <w:pPr>
              <w:pStyle w:val="Meta"/>
            </w:pPr>
            <w:r>
              <w:rPr/>
              <w:t xml:space="preserve">Die Auswertung bleibt leer; Deutschland fehlt in jedem Fall</w:t>
            </w:r>
          </w:p>
        </w:tc>
      </w:tr>
    </w:tbl>
    <w:p>
      <w:pPr>
        <w:pStyle w:val="Meta"/>
        <w:spacing w:after="0" w:line="160" w:lineRule="exact"/>
      </w:pPr>
    </w:p>
    <w:p>
      <w:pPr>
        <w:pStyle w:val="Heading1"/>
      </w:pPr>
      <w:r>
        <w:rPr/>
        <w:t xml:space="preserve">5. Wo ich einen Entscheid oder eine Zulieferung brauche</w:t>
      </w:r>
    </w:p>
    <w:p>
      <w:pPr>
        <w:pStyle w:val="BodyText"/>
      </w:pPr>
      <w:r>
        <w:rPr/>
        <w:t xml:space="preserve">Die folgenden acht Punkte sind technisch vorbereitet und warten auf eine fachliche Entscheidung oder auf eine Lieferung von aussen. Sie sind der Teil meiner Arbeit, den ich nicht allein abschliessen kann.</w:t>
      </w:r>
    </w:p>
    <w:tbl>
      <w:tblPr>
        <w:tblW w:w="5000" w:type="pct"/>
        <w:tblBorders>
          <w:top w:val="single" w:color="B4C6E7" w:sz="4"/>
          <w:left w:val="single" w:color="B4C6E7" w:sz="4"/>
          <w:bottom w:val="single" w:color="B4C6E7" w:sz="4"/>
          <w:right w:val="single" w:color="B4C6E7" w:sz="4"/>
          <w:insideH w:val="single" w:color="D9E2F3" w:sz="3"/>
          <w:insideV w:val="single" w:color="D9E2F3" w:sz="3"/>
        </w:tblBorders>
      </w:tblPr>
      <w:tblGrid>
        <w:gridCol w:w="800"/>
        <w:gridCol w:w="1500"/>
        <w:gridCol w:w="900"/>
        <w:gridCol w:w="650"/>
        <w:gridCol w:w="1150"/>
      </w:tblGrid>
      <w:tr>
        <w:trPr>
          <w:tblHeader/>
        </w:trPr>
        <w:tc>
          <w:tcPr>
            <w:tcW w:w="800" w:type="pct"/>
            <w:shd w:val="clear" w:fill="17365D"/>
            <w:tcMar>
              <w:top w:w="80" w:type="dxa"/>
              <w:left w:w="100" w:type="dxa"/>
              <w:bottom w:w="80" w:type="dxa"/>
              <w:right w:w="100" w:type="dxa"/>
            </w:tcMar>
          </w:tcPr>
          <w:p>
            <w:pPr>
              <w:pStyle w:val="Meta"/>
            </w:pPr>
            <w:r>
              <w:rPr>
                <w:b/>
                <w:color w:val="FFFFFF"/>
              </w:rPr>
              <w:t xml:space="preserve">Thema</w:t>
            </w:r>
          </w:p>
        </w:tc>
        <w:tc>
          <w:tcPr>
            <w:tcW w:w="1500" w:type="pct"/>
            <w:shd w:val="clear" w:fill="17365D"/>
            <w:tcMar>
              <w:top w:w="80" w:type="dxa"/>
              <w:left w:w="100" w:type="dxa"/>
              <w:bottom w:w="80" w:type="dxa"/>
              <w:right w:w="100" w:type="dxa"/>
            </w:tcMar>
          </w:tcPr>
          <w:p>
            <w:pPr>
              <w:pStyle w:val="Meta"/>
            </w:pPr>
            <w:r>
              <w:rPr>
                <w:b/>
                <w:color w:val="FFFFFF"/>
              </w:rPr>
              <w:t xml:space="preserve">Offene Frage</w:t>
            </w:r>
          </w:p>
        </w:tc>
        <w:tc>
          <w:tcPr>
            <w:tcW w:w="900" w:type="pct"/>
            <w:shd w:val="clear" w:fill="17365D"/>
            <w:tcMar>
              <w:top w:w="80" w:type="dxa"/>
              <w:left w:w="100" w:type="dxa"/>
              <w:bottom w:w="80" w:type="dxa"/>
              <w:right w:w="100" w:type="dxa"/>
            </w:tcMar>
          </w:tcPr>
          <w:p>
            <w:pPr>
              <w:pStyle w:val="Meta"/>
            </w:pPr>
            <w:r>
              <w:rPr>
                <w:b/>
                <w:color w:val="FFFFFF"/>
              </w:rPr>
              <w:t xml:space="preserve">Wer entscheidet</w:t>
            </w:r>
          </w:p>
        </w:tc>
        <w:tc>
          <w:tcPr>
            <w:tcW w:w="650" w:type="pct"/>
            <w:shd w:val="clear" w:fill="17365D"/>
            <w:tcMar>
              <w:top w:w="80" w:type="dxa"/>
              <w:left w:w="100" w:type="dxa"/>
              <w:bottom w:w="80" w:type="dxa"/>
              <w:right w:w="100" w:type="dxa"/>
            </w:tcMar>
          </w:tcPr>
          <w:p>
            <w:pPr>
              <w:pStyle w:val="Meta"/>
            </w:pPr>
            <w:r>
              <w:rPr>
                <w:b/>
                <w:color w:val="FFFFFF"/>
              </w:rPr>
              <w:t xml:space="preserve">Offen seit</w:t>
            </w:r>
          </w:p>
        </w:tc>
        <w:tc>
          <w:tcPr>
            <w:tcW w:w="1150" w:type="pct"/>
            <w:shd w:val="clear" w:fill="17365D"/>
            <w:tcMar>
              <w:top w:w="80" w:type="dxa"/>
              <w:left w:w="100" w:type="dxa"/>
              <w:bottom w:w="80" w:type="dxa"/>
              <w:right w:w="100" w:type="dxa"/>
            </w:tcMar>
          </w:tcPr>
          <w:p>
            <w:pPr>
              <w:pStyle w:val="Meta"/>
            </w:pPr>
            <w:r>
              <w:rPr>
                <w:b/>
                <w:color w:val="FFFFFF"/>
              </w:rPr>
              <w:t xml:space="preserve">Folge, wenn es offen bleibt</w:t>
            </w:r>
          </w:p>
        </w:tc>
      </w:tr>
      <w:tr>
        <w:tc>
          <w:tcPr>
            <w:tcW w:w="800" w:type="pct"/>
            <w:shd w:val="clear" w:fill="FFFFFF"/>
            <w:tcMar>
              <w:top w:w="80" w:type="dxa"/>
              <w:left w:w="100" w:type="dxa"/>
              <w:bottom w:w="80" w:type="dxa"/>
              <w:right w:w="100" w:type="dxa"/>
            </w:tcMar>
          </w:tcPr>
          <w:p>
            <w:pPr>
              <w:pStyle w:val="Meta"/>
            </w:pPr>
            <w:r>
              <w:rPr>
                <w:b/>
              </w:rPr>
              <w:t xml:space="preserve">Marktsegment Bahn</w:t>
            </w:r>
          </w:p>
        </w:tc>
        <w:tc>
          <w:tcPr>
            <w:tcW w:w="1500" w:type="pct"/>
            <w:shd w:val="clear" w:fill="FFFFFF"/>
            <w:tcMar>
              <w:top w:w="80" w:type="dxa"/>
              <w:left w:w="100" w:type="dxa"/>
              <w:bottom w:w="80" w:type="dxa"/>
              <w:right w:w="100" w:type="dxa"/>
            </w:tcMar>
          </w:tcPr>
          <w:p>
            <w:pPr>
              <w:pStyle w:val="Meta"/>
            </w:pPr>
            <w:r>
              <w:rPr/>
              <w:t xml:space="preserve">Welche Kunden gelten als Bahnindustrie? Gilt ein breit einkaufender Konzern wie Siemens pauschal als Bahn?</w:t>
            </w:r>
          </w:p>
        </w:tc>
        <w:tc>
          <w:tcPr>
            <w:tcW w:w="900" w:type="pct"/>
            <w:shd w:val="clear" w:fill="FFFFFF"/>
            <w:tcMar>
              <w:top w:w="80" w:type="dxa"/>
              <w:left w:w="100" w:type="dxa"/>
              <w:bottom w:w="80" w:type="dxa"/>
              <w:right w:w="100" w:type="dxa"/>
            </w:tcMar>
          </w:tcPr>
          <w:p>
            <w:pPr>
              <w:pStyle w:val="Meta"/>
            </w:pPr>
            <w:r>
              <w:rPr/>
              <w:t xml:space="preserve">Patrik, Verkauf</w:t>
            </w:r>
          </w:p>
        </w:tc>
        <w:tc>
          <w:tcPr>
            <w:tcW w:w="650" w:type="pct"/>
            <w:shd w:val="clear" w:fill="FFFFFF"/>
            <w:tcMar>
              <w:top w:w="80" w:type="dxa"/>
              <w:left w:w="100" w:type="dxa"/>
              <w:bottom w:w="80" w:type="dxa"/>
              <w:right w:w="100" w:type="dxa"/>
            </w:tcMar>
          </w:tcPr>
          <w:p>
            <w:pPr>
              <w:pStyle w:val="Meta"/>
            </w:pPr>
            <w:r>
              <w:rPr/>
              <w:t xml:space="preserve">13.08.2026</w:t>
            </w:r>
          </w:p>
        </w:tc>
        <w:tc>
          <w:tcPr>
            <w:tcW w:w="1150" w:type="pct"/>
            <w:shd w:val="clear" w:fill="FFFFFF"/>
            <w:tcMar>
              <w:top w:w="80" w:type="dxa"/>
              <w:left w:w="100" w:type="dxa"/>
              <w:bottom w:w="80" w:type="dxa"/>
              <w:right w:w="100" w:type="dxa"/>
            </w:tcMar>
          </w:tcPr>
          <w:p>
            <w:pPr>
              <w:pStyle w:val="Meta"/>
            </w:pPr>
            <w:r>
              <w:rPr/>
              <w:t xml:space="preserve">Die Auswertung zum 08.09.2026 bleibt leer</w:t>
            </w:r>
          </w:p>
        </w:tc>
      </w:tr>
      <w:tr>
        <w:tc>
          <w:tcPr>
            <w:tcW w:w="800" w:type="pct"/>
            <w:shd w:val="clear" w:fill="F4F7FB"/>
            <w:tcMar>
              <w:top w:w="80" w:type="dxa"/>
              <w:left w:w="100" w:type="dxa"/>
              <w:bottom w:w="80" w:type="dxa"/>
              <w:right w:w="100" w:type="dxa"/>
            </w:tcMar>
          </w:tcPr>
          <w:p>
            <w:pPr>
              <w:pStyle w:val="Meta"/>
            </w:pPr>
            <w:r>
              <w:rPr>
                <w:b/>
              </w:rPr>
              <w:t xml:space="preserve">Kundennamen Deutschland</w:t>
            </w:r>
          </w:p>
        </w:tc>
        <w:tc>
          <w:tcPr>
            <w:tcW w:w="1500" w:type="pct"/>
            <w:shd w:val="clear" w:fill="F4F7FB"/>
            <w:tcMar>
              <w:top w:w="80" w:type="dxa"/>
              <w:left w:w="100" w:type="dxa"/>
              <w:bottom w:w="80" w:type="dxa"/>
              <w:right w:w="100" w:type="dxa"/>
            </w:tcMar>
          </w:tcPr>
          <w:p>
            <w:pPr>
              <w:pStyle w:val="Meta"/>
            </w:pPr>
            <w:r>
              <w:rPr/>
              <w:t xml:space="preserve">Lesender Auszug der Tabellenstruktur aus der deutschen Datenbank, damit unsere Abfrage die Namen auflösen kann</w:t>
            </w:r>
          </w:p>
        </w:tc>
        <w:tc>
          <w:tcPr>
            <w:tcW w:w="900" w:type="pct"/>
            <w:shd w:val="clear" w:fill="F4F7FB"/>
            <w:tcMar>
              <w:top w:w="80" w:type="dxa"/>
              <w:left w:w="100" w:type="dxa"/>
              <w:bottom w:w="80" w:type="dxa"/>
              <w:right w:w="100" w:type="dxa"/>
            </w:tcMar>
          </w:tcPr>
          <w:p>
            <w:pPr>
              <w:pStyle w:val="Meta"/>
            </w:pPr>
            <w:r>
              <w:rPr/>
              <w:t xml:space="preserve">Deutschland / IT</w:t>
            </w:r>
          </w:p>
        </w:tc>
        <w:tc>
          <w:tcPr>
            <w:tcW w:w="650" w:type="pct"/>
            <w:shd w:val="clear" w:fill="F4F7FB"/>
            <w:tcMar>
              <w:top w:w="80" w:type="dxa"/>
              <w:left w:w="100" w:type="dxa"/>
              <w:bottom w:w="80" w:type="dxa"/>
              <w:right w:w="100" w:type="dxa"/>
            </w:tcMar>
          </w:tcPr>
          <w:p>
            <w:pPr>
              <w:pStyle w:val="Meta"/>
            </w:pPr>
            <w:r>
              <w:rPr/>
              <w:t xml:space="preserve">27.08.2026</w:t>
            </w:r>
          </w:p>
        </w:tc>
        <w:tc>
          <w:tcPr>
            <w:tcW w:w="1150" w:type="pct"/>
            <w:shd w:val="clear" w:fill="F4F7FB"/>
            <w:tcMar>
              <w:top w:w="80" w:type="dxa"/>
              <w:left w:w="100" w:type="dxa"/>
              <w:bottom w:w="80" w:type="dxa"/>
              <w:right w:w="100" w:type="dxa"/>
            </w:tcMar>
          </w:tcPr>
          <w:p>
            <w:pPr>
              <w:pStyle w:val="Meta"/>
            </w:pPr>
            <w:r>
              <w:rPr/>
              <w:t xml:space="preserve">Deutschland fehlt in jeder kundenbezogenen Auswertung</w:t>
            </w:r>
          </w:p>
        </w:tc>
      </w:tr>
      <w:tr>
        <w:tc>
          <w:tcPr>
            <w:tcW w:w="800" w:type="pct"/>
            <w:shd w:val="clear" w:fill="FFFFFF"/>
            <w:tcMar>
              <w:top w:w="80" w:type="dxa"/>
              <w:left w:w="100" w:type="dxa"/>
              <w:bottom w:w="80" w:type="dxa"/>
              <w:right w:w="100" w:type="dxa"/>
            </w:tcMar>
          </w:tcPr>
          <w:p>
            <w:pPr>
              <w:pStyle w:val="Meta"/>
            </w:pPr>
            <w:r>
              <w:rPr>
                <w:b/>
              </w:rPr>
              <w:t xml:space="preserve">Gruppenmarge</w:t>
            </w:r>
          </w:p>
        </w:tc>
        <w:tc>
          <w:tcPr>
            <w:tcW w:w="1500" w:type="pct"/>
            <w:shd w:val="clear" w:fill="FFFFFF"/>
            <w:tcMar>
              <w:top w:w="80" w:type="dxa"/>
              <w:left w:w="100" w:type="dxa"/>
              <w:bottom w:w="80" w:type="dxa"/>
              <w:right w:w="100" w:type="dxa"/>
            </w:tcMar>
          </w:tcPr>
          <w:p>
            <w:pPr>
              <w:pStyle w:val="Meta"/>
            </w:pPr>
            <w:r>
              <w:rPr/>
              <w:t xml:space="preserve">Freigabe der Gruppenmarge als führender Abschlusswert</w:t>
            </w:r>
          </w:p>
        </w:tc>
        <w:tc>
          <w:tcPr>
            <w:tcW w:w="900" w:type="pct"/>
            <w:shd w:val="clear" w:fill="FFFFFF"/>
            <w:tcMar>
              <w:top w:w="80" w:type="dxa"/>
              <w:left w:w="100" w:type="dxa"/>
              <w:bottom w:w="80" w:type="dxa"/>
              <w:right w:w="100" w:type="dxa"/>
            </w:tcMar>
          </w:tcPr>
          <w:p>
            <w:pPr>
              <w:pStyle w:val="Meta"/>
            </w:pPr>
            <w:r>
              <w:rPr/>
              <w:t xml:space="preserve">Andreas Stoller</w:t>
            </w:r>
          </w:p>
        </w:tc>
        <w:tc>
          <w:tcPr>
            <w:tcW w:w="650" w:type="pct"/>
            <w:shd w:val="clear" w:fill="FFFFFF"/>
            <w:tcMar>
              <w:top w:w="80" w:type="dxa"/>
              <w:left w:w="100" w:type="dxa"/>
              <w:bottom w:w="80" w:type="dxa"/>
              <w:right w:w="100" w:type="dxa"/>
            </w:tcMar>
          </w:tcPr>
          <w:p>
            <w:pPr>
              <w:pStyle w:val="Meta"/>
            </w:pPr>
            <w:r>
              <w:rPr/>
              <w:t xml:space="preserve">laufend</w:t>
            </w:r>
          </w:p>
        </w:tc>
        <w:tc>
          <w:tcPr>
            <w:tcW w:w="1150" w:type="pct"/>
            <w:shd w:val="clear" w:fill="FFFFFF"/>
            <w:tcMar>
              <w:top w:w="80" w:type="dxa"/>
              <w:left w:w="100" w:type="dxa"/>
              <w:bottom w:w="80" w:type="dxa"/>
              <w:right w:w="100" w:type="dxa"/>
            </w:tcMar>
          </w:tcPr>
          <w:p>
            <w:pPr>
              <w:pStyle w:val="Meta"/>
            </w:pPr>
            <w:r>
              <w:rPr/>
              <w:t xml:space="preserve">Die Marge bleibt ein Diagnosewert und keine offizielle Kennzahl</w:t>
            </w:r>
          </w:p>
        </w:tc>
      </w:tr>
      <w:tr>
        <w:tc>
          <w:tcPr>
            <w:tcW w:w="800" w:type="pct"/>
            <w:shd w:val="clear" w:fill="F4F7FB"/>
            <w:tcMar>
              <w:top w:w="80" w:type="dxa"/>
              <w:left w:w="100" w:type="dxa"/>
              <w:bottom w:w="80" w:type="dxa"/>
              <w:right w:w="100" w:type="dxa"/>
            </w:tcMar>
          </w:tcPr>
          <w:p>
            <w:pPr>
              <w:pStyle w:val="Meta"/>
            </w:pPr>
            <w:r>
              <w:rPr>
                <w:b/>
              </w:rPr>
              <w:t xml:space="preserve">Umsatzbegriff</w:t>
            </w:r>
          </w:p>
        </w:tc>
        <w:tc>
          <w:tcPr>
            <w:tcW w:w="1500" w:type="pct"/>
            <w:shd w:val="clear" w:fill="F4F7FB"/>
            <w:tcMar>
              <w:top w:w="80" w:type="dxa"/>
              <w:left w:w="100" w:type="dxa"/>
              <w:bottom w:w="80" w:type="dxa"/>
              <w:right w:w="100" w:type="dxa"/>
            </w:tcMar>
          </w:tcPr>
          <w:p>
            <w:pPr>
              <w:pStyle w:val="Meta"/>
            </w:pPr>
            <w:r>
              <w:rPr/>
              <w:t xml:space="preserve">Führende Kennzahl: Summe der Standortumsätze einschliesslich Innenumsatz oder konsolidierter Aussenumsatz der Gruppe?</w:t>
            </w:r>
          </w:p>
        </w:tc>
        <w:tc>
          <w:tcPr>
            <w:tcW w:w="900" w:type="pct"/>
            <w:shd w:val="clear" w:fill="F4F7FB"/>
            <w:tcMar>
              <w:top w:w="80" w:type="dxa"/>
              <w:left w:w="100" w:type="dxa"/>
              <w:bottom w:w="80" w:type="dxa"/>
              <w:right w:w="100" w:type="dxa"/>
            </w:tcMar>
          </w:tcPr>
          <w:p>
            <w:pPr>
              <w:pStyle w:val="Meta"/>
            </w:pPr>
            <w:r>
              <w:rPr/>
              <w:t xml:space="preserve">Andreas Stoller</w:t>
            </w:r>
          </w:p>
        </w:tc>
        <w:tc>
          <w:tcPr>
            <w:tcW w:w="650" w:type="pct"/>
            <w:shd w:val="clear" w:fill="F4F7FB"/>
            <w:tcMar>
              <w:top w:w="80" w:type="dxa"/>
              <w:left w:w="100" w:type="dxa"/>
              <w:bottom w:w="80" w:type="dxa"/>
              <w:right w:w="100" w:type="dxa"/>
            </w:tcMar>
          </w:tcPr>
          <w:p>
            <w:pPr>
              <w:pStyle w:val="Meta"/>
            </w:pPr>
            <w:r>
              <w:rPr/>
              <w:t xml:space="preserve">02.09.2026</w:t>
            </w:r>
          </w:p>
        </w:tc>
        <w:tc>
          <w:tcPr>
            <w:tcW w:w="1150" w:type="pct"/>
            <w:shd w:val="clear" w:fill="F4F7FB"/>
            <w:tcMar>
              <w:top w:w="80" w:type="dxa"/>
              <w:left w:w="100" w:type="dxa"/>
              <w:bottom w:w="80" w:type="dxa"/>
              <w:right w:w="100" w:type="dxa"/>
            </w:tcMar>
          </w:tcPr>
          <w:p>
            <w:pPr>
              <w:pStyle w:val="Meta"/>
            </w:pPr>
            <w:r>
              <w:rPr/>
              <w:t xml:space="preserve">Innenumsätze bleiben in der führenden Zahl doppelt gezählt</w:t>
            </w:r>
          </w:p>
        </w:tc>
      </w:tr>
      <w:tr>
        <w:tc>
          <w:tcPr>
            <w:tcW w:w="800" w:type="pct"/>
            <w:shd w:val="clear" w:fill="FFFFFF"/>
            <w:tcMar>
              <w:top w:w="80" w:type="dxa"/>
              <w:left w:w="100" w:type="dxa"/>
              <w:bottom w:w="80" w:type="dxa"/>
              <w:right w:w="100" w:type="dxa"/>
            </w:tcMar>
          </w:tcPr>
          <w:p>
            <w:pPr>
              <w:pStyle w:val="Meta"/>
            </w:pPr>
            <w:r>
              <w:rPr>
                <w:b/>
              </w:rPr>
              <w:t xml:space="preserve">Kostenregel CH/AT</w:t>
            </w:r>
          </w:p>
        </w:tc>
        <w:tc>
          <w:tcPr>
            <w:tcW w:w="1500" w:type="pct"/>
            <w:shd w:val="clear" w:fill="FFFFFF"/>
            <w:tcMar>
              <w:top w:w="80" w:type="dxa"/>
              <w:left w:w="100" w:type="dxa"/>
              <w:bottom w:w="80" w:type="dxa"/>
              <w:right w:w="100" w:type="dxa"/>
            </w:tcMar>
          </w:tcPr>
          <w:p>
            <w:pPr>
              <w:pStyle w:val="Meta"/>
            </w:pPr>
            <w:r>
              <w:rPr/>
              <w:t xml:space="preserve">Gilt ein Material auch dann als konzernintern hergestellt, wenn es dazu einen externen Einkaufsbeleg gibt?</w:t>
            </w:r>
          </w:p>
        </w:tc>
        <w:tc>
          <w:tcPr>
            <w:tcW w:w="900" w:type="pct"/>
            <w:shd w:val="clear" w:fill="FFFFFF"/>
            <w:tcMar>
              <w:top w:w="80" w:type="dxa"/>
              <w:left w:w="100" w:type="dxa"/>
              <w:bottom w:w="80" w:type="dxa"/>
              <w:right w:w="100" w:type="dxa"/>
            </w:tcMar>
          </w:tcPr>
          <w:p>
            <w:pPr>
              <w:pStyle w:val="Meta"/>
            </w:pPr>
            <w:r>
              <w:rPr/>
              <w:t xml:space="preserve">Andreas Stoller</w:t>
            </w:r>
          </w:p>
        </w:tc>
        <w:tc>
          <w:tcPr>
            <w:tcW w:w="650" w:type="pct"/>
            <w:shd w:val="clear" w:fill="FFFFFF"/>
            <w:tcMar>
              <w:top w:w="80" w:type="dxa"/>
              <w:left w:w="100" w:type="dxa"/>
              <w:bottom w:w="80" w:type="dxa"/>
              <w:right w:w="100" w:type="dxa"/>
            </w:tcMar>
          </w:tcPr>
          <w:p>
            <w:pPr>
              <w:pStyle w:val="Meta"/>
            </w:pPr>
            <w:r>
              <w:rPr/>
              <w:t xml:space="preserve">11.08.2026</w:t>
            </w:r>
          </w:p>
        </w:tc>
        <w:tc>
          <w:tcPr>
            <w:tcW w:w="1150" w:type="pct"/>
            <w:shd w:val="clear" w:fill="FFFFFF"/>
            <w:tcMar>
              <w:top w:w="80" w:type="dxa"/>
              <w:left w:w="100" w:type="dxa"/>
              <w:bottom w:w="80" w:type="dxa"/>
              <w:right w:w="100" w:type="dxa"/>
            </w:tcMar>
          </w:tcPr>
          <w:p>
            <w:pPr>
              <w:pStyle w:val="Meta"/>
            </w:pPr>
            <w:r>
              <w:rPr/>
              <w:t xml:space="preserve">Der Umschalter ist seit 31.08.2026 da, bleibt aber auf der bisherigen Regel stehen</w:t>
            </w:r>
          </w:p>
        </w:tc>
      </w:tr>
      <w:tr>
        <w:tc>
          <w:tcPr>
            <w:tcW w:w="800" w:type="pct"/>
            <w:shd w:val="clear" w:fill="F4F7FB"/>
            <w:tcMar>
              <w:top w:w="80" w:type="dxa"/>
              <w:left w:w="100" w:type="dxa"/>
              <w:bottom w:w="80" w:type="dxa"/>
              <w:right w:w="100" w:type="dxa"/>
            </w:tcMar>
          </w:tcPr>
          <w:p>
            <w:pPr>
              <w:pStyle w:val="Meta"/>
            </w:pPr>
            <w:r>
              <w:rPr>
                <w:b/>
              </w:rPr>
              <w:t xml:space="preserve">Produktionsdatum SAP</w:t>
            </w:r>
          </w:p>
        </w:tc>
        <w:tc>
          <w:tcPr>
            <w:tcW w:w="1500" w:type="pct"/>
            <w:shd w:val="clear" w:fill="F4F7FB"/>
            <w:tcMar>
              <w:top w:w="80" w:type="dxa"/>
              <w:left w:w="100" w:type="dxa"/>
              <w:bottom w:w="80" w:type="dxa"/>
              <w:right w:w="100" w:type="dxa"/>
            </w:tcMar>
          </w:tcPr>
          <w:p>
            <w:pPr>
              <w:pStyle w:val="Meta"/>
            </w:pPr>
            <w:r>
              <w:rPr/>
              <w:t xml:space="preserve">Wird das Datum beim Auftragsstart oder nach der Freigabe gesetzt?</w:t>
            </w:r>
          </w:p>
        </w:tc>
        <w:tc>
          <w:tcPr>
            <w:tcW w:w="900" w:type="pct"/>
            <w:shd w:val="clear" w:fill="F4F7FB"/>
            <w:tcMar>
              <w:top w:w="80" w:type="dxa"/>
              <w:left w:w="100" w:type="dxa"/>
              <w:bottom w:w="80" w:type="dxa"/>
              <w:right w:w="100" w:type="dxa"/>
            </w:tcMar>
          </w:tcPr>
          <w:p>
            <w:pPr>
              <w:pStyle w:val="Meta"/>
            </w:pPr>
            <w:r>
              <w:rPr/>
              <w:t xml:space="preserve">Lucas Castro, Florian Wächter</w:t>
            </w:r>
          </w:p>
        </w:tc>
        <w:tc>
          <w:tcPr>
            <w:tcW w:w="650" w:type="pct"/>
            <w:shd w:val="clear" w:fill="F4F7FB"/>
            <w:tcMar>
              <w:top w:w="80" w:type="dxa"/>
              <w:left w:w="100" w:type="dxa"/>
              <w:bottom w:w="80" w:type="dxa"/>
              <w:right w:w="100" w:type="dxa"/>
            </w:tcMar>
          </w:tcPr>
          <w:p>
            <w:pPr>
              <w:pStyle w:val="Meta"/>
            </w:pPr>
            <w:r>
              <w:rPr/>
              <w:t xml:space="preserve">10.08.2026</w:t>
            </w:r>
          </w:p>
        </w:tc>
        <w:tc>
          <w:tcPr>
            <w:tcW w:w="1150" w:type="pct"/>
            <w:shd w:val="clear" w:fill="F4F7FB"/>
            <w:tcMar>
              <w:top w:w="80" w:type="dxa"/>
              <w:left w:w="100" w:type="dxa"/>
              <w:bottom w:w="80" w:type="dxa"/>
              <w:right w:w="100" w:type="dxa"/>
            </w:tcMar>
          </w:tcPr>
          <w:p>
            <w:pPr>
              <w:pStyle w:val="Meta"/>
            </w:pPr>
            <w:r>
              <w:rPr/>
              <w:t xml:space="preserve">Die Umsetzung kann nicht beginnen</w:t>
            </w:r>
          </w:p>
        </w:tc>
      </w:tr>
      <w:tr>
        <w:tc>
          <w:tcPr>
            <w:tcW w:w="800" w:type="pct"/>
            <w:shd w:val="clear" w:fill="FFFFFF"/>
            <w:tcMar>
              <w:top w:w="80" w:type="dxa"/>
              <w:left w:w="100" w:type="dxa"/>
              <w:bottom w:w="80" w:type="dxa"/>
              <w:right w:w="100" w:type="dxa"/>
            </w:tcMar>
          </w:tcPr>
          <w:p>
            <w:pPr>
              <w:pStyle w:val="Meta"/>
            </w:pPr>
            <w:r>
              <w:rPr>
                <w:b/>
              </w:rPr>
              <w:t xml:space="preserve">Daten Frankreich</w:t>
            </w:r>
          </w:p>
        </w:tc>
        <w:tc>
          <w:tcPr>
            <w:tcW w:w="1500" w:type="pct"/>
            <w:shd w:val="clear" w:fill="FFFFFF"/>
            <w:tcMar>
              <w:top w:w="80" w:type="dxa"/>
              <w:left w:w="100" w:type="dxa"/>
              <w:bottom w:w="80" w:type="dxa"/>
              <w:right w:w="100" w:type="dxa"/>
            </w:tcMar>
          </w:tcPr>
          <w:p>
            <w:pPr>
              <w:pStyle w:val="Meta"/>
            </w:pPr>
            <w:r>
              <w:rPr/>
              <w:t xml:space="preserve">Seit dem 30.07.2026 kommt aus Frankreich keine Rechnung mehr; Warenausgang und Fakturierung stehen</w:t>
            </w:r>
          </w:p>
        </w:tc>
        <w:tc>
          <w:tcPr>
            <w:tcW w:w="900" w:type="pct"/>
            <w:shd w:val="clear" w:fill="FFFFFF"/>
            <w:tcMar>
              <w:top w:w="80" w:type="dxa"/>
              <w:left w:w="100" w:type="dxa"/>
              <w:bottom w:w="80" w:type="dxa"/>
              <w:right w:w="100" w:type="dxa"/>
            </w:tcMar>
          </w:tcPr>
          <w:p>
            <w:pPr>
              <w:pStyle w:val="Meta"/>
            </w:pPr>
            <w:r>
              <w:rPr/>
              <w:t xml:space="preserve">Frankreich, mit Andreas Stoller</w:t>
            </w:r>
          </w:p>
        </w:tc>
        <w:tc>
          <w:tcPr>
            <w:tcW w:w="650" w:type="pct"/>
            <w:shd w:val="clear" w:fill="FFFFFF"/>
            <w:tcMar>
              <w:top w:w="80" w:type="dxa"/>
              <w:left w:w="100" w:type="dxa"/>
              <w:bottom w:w="80" w:type="dxa"/>
              <w:right w:w="100" w:type="dxa"/>
            </w:tcMar>
          </w:tcPr>
          <w:p>
            <w:pPr>
              <w:pStyle w:val="Meta"/>
            </w:pPr>
            <w:r>
              <w:rPr/>
              <w:t xml:space="preserve">30.07.2026</w:t>
            </w:r>
          </w:p>
        </w:tc>
        <w:tc>
          <w:tcPr>
            <w:tcW w:w="1150" w:type="pct"/>
            <w:shd w:val="clear" w:fill="FFFFFF"/>
            <w:tcMar>
              <w:top w:w="80" w:type="dxa"/>
              <w:left w:w="100" w:type="dxa"/>
              <w:bottom w:w="80" w:type="dxa"/>
              <w:right w:w="100" w:type="dxa"/>
            </w:tcMar>
          </w:tcPr>
          <w:p>
            <w:pPr>
              <w:pStyle w:val="Meta"/>
            </w:pPr>
            <w:r>
              <w:rPr/>
              <w:t xml:space="preserve">Frankreich fehlt im Gruppenbild</w:t>
            </w:r>
          </w:p>
        </w:tc>
      </w:tr>
      <w:tr>
        <w:tc>
          <w:tcPr>
            <w:tcW w:w="800" w:type="pct"/>
            <w:shd w:val="clear" w:fill="F4F7FB"/>
            <w:tcMar>
              <w:top w:w="80" w:type="dxa"/>
              <w:left w:w="100" w:type="dxa"/>
              <w:bottom w:w="80" w:type="dxa"/>
              <w:right w:w="100" w:type="dxa"/>
            </w:tcMar>
          </w:tcPr>
          <w:p>
            <w:pPr>
              <w:pStyle w:val="Meta"/>
            </w:pPr>
            <w:r>
              <w:rPr>
                <w:b/>
              </w:rPr>
              <w:t xml:space="preserve">Personaldaten-Schnittstelle</w:t>
            </w:r>
          </w:p>
        </w:tc>
        <w:tc>
          <w:tcPr>
            <w:tcW w:w="1500" w:type="pct"/>
            <w:shd w:val="clear" w:fill="F4F7FB"/>
            <w:tcMar>
              <w:top w:w="80" w:type="dxa"/>
              <w:left w:w="100" w:type="dxa"/>
              <w:bottom w:w="80" w:type="dxa"/>
              <w:right w:w="100" w:type="dxa"/>
            </w:tcMar>
          </w:tcPr>
          <w:p>
            <w:pPr>
              <w:pStyle w:val="Meta"/>
            </w:pPr>
            <w:r>
              <w:rPr/>
              <w:t xml:space="preserve">Zeitplan, Ablageort, Format und Häufigkeit des automatischen Exports</w:t>
            </w:r>
          </w:p>
        </w:tc>
        <w:tc>
          <w:tcPr>
            <w:tcW w:w="900" w:type="pct"/>
            <w:shd w:val="clear" w:fill="F4F7FB"/>
            <w:tcMar>
              <w:top w:w="80" w:type="dxa"/>
              <w:left w:w="100" w:type="dxa"/>
              <w:bottom w:w="80" w:type="dxa"/>
              <w:right w:w="100" w:type="dxa"/>
            </w:tcMar>
          </w:tcPr>
          <w:p>
            <w:pPr>
              <w:pStyle w:val="Meta"/>
            </w:pPr>
            <w:r>
              <w:rPr/>
              <w:t xml:space="preserve">externe Firma</w:t>
            </w:r>
          </w:p>
        </w:tc>
        <w:tc>
          <w:tcPr>
            <w:tcW w:w="650" w:type="pct"/>
            <w:shd w:val="clear" w:fill="F4F7FB"/>
            <w:tcMar>
              <w:top w:w="80" w:type="dxa"/>
              <w:left w:w="100" w:type="dxa"/>
              <w:bottom w:w="80" w:type="dxa"/>
              <w:right w:w="100" w:type="dxa"/>
            </w:tcMar>
          </w:tcPr>
          <w:p>
            <w:pPr>
              <w:pStyle w:val="Meta"/>
            </w:pPr>
            <w:r>
              <w:rPr/>
              <w:t xml:space="preserve">19.08.2026</w:t>
            </w:r>
          </w:p>
        </w:tc>
        <w:tc>
          <w:tcPr>
            <w:tcW w:w="1150" w:type="pct"/>
            <w:shd w:val="clear" w:fill="F4F7FB"/>
            <w:tcMar>
              <w:top w:w="80" w:type="dxa"/>
              <w:left w:w="100" w:type="dxa"/>
              <w:bottom w:w="80" w:type="dxa"/>
              <w:right w:w="100" w:type="dxa"/>
            </w:tcMar>
          </w:tcPr>
          <w:p>
            <w:pPr>
              <w:pStyle w:val="Meta"/>
            </w:pPr>
            <w:r>
              <w:rPr/>
              <w:t xml:space="preserve">Die Personalzahlen bleiben ein einmalig eingelesener Stand von Mai 2026</w:t>
            </w:r>
          </w:p>
        </w:tc>
      </w:tr>
    </w:tbl>
    <w:p>
      <w:pPr>
        <w:pStyle w:val="Meta"/>
        <w:spacing w:after="0" w:line="160" w:lineRule="exact"/>
      </w:pPr>
    </w:p>
    <w:p>
      <w:pPr>
        <w:pStyle w:val="Heading1"/>
        <w:pageBreakBefore/>
      </w:pPr>
      <w:r>
        <w:rPr/>
        <w:t xml:space="preserve">6. Die acht Arbeitspakete im Einzelnen</w:t>
      </w:r>
    </w:p>
    <w:p>
      <w:pPr>
        <w:pStyle w:val="BodyText"/>
      </w:pPr>
      <w:r>
        <w:rPr/>
        <w:t xml:space="preserve">Jedes Paket trägt dieselben fünf Angaben. „Kein Termin“ heisst, dass kein Datum zugesagt ist, und nicht, dass der Punkt unwichtig wäre.</w:t>
      </w:r>
    </w:p>
    <w:p>
      <w:pPr>
        <w:pStyle w:val="Heading2"/>
      </w:pPr>
      <w:r>
        <w:rPr/>
        <w:t xml:space="preserve">PM-08 · Bahnindustrie-Auswertung für Deutschland</w:t>
      </w:r>
    </w:p>
    <w:tbl>
      <w:tblPr>
        <w:tblW w:w="5000" w:type="pct"/>
        <w:tblBorders>
          <w:top w:val="single" w:color="B4C6E7" w:sz="4"/>
          <w:left w:val="single" w:color="B4C6E7" w:sz="4"/>
          <w:bottom w:val="single" w:color="B4C6E7" w:sz="4"/>
          <w:right w:val="single" w:color="B4C6E7" w:sz="4"/>
          <w:insideH w:val="single" w:color="D9E2F3" w:sz="3"/>
          <w:insideV w:val="single" w:color="D9E2F3" w:sz="3"/>
        </w:tblBorders>
      </w:tblPr>
      <w:tblGrid>
        <w:gridCol w:w="1300"/>
        <w:gridCol w:w="3700"/>
      </w:tblGrid>
      <w:tr>
        <w:tc>
          <w:tcPr>
            <w:tcW w:w="1300" w:type="pct"/>
            <w:shd w:val="clear" w:fill="D9E2F3"/>
            <w:tcMar>
              <w:top w:w="80" w:type="dxa"/>
              <w:left w:w="100" w:type="dxa"/>
              <w:bottom w:w="80" w:type="dxa"/>
              <w:right w:w="100" w:type="dxa"/>
            </w:tcMar>
          </w:tcPr>
          <w:p>
            <w:pPr>
              <w:pStyle w:val="Meta"/>
            </w:pPr>
            <w:r>
              <w:rPr>
                <w:b/>
                <w:color w:val="17365D"/>
              </w:rPr>
              <w:t xml:space="preserve">Auftrag</w:t>
            </w:r>
          </w:p>
        </w:tc>
        <w:tc>
          <w:tcPr>
            <w:tcW w:w="3700" w:type="pct"/>
            <w:shd w:val="clear" w:fill="FFFFFF"/>
            <w:tcMar>
              <w:top w:w="80" w:type="dxa"/>
              <w:left w:w="100" w:type="dxa"/>
              <w:bottom w:w="80" w:type="dxa"/>
              <w:right w:w="100" w:type="dxa"/>
            </w:tcMar>
          </w:tcPr>
          <w:p>
            <w:pPr>
              <w:pStyle w:val="Meta"/>
            </w:pPr>
            <w:r>
              <w:rPr/>
              <w:t xml:space="preserve">Rohail Munir braucht bis zum 08.09.2026 eine Auswertung, wie viel Umsatz der Konzern mit der Bahnindustrie macht.</w:t>
            </w:r>
          </w:p>
        </w:tc>
      </w:tr>
      <w:tr>
        <w:tc>
          <w:tcPr>
            <w:tcW w:w="1300" w:type="pct"/>
            <w:shd w:val="clear" w:fill="D9E2F3"/>
            <w:tcMar>
              <w:top w:w="80" w:type="dxa"/>
              <w:left w:w="100" w:type="dxa"/>
              <w:bottom w:w="80" w:type="dxa"/>
              <w:right w:w="100" w:type="dxa"/>
            </w:tcMar>
          </w:tcPr>
          <w:p>
            <w:pPr>
              <w:pStyle w:val="Meta"/>
            </w:pPr>
            <w:r>
              <w:rPr>
                <w:b/>
                <w:color w:val="17365D"/>
              </w:rPr>
              <w:t xml:space="preserve">Stand</w:t>
            </w:r>
          </w:p>
        </w:tc>
        <w:tc>
          <w:tcPr>
            <w:tcW w:w="3700" w:type="pct"/>
            <w:shd w:val="clear" w:fill="FFFFFF"/>
            <w:tcMar>
              <w:top w:w="80" w:type="dxa"/>
              <w:left w:w="100" w:type="dxa"/>
              <w:bottom w:w="80" w:type="dxa"/>
              <w:right w:w="100" w:type="dxa"/>
            </w:tcMar>
          </w:tcPr>
          <w:p>
            <w:pPr>
              <w:pStyle w:val="Meta"/>
            </w:pPr>
            <w:r>
              <w:rPr/>
              <w:t xml:space="preserve">Stand 01.09.2026: Die Technik ist produktiv, der Excel-Export läuft seit dem 01.09.2026. Von 173 Kundenvorschlägen ist keiner bestätigt, und Deutschland hat gar keine Vorschläge, weil dort die Kundennamen in unserer Abfrage fehlen.</w:t>
            </w:r>
          </w:p>
        </w:tc>
      </w:tr>
      <w:tr>
        <w:tc>
          <w:tcPr>
            <w:tcW w:w="1300" w:type="pct"/>
            <w:shd w:val="clear" w:fill="D9E2F3"/>
            <w:tcMar>
              <w:top w:w="80" w:type="dxa"/>
              <w:left w:w="100" w:type="dxa"/>
              <w:bottom w:w="80" w:type="dxa"/>
              <w:right w:w="100" w:type="dxa"/>
            </w:tcMar>
          </w:tcPr>
          <w:p>
            <w:pPr>
              <w:pStyle w:val="Meta"/>
            </w:pPr>
            <w:r>
              <w:rPr>
                <w:b/>
                <w:color w:val="17365D"/>
              </w:rPr>
              <w:t xml:space="preserve">Nächster Schritt</w:t>
            </w:r>
          </w:p>
        </w:tc>
        <w:tc>
          <w:tcPr>
            <w:tcW w:w="3700" w:type="pct"/>
            <w:shd w:val="clear" w:fill="FFFFFF"/>
            <w:tcMar>
              <w:top w:w="80" w:type="dxa"/>
              <w:left w:w="100" w:type="dxa"/>
              <w:bottom w:w="80" w:type="dxa"/>
              <w:right w:w="100" w:type="dxa"/>
            </w:tcMar>
          </w:tcPr>
          <w:p>
            <w:pPr>
              <w:pStyle w:val="Meta"/>
            </w:pPr>
            <w:r>
              <w:rPr/>
              <w:t xml:space="preserve">Patrik bitten, mit den 30 mengenstärksten Vorschlägen zu beginnen; parallel und sofort den Datenbankauszug für Deutschland anstossen. Die beiden Schritte laufen unabhängig voneinander.</w:t>
            </w:r>
          </w:p>
        </w:tc>
      </w:tr>
      <w:tr>
        <w:tc>
          <w:tcPr>
            <w:tcW w:w="1300" w:type="pct"/>
            <w:shd w:val="clear" w:fill="D9E2F3"/>
            <w:tcMar>
              <w:top w:w="80" w:type="dxa"/>
              <w:left w:w="100" w:type="dxa"/>
              <w:bottom w:w="80" w:type="dxa"/>
              <w:right w:w="100" w:type="dxa"/>
            </w:tcMar>
          </w:tcPr>
          <w:p>
            <w:pPr>
              <w:pStyle w:val="Meta"/>
            </w:pPr>
            <w:r>
              <w:rPr>
                <w:b/>
                <w:color w:val="17365D"/>
              </w:rPr>
              <w:t xml:space="preserve">Wer entscheidet</w:t>
            </w:r>
          </w:p>
        </w:tc>
        <w:tc>
          <w:tcPr>
            <w:tcW w:w="3700" w:type="pct"/>
            <w:shd w:val="clear" w:fill="FFFFFF"/>
            <w:tcMar>
              <w:top w:w="80" w:type="dxa"/>
              <w:left w:w="100" w:type="dxa"/>
              <w:bottom w:w="80" w:type="dxa"/>
              <w:right w:w="100" w:type="dxa"/>
            </w:tcMar>
          </w:tcPr>
          <w:p>
            <w:pPr>
              <w:pStyle w:val="Meta"/>
            </w:pPr>
            <w:r>
              <w:rPr/>
              <w:t xml:space="preserve">Patrik (Verkauf) für die Zuordnung. Ich bestätige nicht stellvertretend, weil eine falsche Zuordnung direkt in die Umsatzzahlen eines Segments wirkt.</w:t>
            </w:r>
          </w:p>
        </w:tc>
      </w:tr>
      <w:tr>
        <w:tc>
          <w:tcPr>
            <w:tcW w:w="1300" w:type="pct"/>
            <w:shd w:val="clear" w:fill="D9E2F3"/>
            <w:tcMar>
              <w:top w:w="80" w:type="dxa"/>
              <w:left w:w="100" w:type="dxa"/>
              <w:bottom w:w="80" w:type="dxa"/>
              <w:right w:w="100" w:type="dxa"/>
            </w:tcMar>
          </w:tcPr>
          <w:p>
            <w:pPr>
              <w:pStyle w:val="Meta"/>
            </w:pPr>
            <w:r>
              <w:rPr>
                <w:b/>
                <w:color w:val="17365D"/>
              </w:rPr>
              <w:t xml:space="preserve">Termin</w:t>
            </w:r>
          </w:p>
        </w:tc>
        <w:tc>
          <w:tcPr>
            <w:tcW w:w="3700" w:type="pct"/>
            <w:shd w:val="clear" w:fill="F4CCCC"/>
            <w:tcMar>
              <w:top w:w="80" w:type="dxa"/>
              <w:left w:w="100" w:type="dxa"/>
              <w:bottom w:w="80" w:type="dxa"/>
              <w:right w:w="100" w:type="dxa"/>
            </w:tcMar>
          </w:tcPr>
          <w:p>
            <w:pPr>
              <w:pStyle w:val="Meta"/>
            </w:pPr>
            <w:r>
              <w:rPr/>
              <w:t xml:space="preserve">08.09.2026, hart zugesagt. Beide offenen Punkte liegen ausserhalb meines Zugriffs.</w:t>
            </w:r>
          </w:p>
        </w:tc>
      </w:tr>
    </w:tbl>
    <w:p>
      <w:pPr>
        <w:pStyle w:val="Meta"/>
        <w:spacing w:after="0" w:line="160" w:lineRule="exact"/>
      </w:pPr>
    </w:p>
    <w:p>
      <w:pPr>
        <w:pStyle w:val="Heading2"/>
      </w:pPr>
      <w:r>
        <w:rPr/>
        <w:t xml:space="preserve">PM-05 · Zentrale Finanz- und Verkaufsdatei</w:t>
      </w:r>
    </w:p>
    <w:tbl>
      <w:tblPr>
        <w:tblW w:w="5000" w:type="pct"/>
        <w:tblBorders>
          <w:top w:val="single" w:color="B4C6E7" w:sz="4"/>
          <w:left w:val="single" w:color="B4C6E7" w:sz="4"/>
          <w:bottom w:val="single" w:color="B4C6E7" w:sz="4"/>
          <w:right w:val="single" w:color="B4C6E7" w:sz="4"/>
          <w:insideH w:val="single" w:color="D9E2F3" w:sz="3"/>
          <w:insideV w:val="single" w:color="D9E2F3" w:sz="3"/>
        </w:tblBorders>
      </w:tblPr>
      <w:tblGrid>
        <w:gridCol w:w="1300"/>
        <w:gridCol w:w="3700"/>
      </w:tblGrid>
      <w:tr>
        <w:tc>
          <w:tcPr>
            <w:tcW w:w="1300" w:type="pct"/>
            <w:shd w:val="clear" w:fill="D9E2F3"/>
            <w:tcMar>
              <w:top w:w="80" w:type="dxa"/>
              <w:left w:w="100" w:type="dxa"/>
              <w:bottom w:w="80" w:type="dxa"/>
              <w:right w:w="100" w:type="dxa"/>
            </w:tcMar>
          </w:tcPr>
          <w:p>
            <w:pPr>
              <w:pStyle w:val="Meta"/>
            </w:pPr>
            <w:r>
              <w:rPr>
                <w:b/>
                <w:color w:val="17365D"/>
              </w:rPr>
              <w:t xml:space="preserve">Auftrag</w:t>
            </w:r>
          </w:p>
        </w:tc>
        <w:tc>
          <w:tcPr>
            <w:tcW w:w="3700" w:type="pct"/>
            <w:shd w:val="clear" w:fill="FFFFFF"/>
            <w:tcMar>
              <w:top w:w="80" w:type="dxa"/>
              <w:left w:w="100" w:type="dxa"/>
              <w:bottom w:w="80" w:type="dxa"/>
              <w:right w:w="100" w:type="dxa"/>
            </w:tcMar>
          </w:tcPr>
          <w:p>
            <w:pPr>
              <w:pStyle w:val="Meta"/>
            </w:pPr>
            <w:r>
              <w:rPr/>
              <w:t xml:space="preserve">Alle Verkaufs- und Kostendaten der Landesgesellschaften täglich in einer prüfbaren Datei zusammenführen, als Grundlage für Umsatz und Gruppenmarge.</w:t>
            </w:r>
          </w:p>
        </w:tc>
      </w:tr>
      <w:tr>
        <w:tc>
          <w:tcPr>
            <w:tcW w:w="1300" w:type="pct"/>
            <w:shd w:val="clear" w:fill="D9E2F3"/>
            <w:tcMar>
              <w:top w:w="80" w:type="dxa"/>
              <w:left w:w="100" w:type="dxa"/>
              <w:bottom w:w="80" w:type="dxa"/>
              <w:right w:w="100" w:type="dxa"/>
            </w:tcMar>
          </w:tcPr>
          <w:p>
            <w:pPr>
              <w:pStyle w:val="Meta"/>
            </w:pPr>
            <w:r>
              <w:rPr>
                <w:b/>
                <w:color w:val="17365D"/>
              </w:rPr>
              <w:t xml:space="preserve">Stand</w:t>
            </w:r>
          </w:p>
        </w:tc>
        <w:tc>
          <w:tcPr>
            <w:tcW w:w="3700" w:type="pct"/>
            <w:shd w:val="clear" w:fill="FFFFFF"/>
            <w:tcMar>
              <w:top w:w="80" w:type="dxa"/>
              <w:left w:w="100" w:type="dxa"/>
              <w:bottom w:w="80" w:type="dxa"/>
              <w:right w:w="100" w:type="dxa"/>
            </w:tcMar>
          </w:tcPr>
          <w:p>
            <w:pPr>
              <w:pStyle w:val="Meta"/>
            </w:pPr>
            <w:r>
              <w:rPr/>
              <w:t xml:space="preserve">Stand 01.09.2026: produktiv und täglich erzeugt, zuletzt 105'282 Verkaufszeilen. Das Arbeitspaket ist im Kern erledigt; die verbleibende Arbeit ist Datenqualität und wird in einem eigenen Issue-Log mit derzeit 25 offenen Detailpunkten geführt.</w:t>
            </w:r>
          </w:p>
        </w:tc>
      </w:tr>
      <w:tr>
        <w:tc>
          <w:tcPr>
            <w:tcW w:w="1300" w:type="pct"/>
            <w:shd w:val="clear" w:fill="D9E2F3"/>
            <w:tcMar>
              <w:top w:w="80" w:type="dxa"/>
              <w:left w:w="100" w:type="dxa"/>
              <w:bottom w:w="80" w:type="dxa"/>
              <w:right w:w="100" w:type="dxa"/>
            </w:tcMar>
          </w:tcPr>
          <w:p>
            <w:pPr>
              <w:pStyle w:val="Meta"/>
            </w:pPr>
            <w:r>
              <w:rPr>
                <w:b/>
                <w:color w:val="17365D"/>
              </w:rPr>
              <w:t xml:space="preserve">Nächster Schritt</w:t>
            </w:r>
          </w:p>
        </w:tc>
        <w:tc>
          <w:tcPr>
            <w:tcW w:w="3700" w:type="pct"/>
            <w:shd w:val="clear" w:fill="FFFFFF"/>
            <w:tcMar>
              <w:top w:w="80" w:type="dxa"/>
              <w:left w:w="100" w:type="dxa"/>
              <w:bottom w:w="80" w:type="dxa"/>
              <w:right w:w="100" w:type="dxa"/>
            </w:tcMar>
          </w:tcPr>
          <w:p>
            <w:pPr>
              <w:pStyle w:val="Meta"/>
            </w:pPr>
            <w:r>
              <w:rPr/>
              <w:t xml:space="preserve">Die offenen Fachentscheide mit Andreas Stoller abschliessen, insbesondere Gruppenmarge, Umsatzbegriff und die Kostenregel für CH/AT.</w:t>
            </w:r>
          </w:p>
        </w:tc>
      </w:tr>
      <w:tr>
        <w:tc>
          <w:tcPr>
            <w:tcW w:w="1300" w:type="pct"/>
            <w:shd w:val="clear" w:fill="D9E2F3"/>
            <w:tcMar>
              <w:top w:w="80" w:type="dxa"/>
              <w:left w:w="100" w:type="dxa"/>
              <w:bottom w:w="80" w:type="dxa"/>
              <w:right w:w="100" w:type="dxa"/>
            </w:tcMar>
          </w:tcPr>
          <w:p>
            <w:pPr>
              <w:pStyle w:val="Meta"/>
            </w:pPr>
            <w:r>
              <w:rPr>
                <w:b/>
                <w:color w:val="17365D"/>
              </w:rPr>
              <w:t xml:space="preserve">Wer entscheidet</w:t>
            </w:r>
          </w:p>
        </w:tc>
        <w:tc>
          <w:tcPr>
            <w:tcW w:w="3700" w:type="pct"/>
            <w:shd w:val="clear" w:fill="FFFFFF"/>
            <w:tcMar>
              <w:top w:w="80" w:type="dxa"/>
              <w:left w:w="100" w:type="dxa"/>
              <w:bottom w:w="80" w:type="dxa"/>
              <w:right w:w="100" w:type="dxa"/>
            </w:tcMar>
          </w:tcPr>
          <w:p>
            <w:pPr>
              <w:pStyle w:val="Meta"/>
            </w:pPr>
            <w:r>
              <w:rPr/>
              <w:t xml:space="preserve">Andreas Stoller für alle fachlichen Regeln; ich für die technische Umsetzung und den Nachweis.</w:t>
            </w:r>
          </w:p>
        </w:tc>
      </w:tr>
      <w:tr>
        <w:tc>
          <w:tcPr>
            <w:tcW w:w="1300" w:type="pct"/>
            <w:shd w:val="clear" w:fill="D9E2F3"/>
            <w:tcMar>
              <w:top w:w="80" w:type="dxa"/>
              <w:left w:w="100" w:type="dxa"/>
              <w:bottom w:w="80" w:type="dxa"/>
              <w:right w:w="100" w:type="dxa"/>
            </w:tcMar>
          </w:tcPr>
          <w:p>
            <w:pPr>
              <w:pStyle w:val="Meta"/>
            </w:pPr>
            <w:r>
              <w:rPr>
                <w:b/>
                <w:color w:val="17365D"/>
              </w:rPr>
              <w:t xml:space="preserve">Termin</w:t>
            </w:r>
          </w:p>
        </w:tc>
        <w:tc>
          <w:tcPr>
            <w:tcW w:w="3700" w:type="pct"/>
            <w:shd w:val="clear" w:fill="FFF2CC"/>
            <w:tcMar>
              <w:top w:w="80" w:type="dxa"/>
              <w:left w:w="100" w:type="dxa"/>
              <w:bottom w:w="80" w:type="dxa"/>
              <w:right w:w="100" w:type="dxa"/>
            </w:tcMar>
          </w:tcPr>
          <w:p>
            <w:pPr>
              <w:pStyle w:val="Meta"/>
            </w:pPr>
            <w:r>
              <w:rPr/>
              <w:t xml:space="preserve">Kein fester Termin. Die faktische Grenze ist der Jahresabschluss.</w:t>
            </w:r>
          </w:p>
        </w:tc>
      </w:tr>
    </w:tbl>
    <w:p>
      <w:pPr>
        <w:pStyle w:val="Meta"/>
        <w:spacing w:after="0" w:line="160" w:lineRule="exact"/>
      </w:pPr>
    </w:p>
    <w:p>
      <w:pPr>
        <w:pStyle w:val="Heading2"/>
      </w:pPr>
      <w:r>
        <w:rPr/>
        <w:t xml:space="preserve">PM-04 · Einkaufsauswertung mit Aufriss</w:t>
      </w:r>
    </w:p>
    <w:tbl>
      <w:tblPr>
        <w:tblW w:w="5000" w:type="pct"/>
        <w:tblBorders>
          <w:top w:val="single" w:color="B4C6E7" w:sz="4"/>
          <w:left w:val="single" w:color="B4C6E7" w:sz="4"/>
          <w:bottom w:val="single" w:color="B4C6E7" w:sz="4"/>
          <w:right w:val="single" w:color="B4C6E7" w:sz="4"/>
          <w:insideH w:val="single" w:color="D9E2F3" w:sz="3"/>
          <w:insideV w:val="single" w:color="D9E2F3" w:sz="3"/>
        </w:tblBorders>
      </w:tblPr>
      <w:tblGrid>
        <w:gridCol w:w="1300"/>
        <w:gridCol w:w="3700"/>
      </w:tblGrid>
      <w:tr>
        <w:tc>
          <w:tcPr>
            <w:tcW w:w="1300" w:type="pct"/>
            <w:shd w:val="clear" w:fill="D9E2F3"/>
            <w:tcMar>
              <w:top w:w="80" w:type="dxa"/>
              <w:left w:w="100" w:type="dxa"/>
              <w:bottom w:w="80" w:type="dxa"/>
              <w:right w:w="100" w:type="dxa"/>
            </w:tcMar>
          </w:tcPr>
          <w:p>
            <w:pPr>
              <w:pStyle w:val="Meta"/>
            </w:pPr>
            <w:r>
              <w:rPr>
                <w:b/>
                <w:color w:val="17365D"/>
              </w:rPr>
              <w:t xml:space="preserve">Auftrag</w:t>
            </w:r>
          </w:p>
        </w:tc>
        <w:tc>
          <w:tcPr>
            <w:tcW w:w="3700" w:type="pct"/>
            <w:shd w:val="clear" w:fill="FFFFFF"/>
            <w:tcMar>
              <w:top w:w="80" w:type="dxa"/>
              <w:left w:w="100" w:type="dxa"/>
              <w:bottom w:w="80" w:type="dxa"/>
              <w:right w:w="100" w:type="dxa"/>
            </w:tcMar>
          </w:tcPr>
          <w:p>
            <w:pPr>
              <w:pStyle w:val="Meta"/>
            </w:pPr>
            <w:r>
              <w:rPr/>
              <w:t xml:space="preserve">Kennzahlen für den Einkauf bereitstellen: Einkaufsvolumen je Lieferant und Jahr, offene Bestellungen, aktive Lieferanten, mit Aufriss bis zur einzelnen Bestellung.</w:t>
            </w:r>
          </w:p>
        </w:tc>
      </w:tr>
      <w:tr>
        <w:tc>
          <w:tcPr>
            <w:tcW w:w="1300" w:type="pct"/>
            <w:shd w:val="clear" w:fill="D9E2F3"/>
            <w:tcMar>
              <w:top w:w="80" w:type="dxa"/>
              <w:left w:w="100" w:type="dxa"/>
              <w:bottom w:w="80" w:type="dxa"/>
              <w:right w:w="100" w:type="dxa"/>
            </w:tcMar>
          </w:tcPr>
          <w:p>
            <w:pPr>
              <w:pStyle w:val="Meta"/>
            </w:pPr>
            <w:r>
              <w:rPr>
                <w:b/>
                <w:color w:val="17365D"/>
              </w:rPr>
              <w:t xml:space="preserve">Stand</w:t>
            </w:r>
          </w:p>
        </w:tc>
        <w:tc>
          <w:tcPr>
            <w:tcW w:w="3700" w:type="pct"/>
            <w:shd w:val="clear" w:fill="FFFFFF"/>
            <w:tcMar>
              <w:top w:w="80" w:type="dxa"/>
              <w:left w:w="100" w:type="dxa"/>
              <w:bottom w:w="80" w:type="dxa"/>
              <w:right w:w="100" w:type="dxa"/>
            </w:tcMar>
          </w:tcPr>
          <w:p>
            <w:pPr>
              <w:pStyle w:val="Meta"/>
            </w:pPr>
            <w:r>
              <w:rPr/>
              <w:t xml:space="preserve">Stand 12.08.2026: produktiv und weitgehend abgeschlossen. Die Produkt- und Warengruppen kommen jetzt direkt aus zwei SAP-Diensten mit 45 beziehungsweise 22 Einträgen; die frühere Pflege über Excel ist vollständig abgelöst.</w:t>
            </w:r>
          </w:p>
        </w:tc>
      </w:tr>
      <w:tr>
        <w:tc>
          <w:tcPr>
            <w:tcW w:w="1300" w:type="pct"/>
            <w:shd w:val="clear" w:fill="D9E2F3"/>
            <w:tcMar>
              <w:top w:w="80" w:type="dxa"/>
              <w:left w:w="100" w:type="dxa"/>
              <w:bottom w:w="80" w:type="dxa"/>
              <w:right w:w="100" w:type="dxa"/>
            </w:tcMar>
          </w:tcPr>
          <w:p>
            <w:pPr>
              <w:pStyle w:val="Meta"/>
            </w:pPr>
            <w:r>
              <w:rPr>
                <w:b/>
                <w:color w:val="17365D"/>
              </w:rPr>
              <w:t xml:space="preserve">Nächster Schritt</w:t>
            </w:r>
          </w:p>
        </w:tc>
        <w:tc>
          <w:tcPr>
            <w:tcW w:w="3700" w:type="pct"/>
            <w:shd w:val="clear" w:fill="FFFFFF"/>
            <w:tcMar>
              <w:top w:w="80" w:type="dxa"/>
              <w:left w:w="100" w:type="dxa"/>
              <w:bottom w:w="80" w:type="dxa"/>
              <w:right w:w="100" w:type="dxa"/>
            </w:tcMar>
          </w:tcPr>
          <w:p>
            <w:pPr>
              <w:pStyle w:val="Meta"/>
            </w:pPr>
            <w:r>
              <w:rPr/>
              <w:t xml:space="preserve">Zwei kosmetische SAP-Nacharbeiten: zwei Codes haben keinen Klartext, und ein Schlüssel sollte präzisiert werden. Beide ohne Auswirkung auf den Betrieb.</w:t>
            </w:r>
          </w:p>
        </w:tc>
      </w:tr>
      <w:tr>
        <w:tc>
          <w:tcPr>
            <w:tcW w:w="1300" w:type="pct"/>
            <w:shd w:val="clear" w:fill="D9E2F3"/>
            <w:tcMar>
              <w:top w:w="80" w:type="dxa"/>
              <w:left w:w="100" w:type="dxa"/>
              <w:bottom w:w="80" w:type="dxa"/>
              <w:right w:w="100" w:type="dxa"/>
            </w:tcMar>
          </w:tcPr>
          <w:p>
            <w:pPr>
              <w:pStyle w:val="Meta"/>
            </w:pPr>
            <w:r>
              <w:rPr>
                <w:b/>
                <w:color w:val="17365D"/>
              </w:rPr>
              <w:t xml:space="preserve">Wer entscheidet</w:t>
            </w:r>
          </w:p>
        </w:tc>
        <w:tc>
          <w:tcPr>
            <w:tcW w:w="3700" w:type="pct"/>
            <w:shd w:val="clear" w:fill="FFFFFF"/>
            <w:tcMar>
              <w:top w:w="80" w:type="dxa"/>
              <w:left w:w="100" w:type="dxa"/>
              <w:bottom w:w="80" w:type="dxa"/>
              <w:right w:w="100" w:type="dxa"/>
            </w:tcMar>
          </w:tcPr>
          <w:p>
            <w:pPr>
              <w:pStyle w:val="Meta"/>
            </w:pPr>
            <w:r>
              <w:rPr/>
              <w:t xml:space="preserve">Ich, in Abstimmung mit dem SAP-Team.</w:t>
            </w:r>
          </w:p>
        </w:tc>
      </w:tr>
      <w:tr>
        <w:tc>
          <w:tcPr>
            <w:tcW w:w="1300" w:type="pct"/>
            <w:shd w:val="clear" w:fill="D9E2F3"/>
            <w:tcMar>
              <w:top w:w="80" w:type="dxa"/>
              <w:left w:w="100" w:type="dxa"/>
              <w:bottom w:w="80" w:type="dxa"/>
              <w:right w:w="100" w:type="dxa"/>
            </w:tcMar>
          </w:tcPr>
          <w:p>
            <w:pPr>
              <w:pStyle w:val="Meta"/>
            </w:pPr>
            <w:r>
              <w:rPr>
                <w:b/>
                <w:color w:val="17365D"/>
              </w:rPr>
              <w:t xml:space="preserve">Termin</w:t>
            </w:r>
          </w:p>
        </w:tc>
        <w:tc>
          <w:tcPr>
            <w:tcW w:w="3700" w:type="pct"/>
            <w:shd w:val="clear" w:fill="E2EFDA"/>
            <w:tcMar>
              <w:top w:w="80" w:type="dxa"/>
              <w:left w:w="100" w:type="dxa"/>
              <w:bottom w:w="80" w:type="dxa"/>
              <w:right w:w="100" w:type="dxa"/>
            </w:tcMar>
          </w:tcPr>
          <w:p>
            <w:pPr>
              <w:pStyle w:val="Meta"/>
            </w:pPr>
            <w:r>
              <w:rPr/>
              <w:t xml:space="preserve">Kein Termin. Der Punkt blockiert nichts.</w:t>
            </w:r>
          </w:p>
        </w:tc>
      </w:tr>
    </w:tbl>
    <w:p>
      <w:pPr>
        <w:pStyle w:val="Meta"/>
        <w:spacing w:after="0" w:line="160" w:lineRule="exact"/>
      </w:pPr>
    </w:p>
    <w:p>
      <w:pPr>
        <w:pStyle w:val="Heading2"/>
      </w:pPr>
      <w:r>
        <w:rPr/>
        <w:t xml:space="preserve">PM-01 · SAP-Auswertung ZLO03 für auslaufende Materialien</w:t>
      </w:r>
    </w:p>
    <w:tbl>
      <w:tblPr>
        <w:tblW w:w="5000" w:type="pct"/>
        <w:tblBorders>
          <w:top w:val="single" w:color="B4C6E7" w:sz="4"/>
          <w:left w:val="single" w:color="B4C6E7" w:sz="4"/>
          <w:bottom w:val="single" w:color="B4C6E7" w:sz="4"/>
          <w:right w:val="single" w:color="B4C6E7" w:sz="4"/>
          <w:insideH w:val="single" w:color="D9E2F3" w:sz="3"/>
          <w:insideV w:val="single" w:color="D9E2F3" w:sz="3"/>
        </w:tblBorders>
      </w:tblPr>
      <w:tblGrid>
        <w:gridCol w:w="1300"/>
        <w:gridCol w:w="3700"/>
      </w:tblGrid>
      <w:tr>
        <w:tc>
          <w:tcPr>
            <w:tcW w:w="1300" w:type="pct"/>
            <w:shd w:val="clear" w:fill="D9E2F3"/>
            <w:tcMar>
              <w:top w:w="80" w:type="dxa"/>
              <w:left w:w="100" w:type="dxa"/>
              <w:bottom w:w="80" w:type="dxa"/>
              <w:right w:w="100" w:type="dxa"/>
            </w:tcMar>
          </w:tcPr>
          <w:p>
            <w:pPr>
              <w:pStyle w:val="Meta"/>
            </w:pPr>
            <w:r>
              <w:rPr>
                <w:b/>
                <w:color w:val="17365D"/>
              </w:rPr>
              <w:t xml:space="preserve">Auftrag</w:t>
            </w:r>
          </w:p>
        </w:tc>
        <w:tc>
          <w:tcPr>
            <w:tcW w:w="3700" w:type="pct"/>
            <w:shd w:val="clear" w:fill="FFFFFF"/>
            <w:tcMar>
              <w:top w:w="80" w:type="dxa"/>
              <w:left w:w="100" w:type="dxa"/>
              <w:bottom w:w="80" w:type="dxa"/>
              <w:right w:w="100" w:type="dxa"/>
            </w:tcMar>
          </w:tcPr>
          <w:p>
            <w:pPr>
              <w:pStyle w:val="Meta"/>
            </w:pPr>
            <w:r>
              <w:rPr/>
              <w:t xml:space="preserve">Diese Auswertung ist die praktische Anwendung der mehrstufigen Stücklistenauflösung aus Abschnitt 2.1. Sie liefert der Fachabteilung die Grundlage, um auslaufende Materialien und Mengenkontrakte zu beurteilen. Sie hat Materialien ausgelassen und Mengen falsch dargestellt.</w:t>
            </w:r>
          </w:p>
        </w:tc>
      </w:tr>
      <w:tr>
        <w:tc>
          <w:tcPr>
            <w:tcW w:w="1300" w:type="pct"/>
            <w:shd w:val="clear" w:fill="D9E2F3"/>
            <w:tcMar>
              <w:top w:w="80" w:type="dxa"/>
              <w:left w:w="100" w:type="dxa"/>
              <w:bottom w:w="80" w:type="dxa"/>
              <w:right w:w="100" w:type="dxa"/>
            </w:tcMar>
          </w:tcPr>
          <w:p>
            <w:pPr>
              <w:pStyle w:val="Meta"/>
            </w:pPr>
            <w:r>
              <w:rPr>
                <w:b/>
                <w:color w:val="17365D"/>
              </w:rPr>
              <w:t xml:space="preserve">Stand</w:t>
            </w:r>
          </w:p>
        </w:tc>
        <w:tc>
          <w:tcPr>
            <w:tcW w:w="3700" w:type="pct"/>
            <w:shd w:val="clear" w:fill="FFFFFF"/>
            <w:tcMar>
              <w:top w:w="80" w:type="dxa"/>
              <w:left w:w="100" w:type="dxa"/>
              <w:bottom w:w="80" w:type="dxa"/>
              <w:right w:w="100" w:type="dxa"/>
            </w:tcMar>
          </w:tcPr>
          <w:p>
            <w:pPr>
              <w:pStyle w:val="Meta"/>
            </w:pPr>
            <w:r>
              <w:rPr/>
              <w:t xml:space="preserve">Stand 14.08.2026: Beide Ursachen sind gefunden und im Programm korrigiert. Die Korrekturen sind jedoch noch nicht wirksam, weil die Transaktion ein anderes Programm startet als bisher angenommen. Das ist der eigentliche Grund, warum der Fehler trotz vorhandener Korrektur bestehen bleibt.</w:t>
            </w:r>
          </w:p>
        </w:tc>
      </w:tr>
      <w:tr>
        <w:tc>
          <w:tcPr>
            <w:tcW w:w="1300" w:type="pct"/>
            <w:shd w:val="clear" w:fill="D9E2F3"/>
            <w:tcMar>
              <w:top w:w="80" w:type="dxa"/>
              <w:left w:w="100" w:type="dxa"/>
              <w:bottom w:w="80" w:type="dxa"/>
              <w:right w:w="100" w:type="dxa"/>
            </w:tcMar>
          </w:tcPr>
          <w:p>
            <w:pPr>
              <w:pStyle w:val="Meta"/>
            </w:pPr>
            <w:r>
              <w:rPr>
                <w:b/>
                <w:color w:val="17365D"/>
              </w:rPr>
              <w:t xml:space="preserve">Nächster Schritt</w:t>
            </w:r>
          </w:p>
        </w:tc>
        <w:tc>
          <w:tcPr>
            <w:tcW w:w="3700" w:type="pct"/>
            <w:shd w:val="clear" w:fill="FFFFFF"/>
            <w:tcMar>
              <w:top w:w="80" w:type="dxa"/>
              <w:left w:w="100" w:type="dxa"/>
              <w:bottom w:w="80" w:type="dxa"/>
              <w:right w:w="100" w:type="dxa"/>
            </w:tcMar>
          </w:tcPr>
          <w:p>
            <w:pPr>
              <w:pStyle w:val="Meta"/>
            </w:pPr>
            <w:r>
              <w:rPr/>
              <w:t xml:space="preserve">Diagnoselauf und Rückfalltest, danach Transport in das Produktivsystem.</w:t>
            </w:r>
          </w:p>
        </w:tc>
      </w:tr>
      <w:tr>
        <w:tc>
          <w:tcPr>
            <w:tcW w:w="1300" w:type="pct"/>
            <w:shd w:val="clear" w:fill="D9E2F3"/>
            <w:tcMar>
              <w:top w:w="80" w:type="dxa"/>
              <w:left w:w="100" w:type="dxa"/>
              <w:bottom w:w="80" w:type="dxa"/>
              <w:right w:w="100" w:type="dxa"/>
            </w:tcMar>
          </w:tcPr>
          <w:p>
            <w:pPr>
              <w:pStyle w:val="Meta"/>
            </w:pPr>
            <w:r>
              <w:rPr>
                <w:b/>
                <w:color w:val="17365D"/>
              </w:rPr>
              <w:t xml:space="preserve">Wer entscheidet</w:t>
            </w:r>
          </w:p>
        </w:tc>
        <w:tc>
          <w:tcPr>
            <w:tcW w:w="3700" w:type="pct"/>
            <w:shd w:val="clear" w:fill="FFFFFF"/>
            <w:tcMar>
              <w:top w:w="80" w:type="dxa"/>
              <w:left w:w="100" w:type="dxa"/>
              <w:bottom w:w="80" w:type="dxa"/>
              <w:right w:w="100" w:type="dxa"/>
            </w:tcMar>
          </w:tcPr>
          <w:p>
            <w:pPr>
              <w:pStyle w:val="Meta"/>
            </w:pPr>
            <w:r>
              <w:rPr/>
              <w:t xml:space="preserve">Ich technisch. Vor der Auslieferung muss Ann-Katrin Michel wissen, dass eine Spalte neu einen dritten Wert für nicht entscheidbare Fälle bekommt.</w:t>
            </w:r>
          </w:p>
        </w:tc>
      </w:tr>
      <w:tr>
        <w:tc>
          <w:tcPr>
            <w:tcW w:w="1300" w:type="pct"/>
            <w:shd w:val="clear" w:fill="D9E2F3"/>
            <w:tcMar>
              <w:top w:w="80" w:type="dxa"/>
              <w:left w:w="100" w:type="dxa"/>
              <w:bottom w:w="80" w:type="dxa"/>
              <w:right w:w="100" w:type="dxa"/>
            </w:tcMar>
          </w:tcPr>
          <w:p>
            <w:pPr>
              <w:pStyle w:val="Meta"/>
            </w:pPr>
            <w:r>
              <w:rPr>
                <w:b/>
                <w:color w:val="17365D"/>
              </w:rPr>
              <w:t xml:space="preserve">Termin</w:t>
            </w:r>
          </w:p>
        </w:tc>
        <w:tc>
          <w:tcPr>
            <w:tcW w:w="3700" w:type="pct"/>
            <w:shd w:val="clear" w:fill="FFF2CC"/>
            <w:tcMar>
              <w:top w:w="80" w:type="dxa"/>
              <w:left w:w="100" w:type="dxa"/>
              <w:bottom w:w="80" w:type="dxa"/>
              <w:right w:w="100" w:type="dxa"/>
            </w:tcMar>
          </w:tcPr>
          <w:p>
            <w:pPr>
              <w:pStyle w:val="Meta"/>
            </w:pPr>
            <w:r>
              <w:rPr/>
              <w:t xml:space="preserve">Kein Termin, aber erhöhtes Risiko: Eine falsch gesetzte Kennzeichnung kann zur Kündigung eines noch benötigten Mengenkontrakts führen.</w:t>
            </w:r>
          </w:p>
        </w:tc>
      </w:tr>
    </w:tbl>
    <w:p>
      <w:pPr>
        <w:pStyle w:val="Meta"/>
        <w:spacing w:after="0" w:line="160" w:lineRule="exact"/>
      </w:pPr>
    </w:p>
    <w:p>
      <w:pPr>
        <w:pStyle w:val="Heading2"/>
      </w:pPr>
      <w:r>
        <w:rPr/>
        <w:t xml:space="preserve">PM-03 · Produktionsdatum am Fertigungsauftrag (ZZPRDAT)</w:t>
      </w:r>
    </w:p>
    <w:tbl>
      <w:tblPr>
        <w:tblW w:w="5000" w:type="pct"/>
        <w:tblBorders>
          <w:top w:val="single" w:color="B4C6E7" w:sz="4"/>
          <w:left w:val="single" w:color="B4C6E7" w:sz="4"/>
          <w:bottom w:val="single" w:color="B4C6E7" w:sz="4"/>
          <w:right w:val="single" w:color="B4C6E7" w:sz="4"/>
          <w:insideH w:val="single" w:color="D9E2F3" w:sz="3"/>
          <w:insideV w:val="single" w:color="D9E2F3" w:sz="3"/>
        </w:tblBorders>
      </w:tblPr>
      <w:tblGrid>
        <w:gridCol w:w="1300"/>
        <w:gridCol w:w="3700"/>
      </w:tblGrid>
      <w:tr>
        <w:tc>
          <w:tcPr>
            <w:tcW w:w="1300" w:type="pct"/>
            <w:shd w:val="clear" w:fill="D9E2F3"/>
            <w:tcMar>
              <w:top w:w="80" w:type="dxa"/>
              <w:left w:w="100" w:type="dxa"/>
              <w:bottom w:w="80" w:type="dxa"/>
              <w:right w:w="100" w:type="dxa"/>
            </w:tcMar>
          </w:tcPr>
          <w:p>
            <w:pPr>
              <w:pStyle w:val="Meta"/>
            </w:pPr>
            <w:r>
              <w:rPr>
                <w:b/>
                <w:color w:val="17365D"/>
              </w:rPr>
              <w:t xml:space="preserve">Auftrag</w:t>
            </w:r>
          </w:p>
        </w:tc>
        <w:tc>
          <w:tcPr>
            <w:tcW w:w="3700" w:type="pct"/>
            <w:shd w:val="clear" w:fill="FFFFFF"/>
            <w:tcMar>
              <w:top w:w="80" w:type="dxa"/>
              <w:left w:w="100" w:type="dxa"/>
              <w:bottom w:w="80" w:type="dxa"/>
              <w:right w:w="100" w:type="dxa"/>
            </w:tcMar>
          </w:tcPr>
          <w:p>
            <w:pPr>
              <w:pStyle w:val="Meta"/>
            </w:pPr>
            <w:r>
              <w:rPr/>
              <w:t xml:space="preserve">Das Produktionsdatum soll am Fertigungsauftrag automatisch, einmalig und danach unveränderlich gespeichert werden. Es wird für den Etikettendruck gebraucht.</w:t>
            </w:r>
          </w:p>
        </w:tc>
      </w:tr>
      <w:tr>
        <w:tc>
          <w:tcPr>
            <w:tcW w:w="1300" w:type="pct"/>
            <w:shd w:val="clear" w:fill="D9E2F3"/>
            <w:tcMar>
              <w:top w:w="80" w:type="dxa"/>
              <w:left w:w="100" w:type="dxa"/>
              <w:bottom w:w="80" w:type="dxa"/>
              <w:right w:w="100" w:type="dxa"/>
            </w:tcMar>
          </w:tcPr>
          <w:p>
            <w:pPr>
              <w:pStyle w:val="Meta"/>
            </w:pPr>
            <w:r>
              <w:rPr>
                <w:b/>
                <w:color w:val="17365D"/>
              </w:rPr>
              <w:t xml:space="preserve">Stand</w:t>
            </w:r>
          </w:p>
        </w:tc>
        <w:tc>
          <w:tcPr>
            <w:tcW w:w="3700" w:type="pct"/>
            <w:shd w:val="clear" w:fill="FFFFFF"/>
            <w:tcMar>
              <w:top w:w="80" w:type="dxa"/>
              <w:left w:w="100" w:type="dxa"/>
              <w:bottom w:w="80" w:type="dxa"/>
              <w:right w:w="100" w:type="dxa"/>
            </w:tcMar>
          </w:tcPr>
          <w:p>
            <w:pPr>
              <w:pStyle w:val="Meta"/>
            </w:pPr>
            <w:r>
              <w:rPr/>
              <w:t xml:space="preserve">Stand 26.08.2026: Die Vorarbeit ist abgeschlossen und hat die bisherige Annahme widerlegt. Die Prüfung im System zeigt, dass es gegenwärtig überhaupt keinen aktiven Programmteil gibt, der dieses Feld schreibt. Der alte Programmstand taugt deshalb nicht als Vorlage; die Umsetzung wird vollständig aus der Anforderung abgeleitet.</w:t>
            </w:r>
          </w:p>
        </w:tc>
      </w:tr>
      <w:tr>
        <w:tc>
          <w:tcPr>
            <w:tcW w:w="1300" w:type="pct"/>
            <w:shd w:val="clear" w:fill="D9E2F3"/>
            <w:tcMar>
              <w:top w:w="80" w:type="dxa"/>
              <w:left w:w="100" w:type="dxa"/>
              <w:bottom w:w="80" w:type="dxa"/>
              <w:right w:w="100" w:type="dxa"/>
            </w:tcMar>
          </w:tcPr>
          <w:p>
            <w:pPr>
              <w:pStyle w:val="Meta"/>
            </w:pPr>
            <w:r>
              <w:rPr>
                <w:b/>
                <w:color w:val="17365D"/>
              </w:rPr>
              <w:t xml:space="preserve">Nächster Schritt</w:t>
            </w:r>
          </w:p>
        </w:tc>
        <w:tc>
          <w:tcPr>
            <w:tcW w:w="3700" w:type="pct"/>
            <w:shd w:val="clear" w:fill="FFFFFF"/>
            <w:tcMar>
              <w:top w:w="80" w:type="dxa"/>
              <w:left w:w="100" w:type="dxa"/>
              <w:bottom w:w="80" w:type="dxa"/>
              <w:right w:w="100" w:type="dxa"/>
            </w:tcMar>
          </w:tcPr>
          <w:p>
            <w:pPr>
              <w:pStyle w:val="Meta"/>
            </w:pPr>
            <w:r>
              <w:rPr/>
              <w:t xml:space="preserve">Den Auslösezeitpunkt klären, danach umsetzen, in acht Fällen testen, transportieren und die bestehenden Aufträge nachfüllen.</w:t>
            </w:r>
          </w:p>
        </w:tc>
      </w:tr>
      <w:tr>
        <w:tc>
          <w:tcPr>
            <w:tcW w:w="1300" w:type="pct"/>
            <w:shd w:val="clear" w:fill="D9E2F3"/>
            <w:tcMar>
              <w:top w:w="80" w:type="dxa"/>
              <w:left w:w="100" w:type="dxa"/>
              <w:bottom w:w="80" w:type="dxa"/>
              <w:right w:w="100" w:type="dxa"/>
            </w:tcMar>
          </w:tcPr>
          <w:p>
            <w:pPr>
              <w:pStyle w:val="Meta"/>
            </w:pPr>
            <w:r>
              <w:rPr>
                <w:b/>
                <w:color w:val="17365D"/>
              </w:rPr>
              <w:t xml:space="preserve">Wer entscheidet</w:t>
            </w:r>
          </w:p>
        </w:tc>
        <w:tc>
          <w:tcPr>
            <w:tcW w:w="3700" w:type="pct"/>
            <w:shd w:val="clear" w:fill="FFFFFF"/>
            <w:tcMar>
              <w:top w:w="80" w:type="dxa"/>
              <w:left w:w="100" w:type="dxa"/>
              <w:bottom w:w="80" w:type="dxa"/>
              <w:right w:w="100" w:type="dxa"/>
            </w:tcMar>
          </w:tcPr>
          <w:p>
            <w:pPr>
              <w:pStyle w:val="Meta"/>
            </w:pPr>
            <w:r>
              <w:rPr/>
              <w:t xml:space="preserve">Lucas Castro und Florian Wächter für den Auslösezeitpunkt; Marco Di Menco oder Florian Wächter für das Quellfeld.</w:t>
            </w:r>
          </w:p>
        </w:tc>
      </w:tr>
      <w:tr>
        <w:tc>
          <w:tcPr>
            <w:tcW w:w="1300" w:type="pct"/>
            <w:shd w:val="clear" w:fill="D9E2F3"/>
            <w:tcMar>
              <w:top w:w="80" w:type="dxa"/>
              <w:left w:w="100" w:type="dxa"/>
              <w:bottom w:w="80" w:type="dxa"/>
              <w:right w:w="100" w:type="dxa"/>
            </w:tcMar>
          </w:tcPr>
          <w:p>
            <w:pPr>
              <w:pStyle w:val="Meta"/>
            </w:pPr>
            <w:r>
              <w:rPr>
                <w:b/>
                <w:color w:val="17365D"/>
              </w:rPr>
              <w:t xml:space="preserve">Termin</w:t>
            </w:r>
          </w:p>
        </w:tc>
        <w:tc>
          <w:tcPr>
            <w:tcW w:w="3700" w:type="pct"/>
            <w:shd w:val="clear" w:fill="FFF2CC"/>
            <w:tcMar>
              <w:top w:w="80" w:type="dxa"/>
              <w:left w:w="100" w:type="dxa"/>
              <w:bottom w:w="80" w:type="dxa"/>
              <w:right w:w="100" w:type="dxa"/>
            </w:tcMar>
          </w:tcPr>
          <w:p>
            <w:pPr>
              <w:pStyle w:val="Meta"/>
            </w:pPr>
            <w:r>
              <w:rPr/>
              <w:t xml:space="preserve">Kein Termin. Die Klärung des Auslösezeitpunkts ist der letzte verbliebene Blocker vor der Umsetzung.</w:t>
            </w:r>
          </w:p>
        </w:tc>
      </w:tr>
    </w:tbl>
    <w:p>
      <w:pPr>
        <w:pStyle w:val="Meta"/>
        <w:spacing w:after="0" w:line="160" w:lineRule="exact"/>
      </w:pPr>
    </w:p>
    <w:p>
      <w:pPr>
        <w:pStyle w:val="Heading2"/>
      </w:pPr>
      <w:r>
        <w:rPr/>
        <w:t xml:space="preserve">PM-07 · Automatische Auswertung der Personaldaten</w:t>
      </w:r>
    </w:p>
    <w:tbl>
      <w:tblPr>
        <w:tblW w:w="5000" w:type="pct"/>
        <w:tblBorders>
          <w:top w:val="single" w:color="B4C6E7" w:sz="4"/>
          <w:left w:val="single" w:color="B4C6E7" w:sz="4"/>
          <w:bottom w:val="single" w:color="B4C6E7" w:sz="4"/>
          <w:right w:val="single" w:color="B4C6E7" w:sz="4"/>
          <w:insideH w:val="single" w:color="D9E2F3" w:sz="3"/>
          <w:insideV w:val="single" w:color="D9E2F3" w:sz="3"/>
        </w:tblBorders>
      </w:tblPr>
      <w:tblGrid>
        <w:gridCol w:w="1300"/>
        <w:gridCol w:w="3700"/>
      </w:tblGrid>
      <w:tr>
        <w:tc>
          <w:tcPr>
            <w:tcW w:w="1300" w:type="pct"/>
            <w:shd w:val="clear" w:fill="D9E2F3"/>
            <w:tcMar>
              <w:top w:w="80" w:type="dxa"/>
              <w:left w:w="100" w:type="dxa"/>
              <w:bottom w:w="80" w:type="dxa"/>
              <w:right w:w="100" w:type="dxa"/>
            </w:tcMar>
          </w:tcPr>
          <w:p>
            <w:pPr>
              <w:pStyle w:val="Meta"/>
            </w:pPr>
            <w:r>
              <w:rPr>
                <w:b/>
                <w:color w:val="17365D"/>
              </w:rPr>
              <w:t xml:space="preserve">Auftrag</w:t>
            </w:r>
          </w:p>
        </w:tc>
        <w:tc>
          <w:tcPr>
            <w:tcW w:w="3700" w:type="pct"/>
            <w:shd w:val="clear" w:fill="FFFFFF"/>
            <w:tcMar>
              <w:top w:w="80" w:type="dxa"/>
              <w:left w:w="100" w:type="dxa"/>
              <w:bottom w:w="80" w:type="dxa"/>
              <w:right w:w="100" w:type="dxa"/>
            </w:tcMar>
          </w:tcPr>
          <w:p>
            <w:pPr>
              <w:pStyle w:val="Meta"/>
            </w:pPr>
            <w:r>
              <w:rPr/>
              <w:t xml:space="preserve">Die Personalkennzahlen, insbesondere Fluktuation und Absenzen, sollen periodisch automatisch aktualisiert werden statt einmalig von Hand eingelesen.</w:t>
            </w:r>
          </w:p>
        </w:tc>
      </w:tr>
      <w:tr>
        <w:tc>
          <w:tcPr>
            <w:tcW w:w="1300" w:type="pct"/>
            <w:shd w:val="clear" w:fill="D9E2F3"/>
            <w:tcMar>
              <w:top w:w="80" w:type="dxa"/>
              <w:left w:w="100" w:type="dxa"/>
              <w:bottom w:w="80" w:type="dxa"/>
              <w:right w:w="100" w:type="dxa"/>
            </w:tcMar>
          </w:tcPr>
          <w:p>
            <w:pPr>
              <w:pStyle w:val="Meta"/>
            </w:pPr>
            <w:r>
              <w:rPr>
                <w:b/>
                <w:color w:val="17365D"/>
              </w:rPr>
              <w:t xml:space="preserve">Stand</w:t>
            </w:r>
          </w:p>
        </w:tc>
        <w:tc>
          <w:tcPr>
            <w:tcW w:w="3700" w:type="pct"/>
            <w:shd w:val="clear" w:fill="FFFFFF"/>
            <w:tcMar>
              <w:top w:w="80" w:type="dxa"/>
              <w:left w:w="100" w:type="dxa"/>
              <w:bottom w:w="80" w:type="dxa"/>
              <w:right w:w="100" w:type="dxa"/>
            </w:tcMar>
          </w:tcPr>
          <w:p>
            <w:pPr>
              <w:pStyle w:val="Meta"/>
            </w:pPr>
            <w:r>
              <w:rPr/>
              <w:t xml:space="preserve">Stand 19.08.2026: Das Personal-Cockpit steht seit Mai 2026 mit einmalig eingebauten Daten; die Fluktuationsformel stammt von Sonja, die Plausibilisierung von Nadja. Eine externe Firma baut derzeit den automatischen Export.</w:t>
            </w:r>
          </w:p>
        </w:tc>
      </w:tr>
      <w:tr>
        <w:tc>
          <w:tcPr>
            <w:tcW w:w="1300" w:type="pct"/>
            <w:shd w:val="clear" w:fill="D9E2F3"/>
            <w:tcMar>
              <w:top w:w="80" w:type="dxa"/>
              <w:left w:w="100" w:type="dxa"/>
              <w:bottom w:w="80" w:type="dxa"/>
              <w:right w:w="100" w:type="dxa"/>
            </w:tcMar>
          </w:tcPr>
          <w:p>
            <w:pPr>
              <w:pStyle w:val="Meta"/>
            </w:pPr>
            <w:r>
              <w:rPr>
                <w:b/>
                <w:color w:val="17365D"/>
              </w:rPr>
              <w:t xml:space="preserve">Nächster Schritt</w:t>
            </w:r>
          </w:p>
        </w:tc>
        <w:tc>
          <w:tcPr>
            <w:tcW w:w="3700" w:type="pct"/>
            <w:shd w:val="clear" w:fill="FFFFFF"/>
            <w:tcMar>
              <w:top w:w="80" w:type="dxa"/>
              <w:left w:w="100" w:type="dxa"/>
              <w:bottom w:w="80" w:type="dxa"/>
              <w:right w:w="100" w:type="dxa"/>
            </w:tcMar>
          </w:tcPr>
          <w:p>
            <w:pPr>
              <w:pStyle w:val="Meta"/>
            </w:pPr>
            <w:r>
              <w:rPr/>
              <w:t xml:space="preserve">Zeitplan, Ablageort, Format und Häufigkeit des externen Exports erfragen; erst danach ist die Anbindung planbar.</w:t>
            </w:r>
          </w:p>
        </w:tc>
      </w:tr>
      <w:tr>
        <w:tc>
          <w:tcPr>
            <w:tcW w:w="1300" w:type="pct"/>
            <w:shd w:val="clear" w:fill="D9E2F3"/>
            <w:tcMar>
              <w:top w:w="80" w:type="dxa"/>
              <w:left w:w="100" w:type="dxa"/>
              <w:bottom w:w="80" w:type="dxa"/>
              <w:right w:w="100" w:type="dxa"/>
            </w:tcMar>
          </w:tcPr>
          <w:p>
            <w:pPr>
              <w:pStyle w:val="Meta"/>
            </w:pPr>
            <w:r>
              <w:rPr>
                <w:b/>
                <w:color w:val="17365D"/>
              </w:rPr>
              <w:t xml:space="preserve">Wer entscheidet</w:t>
            </w:r>
          </w:p>
        </w:tc>
        <w:tc>
          <w:tcPr>
            <w:tcW w:w="3700" w:type="pct"/>
            <w:shd w:val="clear" w:fill="FFFFFF"/>
            <w:tcMar>
              <w:top w:w="80" w:type="dxa"/>
              <w:left w:w="100" w:type="dxa"/>
              <w:bottom w:w="80" w:type="dxa"/>
              <w:right w:w="100" w:type="dxa"/>
            </w:tcMar>
          </w:tcPr>
          <w:p>
            <w:pPr>
              <w:pStyle w:val="Meta"/>
            </w:pPr>
            <w:r>
              <w:rPr/>
              <w:t xml:space="preserve">Die externe Firma bestimmt den Zeitpunkt. Fachliche Abnahme durch Sonja, Plausibilisierung durch Nadja.</w:t>
            </w:r>
          </w:p>
        </w:tc>
      </w:tr>
      <w:tr>
        <w:tc>
          <w:tcPr>
            <w:tcW w:w="1300" w:type="pct"/>
            <w:shd w:val="clear" w:fill="D9E2F3"/>
            <w:tcMar>
              <w:top w:w="80" w:type="dxa"/>
              <w:left w:w="100" w:type="dxa"/>
              <w:bottom w:w="80" w:type="dxa"/>
              <w:right w:w="100" w:type="dxa"/>
            </w:tcMar>
          </w:tcPr>
          <w:p>
            <w:pPr>
              <w:pStyle w:val="Meta"/>
            </w:pPr>
            <w:r>
              <w:rPr>
                <w:b/>
                <w:color w:val="17365D"/>
              </w:rPr>
              <w:t xml:space="preserve">Termin</w:t>
            </w:r>
          </w:p>
        </w:tc>
        <w:tc>
          <w:tcPr>
            <w:tcW w:w="3700" w:type="pct"/>
            <w:shd w:val="clear" w:fill="FFF2CC"/>
            <w:tcMar>
              <w:top w:w="80" w:type="dxa"/>
              <w:left w:w="100" w:type="dxa"/>
              <w:bottom w:w="80" w:type="dxa"/>
              <w:right w:w="100" w:type="dxa"/>
            </w:tcMar>
          </w:tcPr>
          <w:p>
            <w:pPr>
              <w:pStyle w:val="Meta"/>
            </w:pPr>
            <w:r>
              <w:rPr/>
              <w:t xml:space="preserve">Kein Termin, weil er von einem externen Lieferanten abhängt und dort noch nicht bekannt ist.</w:t>
            </w:r>
          </w:p>
        </w:tc>
      </w:tr>
    </w:tbl>
    <w:p>
      <w:pPr>
        <w:pStyle w:val="Meta"/>
        <w:spacing w:after="0" w:line="160" w:lineRule="exact"/>
      </w:pPr>
    </w:p>
    <w:p>
      <w:pPr>
        <w:pStyle w:val="Heading2"/>
      </w:pPr>
      <w:r>
        <w:rPr/>
        <w:t xml:space="preserve">PM-02 · SAP-Programm ZC12, Fehler bei Menge null</w:t>
      </w:r>
    </w:p>
    <w:tbl>
      <w:tblPr>
        <w:tblW w:w="5000" w:type="pct"/>
        <w:tblBorders>
          <w:top w:val="single" w:color="B4C6E7" w:sz="4"/>
          <w:left w:val="single" w:color="B4C6E7" w:sz="4"/>
          <w:bottom w:val="single" w:color="B4C6E7" w:sz="4"/>
          <w:right w:val="single" w:color="B4C6E7" w:sz="4"/>
          <w:insideH w:val="single" w:color="D9E2F3" w:sz="3"/>
          <w:insideV w:val="single" w:color="D9E2F3" w:sz="3"/>
        </w:tblBorders>
      </w:tblPr>
      <w:tblGrid>
        <w:gridCol w:w="1300"/>
        <w:gridCol w:w="3700"/>
      </w:tblGrid>
      <w:tr>
        <w:tc>
          <w:tcPr>
            <w:tcW w:w="1300" w:type="pct"/>
            <w:shd w:val="clear" w:fill="D9E2F3"/>
            <w:tcMar>
              <w:top w:w="80" w:type="dxa"/>
              <w:left w:w="100" w:type="dxa"/>
              <w:bottom w:w="80" w:type="dxa"/>
              <w:right w:w="100" w:type="dxa"/>
            </w:tcMar>
          </w:tcPr>
          <w:p>
            <w:pPr>
              <w:pStyle w:val="Meta"/>
            </w:pPr>
            <w:r>
              <w:rPr>
                <w:b/>
                <w:color w:val="17365D"/>
              </w:rPr>
              <w:t xml:space="preserve">Auftrag</w:t>
            </w:r>
          </w:p>
        </w:tc>
        <w:tc>
          <w:tcPr>
            <w:tcW w:w="3700" w:type="pct"/>
            <w:shd w:val="clear" w:fill="FFFFFF"/>
            <w:tcMar>
              <w:top w:w="80" w:type="dxa"/>
              <w:left w:w="100" w:type="dxa"/>
              <w:bottom w:w="80" w:type="dxa"/>
              <w:right w:w="100" w:type="dxa"/>
            </w:tcMar>
          </w:tcPr>
          <w:p>
            <w:pPr>
              <w:pStyle w:val="Meta"/>
            </w:pPr>
            <w:r>
              <w:rPr/>
              <w:t xml:space="preserve">Das Programm überträgt Vorgabewerte in Arbeitspläne. Zeilen mit der Menge null werden dabei übersprungen.</w:t>
            </w:r>
          </w:p>
        </w:tc>
      </w:tr>
      <w:tr>
        <w:tc>
          <w:tcPr>
            <w:tcW w:w="1300" w:type="pct"/>
            <w:shd w:val="clear" w:fill="D9E2F3"/>
            <w:tcMar>
              <w:top w:w="80" w:type="dxa"/>
              <w:left w:w="100" w:type="dxa"/>
              <w:bottom w:w="80" w:type="dxa"/>
              <w:right w:w="100" w:type="dxa"/>
            </w:tcMar>
          </w:tcPr>
          <w:p>
            <w:pPr>
              <w:pStyle w:val="Meta"/>
            </w:pPr>
            <w:r>
              <w:rPr>
                <w:b/>
                <w:color w:val="17365D"/>
              </w:rPr>
              <w:t xml:space="preserve">Stand</w:t>
            </w:r>
          </w:p>
        </w:tc>
        <w:tc>
          <w:tcPr>
            <w:tcW w:w="3700" w:type="pct"/>
            <w:shd w:val="clear" w:fill="FFFFFF"/>
            <w:tcMar>
              <w:top w:w="80" w:type="dxa"/>
              <w:left w:w="100" w:type="dxa"/>
              <w:bottom w:w="80" w:type="dxa"/>
              <w:right w:w="100" w:type="dxa"/>
            </w:tcMar>
          </w:tcPr>
          <w:p>
            <w:pPr>
              <w:pStyle w:val="Meta"/>
            </w:pPr>
            <w:r>
              <w:rPr/>
              <w:t xml:space="preserve">Stand 14.08.2026: Das Fehlerbild ist rekonstruiert. Es gibt keinen stillen Datenverlust, die übersprungenen Zeilen stehen im Fehlerprotokoll. Die Nachprüfung ist blockiert, weil die Ablaufverfolgung im Programm abgeschaltet ist. Arbeitshypothese: keine Verschlechterung, sondern eine Lücke im Test von Mai 2026.</w:t>
            </w:r>
          </w:p>
        </w:tc>
      </w:tr>
      <w:tr>
        <w:tc>
          <w:tcPr>
            <w:tcW w:w="1300" w:type="pct"/>
            <w:shd w:val="clear" w:fill="D9E2F3"/>
            <w:tcMar>
              <w:top w:w="80" w:type="dxa"/>
              <w:left w:w="100" w:type="dxa"/>
              <w:bottom w:w="80" w:type="dxa"/>
              <w:right w:w="100" w:type="dxa"/>
            </w:tcMar>
          </w:tcPr>
          <w:p>
            <w:pPr>
              <w:pStyle w:val="Meta"/>
            </w:pPr>
            <w:r>
              <w:rPr>
                <w:b/>
                <w:color w:val="17365D"/>
              </w:rPr>
              <w:t xml:space="preserve">Nächster Schritt</w:t>
            </w:r>
          </w:p>
        </w:tc>
        <w:tc>
          <w:tcPr>
            <w:tcW w:w="3700" w:type="pct"/>
            <w:shd w:val="clear" w:fill="FFFFFF"/>
            <w:tcMar>
              <w:top w:w="80" w:type="dxa"/>
              <w:left w:w="100" w:type="dxa"/>
              <w:bottom w:w="80" w:type="dxa"/>
              <w:right w:w="100" w:type="dxa"/>
            </w:tcMar>
          </w:tcPr>
          <w:p>
            <w:pPr>
              <w:pStyle w:val="Meta"/>
            </w:pPr>
            <w:r>
              <w:rPr/>
              <w:t xml:space="preserve">Zuerst prüfen, ob die Transaktion wirklich zu diesem Programm gehört, danach die Ablaufverfolgung wieder einschalten.</w:t>
            </w:r>
          </w:p>
        </w:tc>
      </w:tr>
      <w:tr>
        <w:tc>
          <w:tcPr>
            <w:tcW w:w="1300" w:type="pct"/>
            <w:shd w:val="clear" w:fill="D9E2F3"/>
            <w:tcMar>
              <w:top w:w="80" w:type="dxa"/>
              <w:left w:w="100" w:type="dxa"/>
              <w:bottom w:w="80" w:type="dxa"/>
              <w:right w:w="100" w:type="dxa"/>
            </w:tcMar>
          </w:tcPr>
          <w:p>
            <w:pPr>
              <w:pStyle w:val="Meta"/>
            </w:pPr>
            <w:r>
              <w:rPr>
                <w:b/>
                <w:color w:val="17365D"/>
              </w:rPr>
              <w:t xml:space="preserve">Wer entscheidet</w:t>
            </w:r>
          </w:p>
        </w:tc>
        <w:tc>
          <w:tcPr>
            <w:tcW w:w="3700" w:type="pct"/>
            <w:shd w:val="clear" w:fill="FFFFFF"/>
            <w:tcMar>
              <w:top w:w="80" w:type="dxa"/>
              <w:left w:w="100" w:type="dxa"/>
              <w:bottom w:w="80" w:type="dxa"/>
              <w:right w:w="100" w:type="dxa"/>
            </w:tcMar>
          </w:tcPr>
          <w:p>
            <w:pPr>
              <w:pStyle w:val="Meta"/>
            </w:pPr>
            <w:r>
              <w:rPr/>
              <w:t xml:space="preserve">Ich; die Testfreigabe erfolgt wie bisher durch Adil.</w:t>
            </w:r>
          </w:p>
        </w:tc>
      </w:tr>
      <w:tr>
        <w:tc>
          <w:tcPr>
            <w:tcW w:w="1300" w:type="pct"/>
            <w:shd w:val="clear" w:fill="D9E2F3"/>
            <w:tcMar>
              <w:top w:w="80" w:type="dxa"/>
              <w:left w:w="100" w:type="dxa"/>
              <w:bottom w:w="80" w:type="dxa"/>
              <w:right w:w="100" w:type="dxa"/>
            </w:tcMar>
          </w:tcPr>
          <w:p>
            <w:pPr>
              <w:pStyle w:val="Meta"/>
            </w:pPr>
            <w:r>
              <w:rPr>
                <w:b/>
                <w:color w:val="17365D"/>
              </w:rPr>
              <w:t xml:space="preserve">Termin</w:t>
            </w:r>
          </w:p>
        </w:tc>
        <w:tc>
          <w:tcPr>
            <w:tcW w:w="3700" w:type="pct"/>
            <w:shd w:val="clear" w:fill="E2EFDA"/>
            <w:tcMar>
              <w:top w:w="80" w:type="dxa"/>
              <w:left w:w="100" w:type="dxa"/>
              <w:bottom w:w="80" w:type="dxa"/>
              <w:right w:w="100" w:type="dxa"/>
            </w:tcMar>
          </w:tcPr>
          <w:p>
            <w:pPr>
              <w:pStyle w:val="Meta"/>
            </w:pPr>
            <w:r>
              <w:rPr/>
              <w:t xml:space="preserve">Kein Termin, Priorität mittel.</w:t>
            </w:r>
          </w:p>
        </w:tc>
      </w:tr>
    </w:tbl>
    <w:p>
      <w:pPr>
        <w:pStyle w:val="Meta"/>
        <w:spacing w:after="0" w:line="160" w:lineRule="exact"/>
      </w:pPr>
    </w:p>
    <w:p>
      <w:pPr>
        <w:pStyle w:val="Heading2"/>
      </w:pPr>
      <w:r>
        <w:rPr/>
        <w:t xml:space="preserve">PM-06 · Stoffcompliance über die SAP-Klassifizierung (PPWR)</w:t>
      </w:r>
    </w:p>
    <w:tbl>
      <w:tblPr>
        <w:tblW w:w="5000" w:type="pct"/>
        <w:tblBorders>
          <w:top w:val="single" w:color="B4C6E7" w:sz="4"/>
          <w:left w:val="single" w:color="B4C6E7" w:sz="4"/>
          <w:bottom w:val="single" w:color="B4C6E7" w:sz="4"/>
          <w:right w:val="single" w:color="B4C6E7" w:sz="4"/>
          <w:insideH w:val="single" w:color="D9E2F3" w:sz="3"/>
          <w:insideV w:val="single" w:color="D9E2F3" w:sz="3"/>
        </w:tblBorders>
      </w:tblPr>
      <w:tblGrid>
        <w:gridCol w:w="1300"/>
        <w:gridCol w:w="3700"/>
      </w:tblGrid>
      <w:tr>
        <w:tc>
          <w:tcPr>
            <w:tcW w:w="1300" w:type="pct"/>
            <w:shd w:val="clear" w:fill="D9E2F3"/>
            <w:tcMar>
              <w:top w:w="80" w:type="dxa"/>
              <w:left w:w="100" w:type="dxa"/>
              <w:bottom w:w="80" w:type="dxa"/>
              <w:right w:w="100" w:type="dxa"/>
            </w:tcMar>
          </w:tcPr>
          <w:p>
            <w:pPr>
              <w:pStyle w:val="Meta"/>
            </w:pPr>
            <w:r>
              <w:rPr>
                <w:b/>
                <w:color w:val="17365D"/>
              </w:rPr>
              <w:t xml:space="preserve">Auftrag</w:t>
            </w:r>
          </w:p>
        </w:tc>
        <w:tc>
          <w:tcPr>
            <w:tcW w:w="3700" w:type="pct"/>
            <w:shd w:val="clear" w:fill="FFFFFF"/>
            <w:tcMar>
              <w:top w:w="80" w:type="dxa"/>
              <w:left w:w="100" w:type="dxa"/>
              <w:bottom w:w="80" w:type="dxa"/>
              <w:right w:w="100" w:type="dxa"/>
            </w:tcMar>
          </w:tcPr>
          <w:p>
            <w:pPr>
              <w:pStyle w:val="Meta"/>
            </w:pPr>
            <w:r>
              <w:rPr/>
              <w:t xml:space="preserve">Die Verpackungs- und Stoffangaben sollen über die SAP-Klassifizierung geführt werden, damit sie auswertbar sind.</w:t>
            </w:r>
          </w:p>
        </w:tc>
      </w:tr>
      <w:tr>
        <w:tc>
          <w:tcPr>
            <w:tcW w:w="1300" w:type="pct"/>
            <w:shd w:val="clear" w:fill="D9E2F3"/>
            <w:tcMar>
              <w:top w:w="80" w:type="dxa"/>
              <w:left w:w="100" w:type="dxa"/>
              <w:bottom w:w="80" w:type="dxa"/>
              <w:right w:w="100" w:type="dxa"/>
            </w:tcMar>
          </w:tcPr>
          <w:p>
            <w:pPr>
              <w:pStyle w:val="Meta"/>
            </w:pPr>
            <w:r>
              <w:rPr>
                <w:b/>
                <w:color w:val="17365D"/>
              </w:rPr>
              <w:t xml:space="preserve">Stand</w:t>
            </w:r>
          </w:p>
        </w:tc>
        <w:tc>
          <w:tcPr>
            <w:tcW w:w="3700" w:type="pct"/>
            <w:shd w:val="clear" w:fill="FFFFFF"/>
            <w:tcMar>
              <w:top w:w="80" w:type="dxa"/>
              <w:left w:w="100" w:type="dxa"/>
              <w:bottom w:w="80" w:type="dxa"/>
              <w:right w:w="100" w:type="dxa"/>
            </w:tcMar>
          </w:tcPr>
          <w:p>
            <w:pPr>
              <w:pStyle w:val="Meta"/>
            </w:pPr>
            <w:r>
              <w:rPr/>
              <w:t xml:space="preserve">Stand 20.08.2026: abgeschlossen. Die Pilotmaterialien sind zugeordnet und die Abnahme ist gefahren. Die technische Anlage im Testsystem war zuvor durch Zählung bestätigt.</w:t>
            </w:r>
          </w:p>
        </w:tc>
      </w:tr>
      <w:tr>
        <w:tc>
          <w:tcPr>
            <w:tcW w:w="1300" w:type="pct"/>
            <w:shd w:val="clear" w:fill="D9E2F3"/>
            <w:tcMar>
              <w:top w:w="80" w:type="dxa"/>
              <w:left w:w="100" w:type="dxa"/>
              <w:bottom w:w="80" w:type="dxa"/>
              <w:right w:w="100" w:type="dxa"/>
            </w:tcMar>
          </w:tcPr>
          <w:p>
            <w:pPr>
              <w:pStyle w:val="Meta"/>
            </w:pPr>
            <w:r>
              <w:rPr>
                <w:b/>
                <w:color w:val="17365D"/>
              </w:rPr>
              <w:t xml:space="preserve">Nächster Schritt</w:t>
            </w:r>
          </w:p>
        </w:tc>
        <w:tc>
          <w:tcPr>
            <w:tcW w:w="3700" w:type="pct"/>
            <w:shd w:val="clear" w:fill="FFFFFF"/>
            <w:tcMar>
              <w:top w:w="80" w:type="dxa"/>
              <w:left w:w="100" w:type="dxa"/>
              <w:bottom w:w="80" w:type="dxa"/>
              <w:right w:w="100" w:type="dxa"/>
            </w:tcMar>
          </w:tcPr>
          <w:p>
            <w:pPr>
              <w:pStyle w:val="Meta"/>
            </w:pPr>
            <w:r>
              <w:rPr/>
              <w:t xml:space="preserve">Keiner. Der Transport in das Produktivsystem bleibt gemäss Anlageprotokoll bis zur fachlichen Freigabe bewusst gesperrt.</w:t>
            </w:r>
          </w:p>
        </w:tc>
      </w:tr>
      <w:tr>
        <w:tc>
          <w:tcPr>
            <w:tcW w:w="1300" w:type="pct"/>
            <w:shd w:val="clear" w:fill="D9E2F3"/>
            <w:tcMar>
              <w:top w:w="80" w:type="dxa"/>
              <w:left w:w="100" w:type="dxa"/>
              <w:bottom w:w="80" w:type="dxa"/>
              <w:right w:w="100" w:type="dxa"/>
            </w:tcMar>
          </w:tcPr>
          <w:p>
            <w:pPr>
              <w:pStyle w:val="Meta"/>
            </w:pPr>
            <w:r>
              <w:rPr>
                <w:b/>
                <w:color w:val="17365D"/>
              </w:rPr>
              <w:t xml:space="preserve">Wer entscheidet</w:t>
            </w:r>
          </w:p>
        </w:tc>
        <w:tc>
          <w:tcPr>
            <w:tcW w:w="3700" w:type="pct"/>
            <w:shd w:val="clear" w:fill="FFFFFF"/>
            <w:tcMar>
              <w:top w:w="80" w:type="dxa"/>
              <w:left w:w="100" w:type="dxa"/>
              <w:bottom w:w="80" w:type="dxa"/>
              <w:right w:w="100" w:type="dxa"/>
            </w:tcMar>
          </w:tcPr>
          <w:p>
            <w:pPr>
              <w:pStyle w:val="Meta"/>
            </w:pPr>
            <w:r>
              <w:rPr/>
              <w:t xml:space="preserve">Die fachliche Freigabe entscheidet über den Transport; ich habe die technische Seite abgeschlossen.</w:t>
            </w:r>
          </w:p>
        </w:tc>
      </w:tr>
      <w:tr>
        <w:tc>
          <w:tcPr>
            <w:tcW w:w="1300" w:type="pct"/>
            <w:shd w:val="clear" w:fill="D9E2F3"/>
            <w:tcMar>
              <w:top w:w="80" w:type="dxa"/>
              <w:left w:w="100" w:type="dxa"/>
              <w:bottom w:w="80" w:type="dxa"/>
              <w:right w:w="100" w:type="dxa"/>
            </w:tcMar>
          </w:tcPr>
          <w:p>
            <w:pPr>
              <w:pStyle w:val="Meta"/>
            </w:pPr>
            <w:r>
              <w:rPr>
                <w:b/>
                <w:color w:val="17365D"/>
              </w:rPr>
              <w:t xml:space="preserve">Termin</w:t>
            </w:r>
          </w:p>
        </w:tc>
        <w:tc>
          <w:tcPr>
            <w:tcW w:w="3700" w:type="pct"/>
            <w:shd w:val="clear" w:fill="E2EFDA"/>
            <w:tcMar>
              <w:top w:w="80" w:type="dxa"/>
              <w:left w:w="100" w:type="dxa"/>
              <w:bottom w:w="80" w:type="dxa"/>
              <w:right w:w="100" w:type="dxa"/>
            </w:tcMar>
          </w:tcPr>
          <w:p>
            <w:pPr>
              <w:pStyle w:val="Meta"/>
            </w:pPr>
            <w:r>
              <w:rPr/>
              <w:t xml:space="preserve">Kein Termin, Punkt ist erledigt.</w:t>
            </w:r>
          </w:p>
        </w:tc>
      </w:tr>
    </w:tbl>
    <w:p>
      <w:pPr>
        <w:pStyle w:val="Meta"/>
        <w:spacing w:after="0" w:line="160" w:lineRule="exact"/>
      </w:pPr>
    </w:p>
    <w:p>
      <w:pPr>
        <w:pStyle w:val="Heading1"/>
        <w:pageBreakBefore/>
      </w:pPr>
      <w:r>
        <w:rPr/>
        <w:t xml:space="preserve">7. Was in den nächsten sechs Monaten fertig wird</w:t>
      </w:r>
    </w:p>
    <w:p>
      <w:pPr>
        <w:pStyle w:val="BodyText"/>
      </w:pPr>
      <w:r>
        <w:rPr/>
        <w:t xml:space="preserve">Die Planung läuft seit dem 18.06.2026 und reicht bis Mitte Dezember 2026. Sie deckt sich damit fast genau mit den kommenden sechs Monaten.</w:t>
      </w:r>
    </w:p>
    <w:p>
      <w:pPr>
        <w:pStyle w:val="Heading2"/>
      </w:pPr>
      <w:r>
        <w:rPr/>
        <w:t xml:space="preserve">7.1 Bis Ende September 2026</w:t>
      </w:r>
    </w:p>
    <w:p>
      <w:pPr>
        <w:pStyle w:val="BodyText"/>
        <w:numPr>
          <w:ilvl w:val="0"/>
          <w:numId w:val="1"/>
        </w:numPr>
        <w:spacing w:after="60" w:line="288" w:lineRule="auto"/>
      </w:pPr>
      <w:r>
        <w:t xml:space="preserve">Spanien vollständig anbinden: Die Datenquelle steht, das Datenmodell ist angeglichen. Offen ist der letzte Dateiwechsel beim Standort, damit das Buchungsdatum durchgängig kommt.</w:t>
      </w:r>
    </w:p>
    <w:p>
      <w:pPr>
        <w:pStyle w:val="BodyText"/>
        <w:numPr>
          <w:ilvl w:val="0"/>
          <w:numId w:val="1"/>
        </w:numPr>
        <w:spacing w:after="60" w:line="288" w:lineRule="auto"/>
      </w:pPr>
      <w:r>
        <w:t xml:space="preserve">Die länderspezifischen Rechenregeln für alle neun Standorte vereinheitlichen und die Unterschiede zwischen Quellsystem, Export und Auswertung dokumentieren.</w:t>
      </w:r>
    </w:p>
    <w:p>
      <w:pPr>
        <w:pStyle w:val="BodyText"/>
        <w:numPr>
          <w:ilvl w:val="0"/>
          <w:numId w:val="1"/>
        </w:numPr>
        <w:spacing w:after="60" w:line="288" w:lineRule="auto"/>
      </w:pPr>
      <w:r>
        <w:t xml:space="preserve">Die Produkt- und Spartenzuordnung stabilisieren, insbesondere die lokalen Materialnummern aus Deutschland.</w:t>
      </w:r>
    </w:p>
    <w:p>
      <w:pPr>
        <w:pStyle w:val="BodyText"/>
        <w:numPr>
          <w:ilvl w:val="0"/>
          <w:numId w:val="1"/>
        </w:numPr>
        <w:spacing w:after="60" w:line="288" w:lineRule="auto"/>
      </w:pPr>
      <w:r>
        <w:t xml:space="preserve">Personal-Cockpit Phase 1 mit Sonja abnehmen, einschliesslich Anonymisierung und Zugriffsrechten.</w:t>
      </w:r>
    </w:p>
    <w:p>
      <w:pPr>
        <w:pStyle w:val="BodyText"/>
        <w:numPr>
          <w:ilvl w:val="0"/>
          <w:numId w:val="1"/>
        </w:numPr>
        <w:spacing w:after="60" w:line="288" w:lineRule="auto"/>
      </w:pPr>
      <w:r>
        <w:t xml:space="preserve">Einkaufsauswertung: Umfang der Kennzahlen mit dem Einkauf endgültig festlegen und gegen die bestehende Sicht prüfen.</w:t>
      </w:r>
    </w:p>
    <w:p>
      <w:pPr>
        <w:pStyle w:val="BodyText"/>
        <w:numPr>
          <w:ilvl w:val="0"/>
          <w:numId w:val="1"/>
        </w:numPr>
        <w:spacing w:after="60" w:line="288" w:lineRule="auto"/>
      </w:pPr>
      <w:r>
        <w:t xml:space="preserve">Bahnindustrie-Auswertung liefern, siehe Abschnitt 3.</w:t>
      </w:r>
    </w:p>
    <w:p>
      <w:pPr>
        <w:pStyle w:val="Heading2"/>
      </w:pPr>
      <w:r>
        <w:rPr/>
        <w:t xml:space="preserve">7.2 Oktober bis Mitte Dezember 2026</w:t>
      </w:r>
    </w:p>
    <w:p>
      <w:pPr>
        <w:pStyle w:val="BodyText"/>
        <w:numPr>
          <w:ilvl w:val="0"/>
          <w:numId w:val="1"/>
        </w:numPr>
        <w:spacing w:after="60" w:line="288" w:lineRule="auto"/>
      </w:pPr>
      <w:r>
        <w:t xml:space="preserve">Das standortübergreifende Dashboard fertigstellen, sodass Monats- und Quartalsberichte reproduzierbar sind.</w:t>
      </w:r>
    </w:p>
    <w:p>
      <w:pPr>
        <w:pStyle w:val="BodyText"/>
        <w:numPr>
          <w:ilvl w:val="0"/>
          <w:numId w:val="1"/>
        </w:numPr>
        <w:spacing w:after="60" w:line="288" w:lineRule="auto"/>
      </w:pPr>
      <w:r>
        <w:t xml:space="preserve">Einen festen Abgleichprozess einführen: monatliche Prüfpunkte je Tochtergesellschaft für Umsatz, Marge, Produktgruppe, Land und Währung, mit benannter Ursache und benanntem Verantwortlichen für jede Abweichung.</w:t>
      </w:r>
    </w:p>
    <w:p>
      <w:pPr>
        <w:pStyle w:val="BodyText"/>
        <w:numPr>
          <w:ilvl w:val="0"/>
          <w:numId w:val="1"/>
        </w:numPr>
        <w:spacing w:after="60" w:line="288" w:lineRule="auto"/>
      </w:pPr>
      <w:r>
        <w:t xml:space="preserve">Laufzeiten der Datenabzüge und Auswertungen messen und Engpässe vor dem Jahresabschluss beseitigen.</w:t>
      </w:r>
    </w:p>
    <w:p>
      <w:pPr>
        <w:pStyle w:val="BodyText"/>
        <w:numPr>
          <w:ilvl w:val="0"/>
          <w:numId w:val="1"/>
        </w:numPr>
        <w:spacing w:after="60" w:line="288" w:lineRule="auto"/>
      </w:pPr>
      <w:r>
        <w:t xml:space="preserve">Personal-Cockpit Phase 2 im Umfang festlegen und den Aufwand für 2027 vorbereiten.</w:t>
      </w:r>
    </w:p>
    <w:p>
      <w:pPr>
        <w:pStyle w:val="BodyText"/>
        <w:numPr>
          <w:ilvl w:val="0"/>
          <w:numId w:val="1"/>
        </w:numPr>
        <w:spacing w:after="60" w:line="288" w:lineRule="auto"/>
      </w:pPr>
      <w:r>
        <w:t xml:space="preserve">SAP-Punkte PM-01, PM-02 und PM-03 abschliessen, sobald die offenen Klärungen vorliegen.</w:t>
      </w:r>
    </w:p>
    <w:p>
      <w:pPr>
        <w:pStyle w:val="BodyText"/>
        <w:numPr>
          <w:ilvl w:val="0"/>
          <w:numId w:val="1"/>
        </w:numPr>
        <w:spacing w:after="60" w:line="288" w:lineRule="auto"/>
      </w:pPr>
      <w:r>
        <w:t xml:space="preserve">Die Modernisierung weitertreiben: CDS-Views als Auswertungsschicht direkt in S/4HANA ausbauen und die KI-gestützte Entwicklung in den laufenden Betrieb überführen.</w:t>
      </w:r>
    </w:p>
    <w:p>
      <w:pPr>
        <w:pStyle w:val="Heading1"/>
      </w:pPr>
      <w:r>
        <w:rPr/>
        <w:t xml:space="preserve">8. Datenqualität und Nachweisführung</w:t>
      </w:r>
    </w:p>
    <w:p>
      <w:pPr>
        <w:pStyle w:val="BodyText"/>
      </w:pPr>
      <w:r>
        <w:rPr/>
        <w:t xml:space="preserve">Bei Kennzahlen unterscheide ich konsequent vier Zustände. Diese Unterscheidung ist der Grund, warum in meinen Auswertungen eine Zahl auch einmal ausdrücklich als offen gekennzeichnet stehen bleibt, statt gefüllt zu werden.</w:t>
      </w:r>
    </w:p>
    <w:p>
      <w:pPr>
        <w:pStyle w:val="BodyText"/>
      </w:pPr>
      <w:r>
        <w:rPr/>
        <w:t xml:space="preserve">Der Grundsatz dahinter: Eine gefüllte Zahl ohne Vorbehalt ist gefährlicher als eine sichtbar offene Position. Wer eine Lücke sieht, fragt nach. Wer eine falsche Null sieht, rechnet damit weiter.</w:t>
      </w:r>
    </w:p>
    <w:p>
      <w:pPr>
        <w:pStyle w:val="BodyText"/>
      </w:pPr>
      <w:r>
        <w:rPr/>
        <w:t xml:space="preserve">Jede Auswertung ist rückverfolgbar. Es gibt eine Prüfdatei, die zu jeder Zeile den Rechenweg und die Herkunft der Kosten ausweist, sowie ein geführtes Issue-Log mit Verantwortlichem, Status und Nachweis je Punkt. Änderungen an der Anwendung gehen erst nach vollständigem Testlauf auf den Server; der letzte Stand vom 02.09.2026 lief mit 670 von 670 grünen Tests und mit gesichertem Rückfallpunkt.</w:t>
      </w:r>
    </w:p>
    <w:p>
      <w:pPr>
        <w:pStyle w:val="BodyText"/>
      </w:pPr>
      <w:r>
        <w:rPr/>
        <w:t xml:space="preserve">Personaldaten laufen unter einer eigenen Zugriffskontrolle und sind von den übrigen Auswertungen getrennt.</w:t>
      </w:r>
    </w:p>
    <w:tbl>
      <w:tblPr>
        <w:tblW w:w="5000" w:type="pct"/>
        <w:tblBorders>
          <w:top w:val="single" w:color="B4C6E7" w:sz="4"/>
          <w:left w:val="single" w:color="B4C6E7" w:sz="4"/>
          <w:bottom w:val="single" w:color="B4C6E7" w:sz="4"/>
          <w:right w:val="single" w:color="B4C6E7" w:sz="4"/>
          <w:insideH w:val="single" w:color="D9E2F3" w:sz="3"/>
          <w:insideV w:val="single" w:color="D9E2F3" w:sz="3"/>
        </w:tblBorders>
      </w:tblPr>
      <w:tblGrid>
        <w:gridCol w:w="1400"/>
        <w:gridCol w:w="3600"/>
      </w:tblGrid>
      <w:tr>
        <w:trPr>
          <w:tblHeader/>
        </w:trPr>
        <w:tc>
          <w:tcPr>
            <w:tcW w:w="1400" w:type="pct"/>
            <w:shd w:val="clear" w:fill="17365D"/>
            <w:tcMar>
              <w:top w:w="80" w:type="dxa"/>
              <w:left w:w="100" w:type="dxa"/>
              <w:bottom w:w="80" w:type="dxa"/>
              <w:right w:w="100" w:type="dxa"/>
            </w:tcMar>
          </w:tcPr>
          <w:p>
            <w:pPr>
              <w:pStyle w:val="Meta"/>
            </w:pPr>
            <w:r>
              <w:rPr>
                <w:b/>
                <w:color w:val="FFFFFF"/>
              </w:rPr>
              <w:t xml:space="preserve">Begriff</w:t>
            </w:r>
          </w:p>
        </w:tc>
        <w:tc>
          <w:tcPr>
            <w:tcW w:w="3600" w:type="pct"/>
            <w:shd w:val="clear" w:fill="17365D"/>
            <w:tcMar>
              <w:top w:w="80" w:type="dxa"/>
              <w:left w:w="100" w:type="dxa"/>
              <w:bottom w:w="80" w:type="dxa"/>
              <w:right w:w="100" w:type="dxa"/>
            </w:tcMar>
          </w:tcPr>
          <w:p>
            <w:pPr>
              <w:pStyle w:val="Meta"/>
            </w:pPr>
            <w:r>
              <w:rPr>
                <w:b/>
                <w:color w:val="FFFFFF"/>
              </w:rPr>
              <w:t xml:space="preserve">Bedeutung in meinen Auswertungen</w:t>
            </w:r>
          </w:p>
        </w:tc>
      </w:tr>
      <w:tr>
        <w:tc>
          <w:tcPr>
            <w:tcW w:w="1400" w:type="pct"/>
            <w:shd w:val="clear" w:fill="FFFFFF"/>
            <w:tcMar>
              <w:top w:w="80" w:type="dxa"/>
              <w:left w:w="100" w:type="dxa"/>
              <w:bottom w:w="80" w:type="dxa"/>
              <w:right w:w="100" w:type="dxa"/>
            </w:tcMar>
          </w:tcPr>
          <w:p>
            <w:pPr>
              <w:pStyle w:val="Meta"/>
            </w:pPr>
            <w:r>
              <w:rPr>
                <w:b/>
              </w:rPr>
              <w:t xml:space="preserve">Ist</w:t>
            </w:r>
          </w:p>
        </w:tc>
        <w:tc>
          <w:tcPr>
            <w:tcW w:w="3600" w:type="pct"/>
            <w:shd w:val="clear" w:fill="FFFFFF"/>
            <w:tcMar>
              <w:top w:w="80" w:type="dxa"/>
              <w:left w:w="100" w:type="dxa"/>
              <w:bottom w:w="80" w:type="dxa"/>
              <w:right w:w="100" w:type="dxa"/>
            </w:tcMar>
          </w:tcPr>
          <w:p>
            <w:pPr>
              <w:pStyle w:val="Meta"/>
            </w:pPr>
            <w:r>
              <w:rPr/>
              <w:t xml:space="preserve">Der aus dem Quellsystem gelesene Wert, unverändert</w:t>
            </w:r>
          </w:p>
        </w:tc>
      </w:tr>
      <w:tr>
        <w:tc>
          <w:tcPr>
            <w:tcW w:w="1400" w:type="pct"/>
            <w:shd w:val="clear" w:fill="F4F7FB"/>
            <w:tcMar>
              <w:top w:w="80" w:type="dxa"/>
              <w:left w:w="100" w:type="dxa"/>
              <w:bottom w:w="80" w:type="dxa"/>
              <w:right w:w="100" w:type="dxa"/>
            </w:tcMar>
          </w:tcPr>
          <w:p>
            <w:pPr>
              <w:pStyle w:val="Meta"/>
            </w:pPr>
            <w:r>
              <w:rPr>
                <w:b/>
              </w:rPr>
              <w:t xml:space="preserve">Soll</w:t>
            </w:r>
          </w:p>
        </w:tc>
        <w:tc>
          <w:tcPr>
            <w:tcW w:w="3600" w:type="pct"/>
            <w:shd w:val="clear" w:fill="F4F7FB"/>
            <w:tcMar>
              <w:top w:w="80" w:type="dxa"/>
              <w:left w:w="100" w:type="dxa"/>
              <w:bottom w:w="80" w:type="dxa"/>
              <w:right w:w="100" w:type="dxa"/>
            </w:tcMar>
          </w:tcPr>
          <w:p>
            <w:pPr>
              <w:pStyle w:val="Meta"/>
            </w:pPr>
            <w:r>
              <w:rPr/>
              <w:t xml:space="preserve">Der von der Fachstelle vorgegebene Vergleichswert</w:t>
            </w:r>
          </w:p>
        </w:tc>
      </w:tr>
      <w:tr>
        <w:tc>
          <w:tcPr>
            <w:tcW w:w="1400" w:type="pct"/>
            <w:shd w:val="clear" w:fill="FFFFFF"/>
            <w:tcMar>
              <w:top w:w="80" w:type="dxa"/>
              <w:left w:w="100" w:type="dxa"/>
              <w:bottom w:w="80" w:type="dxa"/>
              <w:right w:w="100" w:type="dxa"/>
            </w:tcMar>
          </w:tcPr>
          <w:p>
            <w:pPr>
              <w:pStyle w:val="Meta"/>
            </w:pPr>
            <w:r>
              <w:rPr>
                <w:b/>
              </w:rPr>
              <w:t xml:space="preserve">Diagnose</w:t>
            </w:r>
          </w:p>
        </w:tc>
        <w:tc>
          <w:tcPr>
            <w:tcW w:w="3600" w:type="pct"/>
            <w:shd w:val="clear" w:fill="FFFFFF"/>
            <w:tcMar>
              <w:top w:w="80" w:type="dxa"/>
              <w:left w:w="100" w:type="dxa"/>
              <w:bottom w:w="80" w:type="dxa"/>
              <w:right w:w="100" w:type="dxa"/>
            </w:tcMar>
          </w:tcPr>
          <w:p>
            <w:pPr>
              <w:pStyle w:val="Meta"/>
            </w:pPr>
            <w:r>
              <w:rPr/>
              <w:t xml:space="preserve">Ein Zwischenwert zur Fehlersuche, ausdrücklich nicht zur Berichterstattung</w:t>
            </w:r>
          </w:p>
        </w:tc>
      </w:tr>
      <w:tr>
        <w:tc>
          <w:tcPr>
            <w:tcW w:w="1400" w:type="pct"/>
            <w:shd w:val="clear" w:fill="F4F7FB"/>
            <w:tcMar>
              <w:top w:w="80" w:type="dxa"/>
              <w:left w:w="100" w:type="dxa"/>
              <w:bottom w:w="80" w:type="dxa"/>
              <w:right w:w="100" w:type="dxa"/>
            </w:tcMar>
          </w:tcPr>
          <w:p>
            <w:pPr>
              <w:pStyle w:val="Meta"/>
            </w:pPr>
            <w:r>
              <w:rPr>
                <w:b/>
              </w:rPr>
              <w:t xml:space="preserve">Freigegeben</w:t>
            </w:r>
          </w:p>
        </w:tc>
        <w:tc>
          <w:tcPr>
            <w:tcW w:w="3600" w:type="pct"/>
            <w:shd w:val="clear" w:fill="F4F7FB"/>
            <w:tcMar>
              <w:top w:w="80" w:type="dxa"/>
              <w:left w:w="100" w:type="dxa"/>
              <w:bottom w:w="80" w:type="dxa"/>
              <w:right w:w="100" w:type="dxa"/>
            </w:tcMar>
          </w:tcPr>
          <w:p>
            <w:pPr>
              <w:pStyle w:val="Meta"/>
            </w:pPr>
            <w:r>
              <w:rPr/>
              <w:t xml:space="preserve">Von der zuständigen Fachstelle als offizielle Kennzahl bestätigt</w:t>
            </w:r>
          </w:p>
        </w:tc>
      </w:tr>
    </w:tbl>
    <w:p>
      <w:pPr>
        <w:pStyle w:val="Meta"/>
        <w:spacing w:after="0" w:line="160" w:lineRule="exact"/>
      </w:pPr>
    </w:p>
    <w:p>
      <w:pPr>
        <w:pStyle w:val="Heading1"/>
      </w:pPr>
      <w:r>
        <w:rPr/>
        <w:t xml:space="preserve">9. Know-how-Risiko und Wiederanlauf</w:t>
      </w:r>
    </w:p>
    <w:p>
      <w:pPr>
        <w:pStyle w:val="BodyText"/>
      </w:pPr>
      <w:r>
        <w:rPr/>
        <w:t xml:space="preserve">Der Bereich ist personell schmal aufgestellt. Deshalb liegt ein erheblicher Teil meiner Arbeit darin, dass das Wissen nicht an einer Person hängt.</w:t>
      </w:r>
    </w:p>
    <w:p>
      <w:pPr>
        <w:pStyle w:val="BodyText"/>
      </w:pPr>
      <w:r>
        <w:rPr/>
        <w:t xml:space="preserve">Konkret heisst das: Jede Regel, jede Ausnahme und jeder Rechenweg ist schriftlich festgehalten und über einen festen Einstiegspunkt auffindbar. Der Stand eines jeden offenen Punktes steht an genau einer gültigen Stelle, damit es keine widersprüchlichen Auskünfte gibt. Jede Bereitstellung auf dem Server hinterlässt einen benannten Rückfallpunkt und eine Sicherung der Datenbank.</w:t>
      </w:r>
    </w:p>
    <w:p>
      <w:pPr>
        <w:pStyle w:val="BodyText"/>
      </w:pPr>
      <w:r>
        <w:rPr/>
        <w:t xml:space="preserve">Für kritische Berechnungen gibt es automatische Tests, die vor jeder Auslieferung laufen. Damit ist ein Wiederanlauf auch ohne mich möglich, und eine Änderung kann jederzeit zurückgenommen werden.</w:t>
      </w:r>
    </w:p>
    <w:p>
      <w:pPr>
        <w:pStyle w:val="BodyText"/>
      </w:pPr>
      <w:r>
        <w:rPr/>
        <w:t xml:space="preserve">Der Punkt, der mir dabei am meisten Aufmerksamkeit kostet, ist nicht die Technik, sondern die Zulieferung aus den Standorten. Mehrere offene Punkte hängen daran, dass ein Standort eine Datei, eine Bestätigung oder eine Auskunft liefert. Hier hilft Rückendeckung aus der Geschäftsleitung mehr als jede technische Massnahme.</w:t>
      </w:r>
    </w:p>
    <w:p>
      <w:pPr>
        <w:pStyle w:val="Heading1"/>
      </w:pPr>
      <w:r>
        <w:rPr/>
        <w:t xml:space="preserve">10. Personen, mit denen ich zusammenarbeite</w:t>
      </w:r>
    </w:p>
    <w:p>
      <w:pPr>
        <w:pStyle w:val="BodyText"/>
      </w:pPr>
      <w:r>
        <w:rPr/>
        <w:t xml:space="preserve">Die fachliche Verantwortung für Kennzahlen liegt bei den folgenden Personen. Ich liefere Daten, Berechnung und Nachweis; die Freigabe einer Zahl als offizielle Kennzahl liegt bei ihnen.</w:t>
      </w:r>
    </w:p>
    <w:tbl>
      <w:tblPr>
        <w:tblW w:w="5000" w:type="pct"/>
        <w:tblBorders>
          <w:top w:val="single" w:color="B4C6E7" w:sz="4"/>
          <w:left w:val="single" w:color="B4C6E7" w:sz="4"/>
          <w:bottom w:val="single" w:color="B4C6E7" w:sz="4"/>
          <w:right w:val="single" w:color="B4C6E7" w:sz="4"/>
          <w:insideH w:val="single" w:color="D9E2F3" w:sz="3"/>
          <w:insideV w:val="single" w:color="D9E2F3" w:sz="3"/>
        </w:tblBorders>
      </w:tblPr>
      <w:tblGrid>
        <w:gridCol w:w="1150"/>
        <w:gridCol w:w="1850"/>
        <w:gridCol w:w="2000"/>
      </w:tblGrid>
      <w:tr>
        <w:trPr>
          <w:tblHeader/>
        </w:trPr>
        <w:tc>
          <w:tcPr>
            <w:tcW w:w="1150" w:type="pct"/>
            <w:shd w:val="clear" w:fill="17365D"/>
            <w:tcMar>
              <w:top w:w="80" w:type="dxa"/>
              <w:left w:w="100" w:type="dxa"/>
              <w:bottom w:w="80" w:type="dxa"/>
              <w:right w:w="100" w:type="dxa"/>
            </w:tcMar>
          </w:tcPr>
          <w:p>
            <w:pPr>
              <w:pStyle w:val="Meta"/>
            </w:pPr>
            <w:r>
              <w:rPr>
                <w:b/>
                <w:color w:val="FFFFFF"/>
              </w:rPr>
              <w:t xml:space="preserve">Person</w:t>
            </w:r>
          </w:p>
        </w:tc>
        <w:tc>
          <w:tcPr>
            <w:tcW w:w="1850" w:type="pct"/>
            <w:shd w:val="clear" w:fill="17365D"/>
            <w:tcMar>
              <w:top w:w="80" w:type="dxa"/>
              <w:left w:w="100" w:type="dxa"/>
              <w:bottom w:w="80" w:type="dxa"/>
              <w:right w:w="100" w:type="dxa"/>
            </w:tcMar>
          </w:tcPr>
          <w:p>
            <w:pPr>
              <w:pStyle w:val="Meta"/>
            </w:pPr>
            <w:r>
              <w:rPr>
                <w:b/>
                <w:color w:val="FFFFFF"/>
              </w:rPr>
              <w:t xml:space="preserve">Thema</w:t>
            </w:r>
          </w:p>
        </w:tc>
        <w:tc>
          <w:tcPr>
            <w:tcW w:w="2000" w:type="pct"/>
            <w:shd w:val="clear" w:fill="17365D"/>
            <w:tcMar>
              <w:top w:w="80" w:type="dxa"/>
              <w:left w:w="100" w:type="dxa"/>
              <w:bottom w:w="80" w:type="dxa"/>
              <w:right w:w="100" w:type="dxa"/>
            </w:tcMar>
          </w:tcPr>
          <w:p>
            <w:pPr>
              <w:pStyle w:val="Meta"/>
            </w:pPr>
            <w:r>
              <w:rPr>
                <w:b/>
                <w:color w:val="FFFFFF"/>
              </w:rPr>
              <w:t xml:space="preserve">Rolle in meiner Arbeit</w:t>
            </w:r>
          </w:p>
        </w:tc>
      </w:tr>
      <w:tr>
        <w:tc>
          <w:tcPr>
            <w:tcW w:w="1150" w:type="pct"/>
            <w:shd w:val="clear" w:fill="FFFFFF"/>
            <w:tcMar>
              <w:top w:w="80" w:type="dxa"/>
              <w:left w:w="100" w:type="dxa"/>
              <w:bottom w:w="80" w:type="dxa"/>
              <w:right w:w="100" w:type="dxa"/>
            </w:tcMar>
          </w:tcPr>
          <w:p>
            <w:pPr>
              <w:pStyle w:val="Meta"/>
            </w:pPr>
            <w:r>
              <w:rPr>
                <w:b/>
              </w:rPr>
              <w:t xml:space="preserve">Andreas Stoller</w:t>
            </w:r>
          </w:p>
        </w:tc>
        <w:tc>
          <w:tcPr>
            <w:tcW w:w="1850" w:type="pct"/>
            <w:shd w:val="clear" w:fill="FFFFFF"/>
            <w:tcMar>
              <w:top w:w="80" w:type="dxa"/>
              <w:left w:w="100" w:type="dxa"/>
              <w:bottom w:w="80" w:type="dxa"/>
              <w:right w:w="100" w:type="dxa"/>
            </w:tcMar>
          </w:tcPr>
          <w:p>
            <w:pPr>
              <w:pStyle w:val="Meta"/>
            </w:pPr>
            <w:r>
              <w:rPr/>
              <w:t xml:space="preserve">Finanzen</w:t>
            </w:r>
          </w:p>
        </w:tc>
        <w:tc>
          <w:tcPr>
            <w:tcW w:w="2000" w:type="pct"/>
            <w:shd w:val="clear" w:fill="FFFFFF"/>
            <w:tcMar>
              <w:top w:w="80" w:type="dxa"/>
              <w:left w:w="100" w:type="dxa"/>
              <w:bottom w:w="80" w:type="dxa"/>
              <w:right w:w="100" w:type="dxa"/>
            </w:tcMar>
          </w:tcPr>
          <w:p>
            <w:pPr>
              <w:pStyle w:val="Meta"/>
            </w:pPr>
            <w:r>
              <w:rPr/>
              <w:t xml:space="preserve">Entscheidet alle fachlichen Regeln zu Umsatz, Marge und Kosten und gibt Kennzahlen frei</w:t>
            </w:r>
          </w:p>
        </w:tc>
      </w:tr>
      <w:tr>
        <w:tc>
          <w:tcPr>
            <w:tcW w:w="1150" w:type="pct"/>
            <w:shd w:val="clear" w:fill="F4F7FB"/>
            <w:tcMar>
              <w:top w:w="80" w:type="dxa"/>
              <w:left w:w="100" w:type="dxa"/>
              <w:bottom w:w="80" w:type="dxa"/>
              <w:right w:w="100" w:type="dxa"/>
            </w:tcMar>
          </w:tcPr>
          <w:p>
            <w:pPr>
              <w:pStyle w:val="Meta"/>
            </w:pPr>
            <w:r>
              <w:rPr>
                <w:b/>
              </w:rPr>
              <w:t xml:space="preserve">Sonja</w:t>
            </w:r>
          </w:p>
        </w:tc>
        <w:tc>
          <w:tcPr>
            <w:tcW w:w="1850" w:type="pct"/>
            <w:shd w:val="clear" w:fill="F4F7FB"/>
            <w:tcMar>
              <w:top w:w="80" w:type="dxa"/>
              <w:left w:w="100" w:type="dxa"/>
              <w:bottom w:w="80" w:type="dxa"/>
              <w:right w:w="100" w:type="dxa"/>
            </w:tcMar>
          </w:tcPr>
          <w:p>
            <w:pPr>
              <w:pStyle w:val="Meta"/>
            </w:pPr>
            <w:r>
              <w:rPr/>
              <w:t xml:space="preserve">Personal</w:t>
            </w:r>
          </w:p>
        </w:tc>
        <w:tc>
          <w:tcPr>
            <w:tcW w:w="2000" w:type="pct"/>
            <w:shd w:val="clear" w:fill="F4F7FB"/>
            <w:tcMar>
              <w:top w:w="80" w:type="dxa"/>
              <w:left w:w="100" w:type="dxa"/>
              <w:bottom w:w="80" w:type="dxa"/>
              <w:right w:w="100" w:type="dxa"/>
            </w:tcMar>
          </w:tcPr>
          <w:p>
            <w:pPr>
              <w:pStyle w:val="Meta"/>
            </w:pPr>
            <w:r>
              <w:rPr/>
              <w:t xml:space="preserve">Fachliche Abnahme des Personal-Cockpits, Herkunft der Fluktuationsformel</w:t>
            </w:r>
          </w:p>
        </w:tc>
      </w:tr>
      <w:tr>
        <w:tc>
          <w:tcPr>
            <w:tcW w:w="1150" w:type="pct"/>
            <w:shd w:val="clear" w:fill="FFFFFF"/>
            <w:tcMar>
              <w:top w:w="80" w:type="dxa"/>
              <w:left w:w="100" w:type="dxa"/>
              <w:bottom w:w="80" w:type="dxa"/>
              <w:right w:w="100" w:type="dxa"/>
            </w:tcMar>
          </w:tcPr>
          <w:p>
            <w:pPr>
              <w:pStyle w:val="Meta"/>
            </w:pPr>
            <w:r>
              <w:rPr>
                <w:b/>
              </w:rPr>
              <w:t xml:space="preserve">Nadja</w:t>
            </w:r>
          </w:p>
        </w:tc>
        <w:tc>
          <w:tcPr>
            <w:tcW w:w="1850" w:type="pct"/>
            <w:shd w:val="clear" w:fill="FFFFFF"/>
            <w:tcMar>
              <w:top w:w="80" w:type="dxa"/>
              <w:left w:w="100" w:type="dxa"/>
              <w:bottom w:w="80" w:type="dxa"/>
              <w:right w:w="100" w:type="dxa"/>
            </w:tcMar>
          </w:tcPr>
          <w:p>
            <w:pPr>
              <w:pStyle w:val="Meta"/>
            </w:pPr>
            <w:r>
              <w:rPr/>
              <w:t xml:space="preserve">Personal</w:t>
            </w:r>
          </w:p>
        </w:tc>
        <w:tc>
          <w:tcPr>
            <w:tcW w:w="2000" w:type="pct"/>
            <w:shd w:val="clear" w:fill="FFFFFF"/>
            <w:tcMar>
              <w:top w:w="80" w:type="dxa"/>
              <w:left w:w="100" w:type="dxa"/>
              <w:bottom w:w="80" w:type="dxa"/>
              <w:right w:w="100" w:type="dxa"/>
            </w:tcMar>
          </w:tcPr>
          <w:p>
            <w:pPr>
              <w:pStyle w:val="Meta"/>
            </w:pPr>
            <w:r>
              <w:rPr/>
              <w:t xml:space="preserve">Plausibilisierung der Personalkennzahlen</w:t>
            </w:r>
          </w:p>
        </w:tc>
      </w:tr>
      <w:tr>
        <w:tc>
          <w:tcPr>
            <w:tcW w:w="1150" w:type="pct"/>
            <w:shd w:val="clear" w:fill="F4F7FB"/>
            <w:tcMar>
              <w:top w:w="80" w:type="dxa"/>
              <w:left w:w="100" w:type="dxa"/>
              <w:bottom w:w="80" w:type="dxa"/>
              <w:right w:w="100" w:type="dxa"/>
            </w:tcMar>
          </w:tcPr>
          <w:p>
            <w:pPr>
              <w:pStyle w:val="Meta"/>
            </w:pPr>
            <w:r>
              <w:rPr>
                <w:b/>
              </w:rPr>
              <w:t xml:space="preserve">Patrik</w:t>
            </w:r>
          </w:p>
        </w:tc>
        <w:tc>
          <w:tcPr>
            <w:tcW w:w="1850" w:type="pct"/>
            <w:shd w:val="clear" w:fill="F4F7FB"/>
            <w:tcMar>
              <w:top w:w="80" w:type="dxa"/>
              <w:left w:w="100" w:type="dxa"/>
              <w:bottom w:w="80" w:type="dxa"/>
              <w:right w:w="100" w:type="dxa"/>
            </w:tcMar>
          </w:tcPr>
          <w:p>
            <w:pPr>
              <w:pStyle w:val="Meta"/>
            </w:pPr>
            <w:r>
              <w:rPr/>
              <w:t xml:space="preserve">Verkauf</w:t>
            </w:r>
          </w:p>
        </w:tc>
        <w:tc>
          <w:tcPr>
            <w:tcW w:w="2000" w:type="pct"/>
            <w:shd w:val="clear" w:fill="F4F7FB"/>
            <w:tcMar>
              <w:top w:w="80" w:type="dxa"/>
              <w:left w:w="100" w:type="dxa"/>
              <w:bottom w:w="80" w:type="dxa"/>
              <w:right w:w="100" w:type="dxa"/>
            </w:tcMar>
          </w:tcPr>
          <w:p>
            <w:pPr>
              <w:pStyle w:val="Meta"/>
            </w:pPr>
            <w:r>
              <w:rPr/>
              <w:t xml:space="preserve">Eigentümer der Kundenzuordnung zu Marktsegmenten, unter anderem Bahnindustrie</w:t>
            </w:r>
          </w:p>
        </w:tc>
      </w:tr>
      <w:tr>
        <w:tc>
          <w:tcPr>
            <w:tcW w:w="1150" w:type="pct"/>
            <w:shd w:val="clear" w:fill="FFFFFF"/>
            <w:tcMar>
              <w:top w:w="80" w:type="dxa"/>
              <w:left w:w="100" w:type="dxa"/>
              <w:bottom w:w="80" w:type="dxa"/>
              <w:right w:w="100" w:type="dxa"/>
            </w:tcMar>
          </w:tcPr>
          <w:p>
            <w:pPr>
              <w:pStyle w:val="Meta"/>
            </w:pPr>
            <w:r>
              <w:rPr>
                <w:b/>
              </w:rPr>
              <w:t xml:space="preserve">Lucas</w:t>
            </w:r>
          </w:p>
        </w:tc>
        <w:tc>
          <w:tcPr>
            <w:tcW w:w="1850" w:type="pct"/>
            <w:shd w:val="clear" w:fill="FFFFFF"/>
            <w:tcMar>
              <w:top w:w="80" w:type="dxa"/>
              <w:left w:w="100" w:type="dxa"/>
              <w:bottom w:w="80" w:type="dxa"/>
              <w:right w:w="100" w:type="dxa"/>
            </w:tcMar>
          </w:tcPr>
          <w:p>
            <w:pPr>
              <w:pStyle w:val="Meta"/>
            </w:pPr>
            <w:r>
              <w:rPr/>
              <w:t xml:space="preserve">SAP</w:t>
            </w:r>
          </w:p>
        </w:tc>
        <w:tc>
          <w:tcPr>
            <w:tcW w:w="2000" w:type="pct"/>
            <w:shd w:val="clear" w:fill="FFFFFF"/>
            <w:tcMar>
              <w:top w:w="80" w:type="dxa"/>
              <w:left w:w="100" w:type="dxa"/>
              <w:bottom w:w="80" w:type="dxa"/>
              <w:right w:w="100" w:type="dxa"/>
            </w:tcMar>
          </w:tcPr>
          <w:p>
            <w:pPr>
              <w:pStyle w:val="Meta"/>
            </w:pPr>
            <w:r>
              <w:rPr/>
              <w:t xml:space="preserve">Verantwortet die SAP-Themen ausserhalb meines Bereichs</w:t>
            </w:r>
          </w:p>
        </w:tc>
      </w:tr>
      <w:tr>
        <w:tc>
          <w:tcPr>
            <w:tcW w:w="1150" w:type="pct"/>
            <w:shd w:val="clear" w:fill="F4F7FB"/>
            <w:tcMar>
              <w:top w:w="80" w:type="dxa"/>
              <w:left w:w="100" w:type="dxa"/>
              <w:bottom w:w="80" w:type="dxa"/>
              <w:right w:w="100" w:type="dxa"/>
            </w:tcMar>
          </w:tcPr>
          <w:p>
            <w:pPr>
              <w:pStyle w:val="Meta"/>
            </w:pPr>
            <w:r>
              <w:rPr>
                <w:b/>
              </w:rPr>
              <w:t xml:space="preserve">Rohail Munir</w:t>
            </w:r>
          </w:p>
        </w:tc>
        <w:tc>
          <w:tcPr>
            <w:tcW w:w="1850" w:type="pct"/>
            <w:shd w:val="clear" w:fill="F4F7FB"/>
            <w:tcMar>
              <w:top w:w="80" w:type="dxa"/>
              <w:left w:w="100" w:type="dxa"/>
              <w:bottom w:w="80" w:type="dxa"/>
              <w:right w:w="100" w:type="dxa"/>
            </w:tcMar>
          </w:tcPr>
          <w:p>
            <w:pPr>
              <w:pStyle w:val="Meta"/>
            </w:pPr>
            <w:r>
              <w:rPr/>
              <w:t xml:space="preserve">Deutschland</w:t>
            </w:r>
          </w:p>
        </w:tc>
        <w:tc>
          <w:tcPr>
            <w:tcW w:w="2000" w:type="pct"/>
            <w:shd w:val="clear" w:fill="F4F7FB"/>
            <w:tcMar>
              <w:top w:w="80" w:type="dxa"/>
              <w:left w:w="100" w:type="dxa"/>
              <w:bottom w:w="80" w:type="dxa"/>
              <w:right w:w="100" w:type="dxa"/>
            </w:tcMar>
          </w:tcPr>
          <w:p>
            <w:pPr>
              <w:pStyle w:val="Meta"/>
            </w:pPr>
            <w:r>
              <w:rPr/>
              <w:t xml:space="preserve">Datenzulieferung Deutschland, Auftraggeber der Bahnindustrie-Auswertung</w:t>
            </w:r>
          </w:p>
        </w:tc>
      </w:tr>
      <w:tr>
        <w:tc>
          <w:tcPr>
            <w:tcW w:w="1150" w:type="pct"/>
            <w:shd w:val="clear" w:fill="FFFFFF"/>
            <w:tcMar>
              <w:top w:w="80" w:type="dxa"/>
              <w:left w:w="100" w:type="dxa"/>
              <w:bottom w:w="80" w:type="dxa"/>
              <w:right w:w="100" w:type="dxa"/>
            </w:tcMar>
          </w:tcPr>
          <w:p>
            <w:pPr>
              <w:pStyle w:val="Meta"/>
            </w:pPr>
            <w:r>
              <w:rPr>
                <w:b/>
              </w:rPr>
              <w:t xml:space="preserve">Santi Gomez</w:t>
            </w:r>
          </w:p>
        </w:tc>
        <w:tc>
          <w:tcPr>
            <w:tcW w:w="1850" w:type="pct"/>
            <w:shd w:val="clear" w:fill="FFFFFF"/>
            <w:tcMar>
              <w:top w:w="80" w:type="dxa"/>
              <w:left w:w="100" w:type="dxa"/>
              <w:bottom w:w="80" w:type="dxa"/>
              <w:right w:w="100" w:type="dxa"/>
            </w:tcMar>
          </w:tcPr>
          <w:p>
            <w:pPr>
              <w:pStyle w:val="Meta"/>
            </w:pPr>
            <w:r>
              <w:rPr/>
              <w:t xml:space="preserve">Spanien</w:t>
            </w:r>
          </w:p>
        </w:tc>
        <w:tc>
          <w:tcPr>
            <w:tcW w:w="2000" w:type="pct"/>
            <w:shd w:val="clear" w:fill="FFFFFF"/>
            <w:tcMar>
              <w:top w:w="80" w:type="dxa"/>
              <w:left w:w="100" w:type="dxa"/>
              <w:bottom w:w="80" w:type="dxa"/>
              <w:right w:w="100" w:type="dxa"/>
            </w:tcMar>
          </w:tcPr>
          <w:p>
            <w:pPr>
              <w:pStyle w:val="Meta"/>
            </w:pPr>
            <w:r>
              <w:rPr/>
              <w:t xml:space="preserve">Datenzulieferung Spanien aus Sage 200</w:t>
            </w:r>
          </w:p>
        </w:tc>
      </w:tr>
      <w:tr>
        <w:tc>
          <w:tcPr>
            <w:tcW w:w="1150" w:type="pct"/>
            <w:shd w:val="clear" w:fill="F4F7FB"/>
            <w:tcMar>
              <w:top w:w="80" w:type="dxa"/>
              <w:left w:w="100" w:type="dxa"/>
              <w:bottom w:w="80" w:type="dxa"/>
              <w:right w:w="100" w:type="dxa"/>
            </w:tcMar>
          </w:tcPr>
          <w:p>
            <w:pPr>
              <w:pStyle w:val="Meta"/>
            </w:pPr>
            <w:r>
              <w:rPr>
                <w:b/>
              </w:rPr>
              <w:t xml:space="preserve">Paola</w:t>
            </w:r>
          </w:p>
        </w:tc>
        <w:tc>
          <w:tcPr>
            <w:tcW w:w="1850" w:type="pct"/>
            <w:shd w:val="clear" w:fill="F4F7FB"/>
            <w:tcMar>
              <w:top w:w="80" w:type="dxa"/>
              <w:left w:w="100" w:type="dxa"/>
              <w:bottom w:w="80" w:type="dxa"/>
              <w:right w:w="100" w:type="dxa"/>
            </w:tcMar>
          </w:tcPr>
          <w:p>
            <w:pPr>
              <w:pStyle w:val="Meta"/>
            </w:pPr>
            <w:r>
              <w:rPr/>
              <w:t xml:space="preserve">Italien</w:t>
            </w:r>
          </w:p>
        </w:tc>
        <w:tc>
          <w:tcPr>
            <w:tcW w:w="2000" w:type="pct"/>
            <w:shd w:val="clear" w:fill="F4F7FB"/>
            <w:tcMar>
              <w:top w:w="80" w:type="dxa"/>
              <w:left w:w="100" w:type="dxa"/>
              <w:bottom w:w="80" w:type="dxa"/>
              <w:right w:w="100" w:type="dxa"/>
            </w:tcMar>
          </w:tcPr>
          <w:p>
            <w:pPr>
              <w:pStyle w:val="Meta"/>
            </w:pPr>
            <w:r>
              <w:rPr/>
              <w:t xml:space="preserve">Bewertungsmethode und Kostenlauf Italien</w:t>
            </w:r>
          </w:p>
        </w:tc>
      </w:tr>
      <w:tr>
        <w:tc>
          <w:tcPr>
            <w:tcW w:w="1150" w:type="pct"/>
            <w:shd w:val="clear" w:fill="FFFFFF"/>
            <w:tcMar>
              <w:top w:w="80" w:type="dxa"/>
              <w:left w:w="100" w:type="dxa"/>
              <w:bottom w:w="80" w:type="dxa"/>
              <w:right w:w="100" w:type="dxa"/>
            </w:tcMar>
          </w:tcPr>
          <w:p>
            <w:pPr>
              <w:pStyle w:val="Meta"/>
            </w:pPr>
            <w:r>
              <w:rPr>
                <w:b/>
              </w:rPr>
              <w:t xml:space="preserve">Ann-Katrin Michel</w:t>
            </w:r>
          </w:p>
        </w:tc>
        <w:tc>
          <w:tcPr>
            <w:tcW w:w="1850" w:type="pct"/>
            <w:shd w:val="clear" w:fill="FFFFFF"/>
            <w:tcMar>
              <w:top w:w="80" w:type="dxa"/>
              <w:left w:w="100" w:type="dxa"/>
              <w:bottom w:w="80" w:type="dxa"/>
              <w:right w:w="100" w:type="dxa"/>
            </w:tcMar>
          </w:tcPr>
          <w:p>
            <w:pPr>
              <w:pStyle w:val="Meta"/>
            </w:pPr>
            <w:r>
              <w:rPr/>
              <w:t xml:space="preserve">Fachanwendung</w:t>
            </w:r>
          </w:p>
        </w:tc>
        <w:tc>
          <w:tcPr>
            <w:tcW w:w="2000" w:type="pct"/>
            <w:shd w:val="clear" w:fill="FFFFFF"/>
            <w:tcMar>
              <w:top w:w="80" w:type="dxa"/>
              <w:left w:w="100" w:type="dxa"/>
              <w:bottom w:w="80" w:type="dxa"/>
              <w:right w:w="100" w:type="dxa"/>
            </w:tcMar>
          </w:tcPr>
          <w:p>
            <w:pPr>
              <w:pStyle w:val="Meta"/>
            </w:pPr>
            <w:r>
              <w:rPr/>
              <w:t xml:space="preserve">Nutzt die Auswertung zu auslaufenden Materialien</w:t>
            </w:r>
          </w:p>
        </w:tc>
      </w:tr>
      <w:tr>
        <w:tc>
          <w:tcPr>
            <w:tcW w:w="1150" w:type="pct"/>
            <w:shd w:val="clear" w:fill="F4F7FB"/>
            <w:tcMar>
              <w:top w:w="80" w:type="dxa"/>
              <w:left w:w="100" w:type="dxa"/>
              <w:bottom w:w="80" w:type="dxa"/>
              <w:right w:w="100" w:type="dxa"/>
            </w:tcMar>
          </w:tcPr>
          <w:p>
            <w:pPr>
              <w:pStyle w:val="Meta"/>
            </w:pPr>
            <w:r>
              <w:rPr>
                <w:b/>
              </w:rPr>
              <w:t xml:space="preserve">Alex, Ramon, Upgreat</w:t>
            </w:r>
          </w:p>
        </w:tc>
        <w:tc>
          <w:tcPr>
            <w:tcW w:w="1850" w:type="pct"/>
            <w:shd w:val="clear" w:fill="F4F7FB"/>
            <w:tcMar>
              <w:top w:w="80" w:type="dxa"/>
              <w:left w:w="100" w:type="dxa"/>
              <w:bottom w:w="80" w:type="dxa"/>
              <w:right w:w="100" w:type="dxa"/>
            </w:tcMar>
          </w:tcPr>
          <w:p>
            <w:pPr>
              <w:pStyle w:val="Meta"/>
            </w:pPr>
            <w:r>
              <w:rPr/>
              <w:t xml:space="preserve">Infrastruktur</w:t>
            </w:r>
          </w:p>
        </w:tc>
        <w:tc>
          <w:tcPr>
            <w:tcW w:w="2000" w:type="pct"/>
            <w:shd w:val="clear" w:fill="F4F7FB"/>
            <w:tcMar>
              <w:top w:w="80" w:type="dxa"/>
              <w:left w:w="100" w:type="dxa"/>
              <w:bottom w:w="80" w:type="dxa"/>
              <w:right w:w="100" w:type="dxa"/>
            </w:tcMar>
          </w:tcPr>
          <w:p>
            <w:pPr>
              <w:pStyle w:val="Meta"/>
            </w:pPr>
            <w:r>
              <w:rPr/>
              <w:t xml:space="preserve">Netzwerk, Server und Sicherheit; nicht mein Bereich, aber Voraussetzung für den Betrieb</w:t>
            </w:r>
          </w:p>
        </w:tc>
      </w:tr>
      <w:tr>
        <w:tc>
          <w:tcPr>
            <w:tcW w:w="1150" w:type="pct"/>
            <w:shd w:val="clear" w:fill="FFFFFF"/>
            <w:tcMar>
              <w:top w:w="80" w:type="dxa"/>
              <w:left w:w="100" w:type="dxa"/>
              <w:bottom w:w="80" w:type="dxa"/>
              <w:right w:w="100" w:type="dxa"/>
            </w:tcMar>
          </w:tcPr>
          <w:p>
            <w:pPr>
              <w:pStyle w:val="Meta"/>
            </w:pPr>
            <w:r>
              <w:rPr>
                <w:b/>
              </w:rPr>
              <w:t xml:space="preserve">NTT Data</w:t>
            </w:r>
          </w:p>
        </w:tc>
        <w:tc>
          <w:tcPr>
            <w:tcW w:w="1850" w:type="pct"/>
            <w:shd w:val="clear" w:fill="FFFFFF"/>
            <w:tcMar>
              <w:top w:w="80" w:type="dxa"/>
              <w:left w:w="100" w:type="dxa"/>
              <w:bottom w:w="80" w:type="dxa"/>
              <w:right w:w="100" w:type="dxa"/>
            </w:tcMar>
          </w:tcPr>
          <w:p>
            <w:pPr>
              <w:pStyle w:val="Meta"/>
            </w:pPr>
            <w:r>
              <w:rPr/>
              <w:t xml:space="preserve">SAP, externer Partner</w:t>
            </w:r>
          </w:p>
        </w:tc>
        <w:tc>
          <w:tcPr>
            <w:tcW w:w="2000" w:type="pct"/>
            <w:shd w:val="clear" w:fill="FFFFFF"/>
            <w:tcMar>
              <w:top w:w="80" w:type="dxa"/>
              <w:left w:w="100" w:type="dxa"/>
              <w:bottom w:w="80" w:type="dxa"/>
              <w:right w:w="100" w:type="dxa"/>
            </w:tcMar>
          </w:tcPr>
          <w:p>
            <w:pPr>
              <w:pStyle w:val="Meta"/>
            </w:pPr>
            <w:r>
              <w:rPr/>
              <w:t xml:space="preserve">Fachliche Zusammenarbeit bei der ABAP-Entwicklung im S/4HANA-Umfeld</w:t>
            </w:r>
          </w:p>
        </w:tc>
      </w:tr>
    </w:tbl>
    <w:p>
      <w:pPr>
        <w:pStyle w:val="Meta"/>
        <w:spacing w:after="0" w:line="160" w:lineRule="exact"/>
      </w:pPr>
    </w:p>
    <w:p>
      <w:pPr>
        <w:pStyle w:val="Heading1"/>
      </w:pPr>
      <w:r>
        <w:rPr/>
        <w:t xml:space="preserve">11. Vorschlag für die Zusammenarbeit</w:t>
      </w:r>
    </w:p>
    <w:p>
      <w:pPr>
        <w:pStyle w:val="BodyText"/>
      </w:pPr>
      <w:r>
        <w:rPr/>
        <w:t xml:space="preserve">Damit Sie in den kommenden sechs Monaten jederzeit sehen, wo die Arbeit steht, schlage ich einen festen Rhythmus in genau dieser Struktur vor. Der Aufbau bleibt gleich, nur die Inhalte wechseln. So ist ein Vergleich von Monat zu Monat ohne Einarbeitung möglich.</w:t>
      </w:r>
    </w:p>
    <w:p>
      <w:pPr>
        <w:pStyle w:val="BodyText"/>
        <w:numPr>
          <w:ilvl w:val="0"/>
          <w:numId w:val="1"/>
        </w:numPr>
        <w:spacing w:after="60" w:line="288" w:lineRule="auto"/>
      </w:pPr>
      <w:r>
        <w:t xml:space="preserve">Monatlich eine Fortschreibung dieses Dokuments: dieselben elf Abschnitte, dieselben fünf Felder je Arbeitspaket, jeweils mit dem Datum der Messung.</w:t>
      </w:r>
    </w:p>
    <w:p>
      <w:pPr>
        <w:pStyle w:val="BodyText"/>
        <w:numPr>
          <w:ilvl w:val="0"/>
          <w:numId w:val="1"/>
        </w:numPr>
        <w:spacing w:after="60" w:line="288" w:lineRule="auto"/>
      </w:pPr>
      <w:r>
        <w:t xml:space="preserve">Abschnitt 5 zuerst besprechen. Dort stehen die Punkte, die ich nicht allein abschliessen kann und bei denen eine Entscheidung oder Rückendeckung am meisten bewirkt.</w:t>
      </w:r>
    </w:p>
    <w:p>
      <w:pPr>
        <w:pStyle w:val="BodyText"/>
        <w:numPr>
          <w:ilvl w:val="0"/>
          <w:numId w:val="1"/>
        </w:numPr>
        <w:spacing w:after="60" w:line="288" w:lineRule="auto"/>
      </w:pPr>
      <w:r>
        <w:t xml:space="preserve">Jede zugesagte Frist wird in Abschnitt 4 sichtbar geführt, mit dem Auftraggeber und der Folge, wenn sie nicht gehalten wird.</w:t>
      </w:r>
    </w:p>
    <w:p>
      <w:pPr>
        <w:pStyle w:val="BodyText"/>
        <w:numPr>
          <w:ilvl w:val="0"/>
          <w:numId w:val="1"/>
        </w:numPr>
        <w:spacing w:after="60" w:line="288" w:lineRule="auto"/>
      </w:pPr>
      <w:r>
        <w:t xml:space="preserve">Wenn eine Zahl im Gespräch strittig ist, weise ich den Rechenweg bis zur einzelnen Zeile nach. Dafür ist die Nachweisführung aus Abschnitt 8 gebaut.</w:t>
      </w:r>
    </w:p>
    <w:sectPr>
      <w:headerReference xmlns:r="http://schemas.openxmlformats.org/officeDocument/2006/relationships" w:type="default" r:id="R5d5d1b34dfda49cc"/>
      <w:footerReference xmlns:r="http://schemas.openxmlformats.org/officeDocument/2006/relationships" w:type="default" r:id="Re0c597ecfa8b4761"/>
      <w:pgSz w:w="11906" w:h="16838"/>
      <w:pgMar w:top="1000" w:right="1100" w:bottom="1000" w:left="1100" w:header="500" w:footer="500"/>
    </w:sectPr>
  </w:body>
</w:document>
</file>

<file path=word/footer1.xml><?xml version="1.0" encoding="utf-8"?>
<w:ftr xmlns:w="http://schemas.openxmlformats.org/wordprocessingml/2006/main">
  <w:p>
    <w:pPr>
      <w:pStyle w:val="Meta"/>
      <w:jc w:val="right"/>
    </w:pPr>
    <w:r>
      <w:rPr>
        <w:color w:val="6F7782"/>
        <w:sz w:val="18"/>
      </w:rPr>
      <w:t>Seite </w:t>
    </w:r>
    <w:r>
      <w:fldChar w:fldCharType="begin"/>
    </w:r>
    <w:r>
      <w:instrText> PAGE </w:instrText>
    </w:r>
    <w:r>
      <w:fldChar w:fldCharType="end"/>
    </w:r>
  </w:p>
</w:ftr>
</file>

<file path=word/header1.xml><?xml version="1.0" encoding="utf-8"?>
<w:hdr xmlns:w="http://schemas.openxmlformats.org/wordprocessingml/2006/main">
  <w:p>
    <w:pPr>
      <w:pStyle w:val="Meta"/>
    </w:pPr>
    <w:r>
      <w:rPr>
        <w:color w:val="6F7782"/>
        <w:sz w:val="18"/>
      </w:rPr>
      <w:t xml:space="preserve">Ingo Kohler · Analytics und BI · Aufgabenübersicht · Stand 02.09.2026</w:t>
    </w:r>
  </w:p>
</w:hdr>
</file>

<file path=word/numbering.xml><?xml version="1.0" encoding="utf-8"?>
<w:numbering xmlns:w="http://schemas.openxmlformats.org/wordprocessingml/2006/main">
  <w:abstractNum w:abstractNumId="1">
    <w:lvl w:ilvl="0">
      <w:numFmt w:val="bullet"/>
      <w:lvlText w:val="•"/>
      <w:lvlJc w:val="left"/>
      <w:pPr>
        <w:ind w:left="540" w:hanging="260"/>
      </w:pPr>
      <w:rPr>
        <w:rFonts w:ascii="Aptos" w:hAnsi="Aptos"/>
      </w:rPr>
    </w:lvl>
  </w:abstractNum>
  <w:num w:numId="1">
    <w:abstractNumId w:val="1"/>
  </w:num>
</w:numbering>
</file>

<file path=word/styles.xml><?xml version="1.0" encoding="utf-8"?>
<w:styles xmlns:w="http://schemas.openxmlformats.org/wordprocessingml/2006/main">
  <w:docDefaults>
    <w:rPrDefault>
      <w:rPr>
        <w:rFonts w:ascii="Aptos" w:hAnsi="Aptos" w:eastAsia="Aptos"/>
        <w:sz w:val="24"/>
        <w:lang w:val="de-CH"/>
      </w:rPr>
    </w:rPrDefault>
    <w:pPrDefault>
      <w:pPr>
        <w:spacing w:after="140" w:line="288" w:lineRule="auto"/>
      </w:pPr>
    </w:pPrDefault>
  </w:docDefaults>
  <w:style w:type="paragraph" w:styleId="Normal" w:customStyle="true">
    <w:name w:val="Normal"/>
    <w:basedOn w:val="Normal"/>
    <w:next w:val="Normal"/>
    <w:pPr>
      <w:spacing w:before="0" w:after="140" w:line="288" w:lineRule="auto"/>
    </w:pPr>
    <w:rPr>
      <w:rFonts w:ascii="Aptos" w:hAnsi="Aptos" w:eastAsia="Aptos"/>
      <w:color w:val="202020"/>
      <w:sz w:val="24"/>
    </w:rPr>
  </w:style>
  <w:style w:type="paragraph" w:styleId="Title" w:customStyle="true">
    <w:name w:val="Titel"/>
    <w:basedOn w:val="Normal"/>
    <w:next w:val="Normal"/>
    <w:pPr>
      <w:spacing w:before="0" w:after="80" w:line="288" w:lineRule="auto"/>
    </w:pPr>
    <w:rPr>
      <w:rFonts w:ascii="Aptos" w:hAnsi="Aptos" w:eastAsia="Aptos"/>
      <w:b/>
      <w:color w:val="17365D"/>
      <w:sz w:val="40"/>
    </w:rPr>
  </w:style>
  <w:style w:type="paragraph" w:styleId="Subtitle" w:customStyle="true">
    <w:name w:val="Untertitel"/>
    <w:basedOn w:val="Normal"/>
    <w:next w:val="Normal"/>
    <w:pPr>
      <w:spacing w:before="0" w:after="60" w:line="288" w:lineRule="auto"/>
    </w:pPr>
    <w:rPr>
      <w:rFonts w:ascii="Aptos" w:hAnsi="Aptos" w:eastAsia="Aptos"/>
      <w:i/>
      <w:color w:val="5B6573"/>
      <w:sz w:val="25"/>
    </w:rPr>
  </w:style>
  <w:style w:type="paragraph" w:styleId="Intro" w:customStyle="true">
    <w:name w:val="Einleitung"/>
    <w:basedOn w:val="Normal"/>
    <w:next w:val="Normal"/>
    <w:pPr>
      <w:spacing w:before="200" w:after="240" w:line="288" w:lineRule="auto"/>
    </w:pPr>
    <w:rPr>
      <w:rFonts w:ascii="Aptos" w:hAnsi="Aptos" w:eastAsia="Aptos"/>
      <w:color w:val="303030"/>
      <w:sz w:val="24"/>
    </w:rPr>
  </w:style>
  <w:style w:type="paragraph" w:styleId="Heading1" w:customStyle="true">
    <w:name w:val="Überschrift 1"/>
    <w:basedOn w:val="Normal"/>
    <w:next w:val="Normal"/>
    <w:pPr>
      <w:keepNext/>
      <w:spacing w:before="340" w:after="160" w:line="288" w:lineRule="auto"/>
    </w:pPr>
    <w:rPr>
      <w:rFonts w:ascii="Aptos" w:hAnsi="Aptos" w:eastAsia="Aptos"/>
      <w:b/>
      <w:color w:val="17365D"/>
      <w:sz w:val="32"/>
    </w:rPr>
  </w:style>
  <w:style w:type="paragraph" w:styleId="Heading2" w:customStyle="true">
    <w:name w:val="Überschrift 2"/>
    <w:basedOn w:val="Normal"/>
    <w:next w:val="Normal"/>
    <w:pPr>
      <w:keepNext/>
      <w:spacing w:before="280" w:after="100" w:line="288" w:lineRule="auto"/>
    </w:pPr>
    <w:rPr>
      <w:rFonts w:ascii="Aptos" w:hAnsi="Aptos" w:eastAsia="Aptos"/>
      <w:b/>
      <w:color w:val="365F91"/>
      <w:sz w:val="26"/>
    </w:rPr>
  </w:style>
  <w:style w:type="paragraph" w:styleId="Meta" w:customStyle="true">
    <w:name w:val="Metadaten"/>
    <w:basedOn w:val="Normal"/>
    <w:next w:val="Normal"/>
    <w:pPr>
      <w:spacing w:before="0" w:after="0" w:line="288" w:lineRule="auto"/>
    </w:pPr>
    <w:rPr>
      <w:rFonts w:ascii="Aptos" w:hAnsi="Aptos" w:eastAsia="Aptos"/>
      <w:color w:val="303030"/>
      <w:sz w:val="21"/>
    </w:rPr>
  </w:style>
  <w:style w:type="paragraph" w:styleId="BodyText" w:customStyle="true">
    <w:name w:val="Textkörper"/>
    <w:basedOn w:val="Normal"/>
    <w:next w:val="Normal"/>
    <w:pPr>
      <w:spacing w:before="0" w:after="140" w:line="288" w:lineRule="auto"/>
    </w:pPr>
    <w:rPr>
      <w:rFonts w:ascii="Aptos" w:hAnsi="Aptos" w:eastAsia="Aptos"/>
      <w:color w:val="202020"/>
      <w:sz w:val="24"/>
    </w:rPr>
  </w:style>
</w:styles>
</file>

<file path=word/_rels/document.xml.rels>&#65279;<?xml version="1.0" encoding="utf-8"?><Relationships xmlns="http://schemas.openxmlformats.org/package/2006/relationships"><Relationship Type="http://schemas.openxmlformats.org/officeDocument/2006/relationships/styles" Target="/word/styles.xml" Id="R74f9455e44364e55" /><Relationship Type="http://schemas.openxmlformats.org/officeDocument/2006/relationships/numbering" Target="/word/numbering.xml" Id="R9bf06a9019f84932" /><Relationship Type="http://schemas.openxmlformats.org/officeDocument/2006/relationships/header" Target="/word/header1.xml" Id="R5d5d1b34dfda49cc" /><Relationship Type="http://schemas.openxmlformats.org/officeDocument/2006/relationships/footer" Target="/word/footer1.xml" Id="Re0c597ecfa8b4761" /></Relationships>
</file>