
<file path=[Content_Types].xml><?xml version="1.0" encoding="utf-8"?>
<Types xmlns="http://schemas.openxmlformats.org/package/2006/content-types">
  <Default Extension="xml" ContentType="application/vnd.openxmlformats-officedocument.wordprocessingml.document.main+xml"/>
  <Default Extension="jpg" ContentType="image/jpe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header1.xml" ContentType="application/vnd.openxmlformats-officedocument.wordprocessingml.header+xml"/>
</Types>
</file>

<file path=_rels/.rels>&#65279;<?xml version="1.0" encoding="utf-8"?><Relationships xmlns="http://schemas.openxmlformats.org/package/2006/relationships"><Relationship Type="http://schemas.openxmlformats.org/officeDocument/2006/relationships/officeDocument" Target="/word/document.xml" Id="R259525080a594ab9" /></Relationships>
</file>

<file path=word/document.xml><?xml version="1.0" encoding="utf-8"?>
<w:document xmlns:w="http://schemas.openxmlformats.org/wordprocessingml/2006/main">
  <w:body>
    <w:p>
      <w:pPr>
        <w:spacing w:before="0" w:after="1600"/>
      </w:pPr>
    </w:p>
    <w:p>
      <w:r>
        <w:drawing>
          <wp:inline xmlns:wp="http://schemas.openxmlformats.org/drawingml/2006/wordprocessingDrawing" distT="0" distB="0" distL="0" distR="0">
            <wp:extent cx="1655999" cy="803159"/>
            <wp:docPr id="1" name="Trafag Logo"/>
            <a:graphic xmlns:a="http://schemas.openxmlformats.org/drawingml/2006/main">
              <a:graphicData uri="http://schemas.openxmlformats.org/drawingml/2006/picture">
                <pic:pic xmlns:pic="http://schemas.openxmlformats.org/drawingml/2006/picture">
                  <pic:nvPicPr>
                    <pic:cNvPr id="1" name="Trafag Logo"/>
                    <pic:cNvPicPr/>
                  </pic:nvPicPr>
                  <pic:blipFill>
                    <a:blip xmlns:r="http://schemas.openxmlformats.org/officeDocument/2006/relationships" r:embed="R7cfdc02e4f4542fc"/>
                    <a:stretch>
                      <a:fillRect/>
                    </a:stretch>
                  </pic:blipFill>
                  <pic:spPr>
                    <a:xfrm>
                      <a:off x="0" y="0"/>
                      <a:ext cx="1655999" cy="803159"/>
                    </a:xfrm>
                    <a:prstGeom prst="rect"/>
                  </pic:spPr>
                </pic:pic>
              </a:graphicData>
            </a:graphic>
          </wp:inline>
        </w:drawing>
      </w:r>
    </w:p>
    <w:p>
      <w:pPr>
        <w:spacing w:before="0" w:after="600"/>
      </w:pPr>
    </w:p>
    <w:p>
      <w:pPr>
        <w:pStyle w:val="Title"/>
      </w:pPr>
      <w:r>
        <w:t xml:space="preserve">Trafag Cockpit</w:t>
      </w:r>
    </w:p>
    <w:p>
      <w:pPr>
        <w:pStyle w:val="Subtitle"/>
      </w:pPr>
      <w:r>
        <w:t xml:space="preserve">Anwenderhandbuch aus betriebswirtschaftlicher Sicht</w:t>
      </w:r>
    </w:p>
    <w:p>
      <w:r>
        <w:t xml:space="preserve">Was jede Seite und jede Grafik zeigt, warum es sie gibt, wie die Zahlen entstehen und wo man sie in der täglichen Arbeit als Controller, Einkäufer, Verkäufer, Logistiker, HR oder Geschäftsleitung einsetzt.</w:t>
      </w:r>
    </w:p>
    <w:p>
      <w:pPr>
        <w:spacing w:before="0" w:after="1200"/>
      </w:pPr>
    </w:p>
    <w:p>
      <w:pPr>
        <w:pStyle w:val="Meta"/>
      </w:pPr>
      <w:r>
        <w:t xml:space="preserve">Stand der Software: Commit 3ad0dae vom 5. Oktober 2026 · Ausgabe 16.10.2026</w:t>
      </w:r>
    </w:p>
    <w:p>
      <w:pPr>
        <w:pStyle w:val="Meta"/>
      </w:pPr>
      <w:r>
        <w:t xml:space="preserve">Herausgeber: Ingo Kohler, SAP Specialist, Trafag AG</w:t>
      </w:r>
    </w:p>
    <w:p>
      <w:r>
        <w:br w:type="page"/>
      </w:r>
    </w:p>
    <w:p>
      <w:pPr>
        <w:pStyle w:val="TocTitle"/>
      </w:pPr>
      <w:r>
        <w:t xml:space="preserve">Inhalt</w:t>
      </w:r>
    </w:p>
    <w:p>
      <w:r>
        <w:fldChar w:fldCharType="begin"/>
      </w:r>
      <w:r>
        <w:instrText xml:space="preserve"> TOC \o "1-2" \h \z \u </w:instrText>
      </w:r>
      <w:r>
        <w:fldChar w:fldCharType="separate"/>
      </w:r>
      <w:r>
        <w:t>Das Inhaltsverzeichnis wird beim Öffnen aktualisiert (sonst Rechtsklick → Feld aktualisieren).</w:t>
      </w:r>
      <w:r>
        <w:fldChar w:fldCharType="end"/>
      </w:r>
    </w:p>
    <w:p>
      <w:r>
        <w:br w:type="page"/>
      </w:r>
    </w:p>
    <w:p>
      <w:pPr>
        <w:pStyle w:val="Heading1"/>
      </w:pPr>
      <w:r>
        <w:t xml:space="preserve">Einleitung und Wegweiser</w:t>
      </w:r>
    </w:p>
    <w:p>
      <w:r>
        <w:t xml:space="preserve">Das Trafag Cockpit führt Daten aus SAP, den Exporten der Standorte, den HR-Dateien, dem Shop-Floor-Meeting,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r>
        <w:t xml:space="preserve">Das Handbuch beschreibt den Stand der Software vom 14. Oktober 2026; die Grundfassung entstand am 5. Oktober, die Kapitel Trafag Projekte, Trafag Reddit und Operations kamen danach dazu. Es ist im Cockpit unter dem Reiter </w:t>
      </w:r>
      <w:r>
        <w:rPr>
          <w:b/>
        </w:rPr>
        <w:t xml:space="preserve">Benutzerhandbuch</w:t>
      </w:r>
      <w:r>
        <w:t xml:space="preserve"> lesbar und als Word-Datei herunterladbar.</w:t>
      </w:r>
    </w:p>
    <w:p>
      <w:pPr>
        <w:pStyle w:val="Heading2"/>
      </w:pPr>
      <w:r>
        <w:t xml:space="preserve">So ist jede Seite beschrieben</w:t>
      </w:r>
    </w:p>
    <w:p>
      <w:r>
        <w:t xml:space="preserve">Jede Seite folgt demselben Aufbau, damit man schnell findet, was man sucht.</w:t>
      </w:r>
    </w:p>
    <w:p>
      <w:pPr>
        <w:pStyle w:val="ListBullet"/>
        <w:numPr>
          <w:ilvl w:val="0"/>
          <w:numId w:val="1"/>
        </w:numPr>
      </w:pPr>
      <w:r>
        <w:rPr>
          <w:b/>
        </w:rPr>
        <w:t xml:space="preserve">Wozu:</w:t>
      </w:r>
      <w:r>
        <w:t xml:space="preserve"> die betriebswirtschaftliche Frage, die die Seite beantwortet.</w:t>
      </w:r>
    </w:p>
    <w:p>
      <w:pPr>
        <w:pStyle w:val="ListBullet"/>
        <w:numPr>
          <w:ilvl w:val="0"/>
          <w:numId w:val="1"/>
        </w:numPr>
      </w:pPr>
      <w:r>
        <w:rPr>
          <w:b/>
        </w:rPr>
        <w:t xml:space="preserve">Was man sieht:</w:t>
      </w:r>
      <w:r>
        <w:t xml:space="preserve"> Kennzahlen, Grafiken und Bedienelemente.</w:t>
      </w:r>
    </w:p>
    <w:p>
      <w:pPr>
        <w:pStyle w:val="ListBullet"/>
        <w:numPr>
          <w:ilvl w:val="0"/>
          <w:numId w:val="1"/>
        </w:numPr>
      </w:pPr>
      <w:r>
        <w:rPr>
          <w:b/>
        </w:rPr>
        <w:t xml:space="preserve">Wie gerechnet wird:</w:t>
      </w:r>
      <w:r>
        <w:t xml:space="preserve"> Datenquelle, Filter und Formel in Worten.</w:t>
      </w:r>
    </w:p>
    <w:p>
      <w:pPr>
        <w:pStyle w:val="ListBullet"/>
        <w:numPr>
          <w:ilvl w:val="0"/>
          <w:numId w:val="1"/>
        </w:numPr>
      </w:pPr>
      <w:r>
        <w:rPr>
          <w:b/>
        </w:rPr>
        <w:t xml:space="preserve">Einsatz im Arbeitsalltag:</w:t>
      </w:r>
      <w:r>
        <w:t xml:space="preserve"> typische Situationen je Rolle, mit den Fragen, die die Seite beantwortet.</w:t>
      </w:r>
    </w:p>
    <w:p>
      <w:pPr>
        <w:pStyle w:val="ListBullet"/>
        <w:numPr>
          <w:ilvl w:val="0"/>
          <w:numId w:val="1"/>
        </w:numPr>
      </w:pPr>
      <w:r>
        <w:rPr>
          <w:b/>
        </w:rPr>
        <w:t xml:space="preserve">Grenzen und Fallstricke:</w:t>
      </w:r>
      <w:r>
        <w:t xml:space="preserve"> was die Zahl nicht aussagt und wo man vorsichtig sein muss.</w:t>
      </w:r>
    </w:p>
    <w:p>
      <w:r>
        <w:t xml:space="preserve">Am Ende jedes Kapitels steht ein Kennzahlen-Glossar.</w:t>
      </w:r>
    </w:p>
    <w:p>
      <w:pPr>
        <w:pStyle w:val="Heading2"/>
      </w:pPr>
      <w:r>
        <w:t xml:space="preserve">Wegweiser nach Rolle</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Rolle</w:t>
            </w:r>
          </w:p>
        </w:tc>
        <w:tc>
          <w:tcPr>
            <w:tcW w:w="3102" w:type="dxa"/>
            <w:shd w:val="clear" w:color="auto" w:fill="F9E3D9"/>
          </w:tcPr>
          <w:p>
            <w:pPr>
              <w:pStyle w:val="TableText"/>
            </w:pPr>
            <w:r>
              <w:rPr>
                <w:b/>
              </w:rPr>
              <w:t xml:space="preserve">Wichtigste Seiten</w:t>
            </w:r>
          </w:p>
        </w:tc>
        <w:tc>
          <w:tcPr>
            <w:tcW w:w="3102" w:type="dxa"/>
            <w:shd w:val="clear" w:color="auto" w:fill="F9E3D9"/>
          </w:tcPr>
          <w:p>
            <w:pPr>
              <w:pStyle w:val="TableText"/>
            </w:pPr>
            <w:r>
              <w:rPr>
                <w:b/>
              </w:rPr>
              <w:t xml:space="preserve">Typische Anlässe</w:t>
            </w:r>
          </w:p>
        </w:tc>
      </w:tr>
      <w:tr>
        <w:tc>
          <w:tcPr>
            <w:tcW w:w="3102" w:type="dxa"/>
          </w:tcPr>
          <w:p>
            <w:pPr>
              <w:pStyle w:val="TableText"/>
            </w:pPr>
            <w:r>
              <w:rPr>
                <w:b/>
              </w:rPr>
              <w:t xml:space="preserve">Controller</w:t>
            </w:r>
          </w:p>
        </w:tc>
        <w:tc>
          <w:tcPr>
            <w:tcW w:w="3102" w:type="dxa"/>
          </w:tcPr>
          <w:p>
            <w:pPr>
              <w:pStyle w:val="TableText"/>
            </w:pPr>
            <w:r>
              <w:t xml:space="preserve">Finance Cockpit (Soll/Ist Vergleich, Controlling mit Umsatzbrücke und Hochrechnung), Management Schnellübersicht, Gruppenmarge, Datenqualität, Abweichungen</w:t>
            </w:r>
          </w:p>
        </w:tc>
        <w:tc>
          <w:tcPr>
            <w:tcW w:w="3102" w:type="dxa"/>
          </w:tcPr>
          <w:p>
            <w:pPr>
              <w:pStyle w:val="TableText"/>
            </w:pPr>
            <w:r>
              <w:t xml:space="preserve">Monatsabschluss, Hochrechnung, Abweichungsanalyse, Vorbereitung Verwaltungsrat</w:t>
            </w:r>
          </w:p>
        </w:tc>
      </w:tr>
      <w:tr>
        <w:tc>
          <w:tcPr>
            <w:tcW w:w="3102" w:type="dxa"/>
          </w:tcPr>
          <w:p>
            <w:pPr>
              <w:pStyle w:val="TableText"/>
            </w:pPr>
            <w:r>
              <w:rPr>
                <w:b/>
              </w:rPr>
              <w:t xml:space="preserve">Geschäftsleitung</w:t>
            </w:r>
          </w:p>
        </w:tc>
        <w:tc>
          <w:tcPr>
            <w:tcW w:w="3102" w:type="dxa"/>
          </w:tcPr>
          <w:p>
            <w:pPr>
              <w:pStyle w:val="TableText"/>
            </w:pPr>
            <w:r>
              <w:t xml:space="preserve">Management Schnellübersicht und Entscheidungen, Controlling, Weltlage Radar, Verkauf Konzentration und Prognose</w:t>
            </w:r>
          </w:p>
        </w:tc>
        <w:tc>
          <w:tcPr>
            <w:tcW w:w="3102" w:type="dxa"/>
          </w:tcPr>
          <w:p>
            <w:pPr>
              <w:pStyle w:val="TableText"/>
            </w:pPr>
            <w:r>
              <w:t xml:space="preserve">Monatsgespräch, Strategie, Risikobeurteilung</w:t>
            </w:r>
          </w:p>
        </w:tc>
      </w:tr>
      <w:tr>
        <w:tc>
          <w:tcPr>
            <w:tcW w:w="3102" w:type="dxa"/>
          </w:tcPr>
          <w:p>
            <w:pPr>
              <w:pStyle w:val="TableText"/>
            </w:pPr>
            <w:r>
              <w:rPr>
                <w:b/>
              </w:rPr>
              <w:t xml:space="preserve">Einkäufer</w:t>
            </w:r>
          </w:p>
        </w:tc>
        <w:tc>
          <w:tcPr>
            <w:tcW w:w="3102" w:type="dxa"/>
          </w:tcPr>
          <w:p>
            <w:pPr>
              <w:pStyle w:val="TableText"/>
            </w:pPr>
            <w:r>
              <w:t xml:space="preserve">Einkauf Dashboard, Spend, Offene Bestellungen, Kontrakte, Lieferanten, Lieferperformance, Preisentwicklung, Einkauf Interaktiv</w:t>
            </w:r>
          </w:p>
        </w:tc>
        <w:tc>
          <w:tcPr>
            <w:tcW w:w="3102" w:type="dxa"/>
          </w:tcPr>
          <w:p>
            <w:pPr>
              <w:pStyle w:val="TableText"/>
            </w:pPr>
            <w:r>
              <w:t xml:space="preserve">Lieferantenverhandlung, Jahresgespräch, Terminverfolgung, Bündelung</w:t>
            </w:r>
          </w:p>
        </w:tc>
      </w:tr>
      <w:tr>
        <w:tc>
          <w:tcPr>
            <w:tcW w:w="3102" w:type="dxa"/>
          </w:tcPr>
          <w:p>
            <w:pPr>
              <w:pStyle w:val="TableText"/>
            </w:pPr>
            <w:r>
              <w:rPr>
                <w:b/>
              </w:rPr>
              <w:t xml:space="preserve">Disponent</w:t>
            </w:r>
          </w:p>
        </w:tc>
        <w:tc>
          <w:tcPr>
            <w:tcW w:w="3102" w:type="dxa"/>
          </w:tcPr>
          <w:p>
            <w:pPr>
              <w:pStyle w:val="TableText"/>
            </w:pPr>
            <w:r>
              <w:t xml:space="preserve">Bestellbedarf und Deckung, Materialabhängigkeit, Materialdisposition und Fehlteile, Dispositionsprüfung, Verwendung und Risiko</w:t>
            </w:r>
          </w:p>
        </w:tc>
        <w:tc>
          <w:tcPr>
            <w:tcW w:w="3102" w:type="dxa"/>
          </w:tcPr>
          <w:p>
            <w:pPr>
              <w:pStyle w:val="TableText"/>
            </w:pPr>
            <w:r>
              <w:t xml:space="preserve">Fehlteile klären, Abkündigungen, Bestellvorschläge prüfen</w:t>
            </w:r>
          </w:p>
        </w:tc>
      </w:tr>
      <w:tr>
        <w:tc>
          <w:tcPr>
            <w:tcW w:w="3102" w:type="dxa"/>
          </w:tcPr>
          <w:p>
            <w:pPr>
              <w:pStyle w:val="TableText"/>
            </w:pPr>
            <w:r>
              <w:rPr>
                <w:b/>
              </w:rPr>
              <w:t xml:space="preserve">Verkauf und Vertriebsleitung</w:t>
            </w:r>
          </w:p>
        </w:tc>
        <w:tc>
          <w:tcPr>
            <w:tcW w:w="3102" w:type="dxa"/>
          </w:tcPr>
          <w:p>
            <w:pPr>
              <w:pStyle w:val="TableText"/>
            </w:pPr>
            <w:r>
              <w:t xml:space="preserve">Verkauf Kunden, Rückgang, Neue und verlorene Kunden, Cross-Selling, Preisstreuung, Weltkarte, Verkauf Interaktiv</w:t>
            </w:r>
          </w:p>
        </w:tc>
        <w:tc>
          <w:tcPr>
            <w:tcW w:w="3102" w:type="dxa"/>
          </w:tcPr>
          <w:p>
            <w:pPr>
              <w:pStyle w:val="TableText"/>
            </w:pPr>
            <w:r>
              <w:t xml:space="preserve">Kundenbesuch, Account-Planung, Preisgespräch, Budget</w:t>
            </w:r>
          </w:p>
        </w:tc>
      </w:tr>
      <w:tr>
        <w:tc>
          <w:tcPr>
            <w:tcW w:w="3102" w:type="dxa"/>
          </w:tcPr>
          <w:p>
            <w:pPr>
              <w:pStyle w:val="TableText"/>
            </w:pPr>
            <w:r>
              <w:rPr>
                <w:b/>
              </w:rPr>
              <w:t xml:space="preserve">Logistik</w:t>
            </w:r>
          </w:p>
        </w:tc>
        <w:tc>
          <w:tcPr>
            <w:tcW w:w="3102" w:type="dxa"/>
          </w:tcPr>
          <w:p>
            <w:pPr>
              <w:pStyle w:val="TableText"/>
            </w:pPr>
            <w:r>
              <w:t xml:space="preserve">Logistik live (Übersicht, 3D-Lager, Produktivität, Kapazität), Stücklistenanalyse</w:t>
            </w:r>
          </w:p>
        </w:tc>
        <w:tc>
          <w:tcPr>
            <w:tcW w:w="3102" w:type="dxa"/>
          </w:tcPr>
          <w:p>
            <w:pPr>
              <w:pStyle w:val="TableText"/>
            </w:pPr>
            <w:r>
              <w:t xml:space="preserve">Tagessteuerung, Schichtplanung, Kapazitätsabgleich mit der Produktion</w:t>
            </w:r>
          </w:p>
        </w:tc>
      </w:tr>
      <w:tr>
        <w:tc>
          <w:tcPr>
            <w:tcW w:w="3102" w:type="dxa"/>
          </w:tcPr>
          <w:p>
            <w:pPr>
              <w:pStyle w:val="TableText"/>
            </w:pPr>
            <w:r>
              <w:rPr>
                <w:b/>
              </w:rPr>
              <w:t xml:space="preserve">HR</w:t>
            </w:r>
          </w:p>
        </w:tc>
        <w:tc>
          <w:tcPr>
            <w:tcW w:w="3102" w:type="dxa"/>
          </w:tcPr>
          <w:p>
            <w:pPr>
              <w:pStyle w:val="TableText"/>
            </w:pPr>
            <w:r>
              <w:t xml:space="preserve">HR Dashboard und HR KPI Schulung</w:t>
            </w:r>
          </w:p>
        </w:tc>
        <w:tc>
          <w:tcPr>
            <w:tcW w:w="3102" w:type="dxa"/>
          </w:tcPr>
          <w:p>
            <w:pPr>
              <w:pStyle w:val="TableText"/>
            </w:pPr>
            <w:r>
              <w:t xml:space="preserve">Fluktuations- und Absenzenbericht, Quartalsauswertung</w:t>
            </w:r>
          </w:p>
        </w:tc>
      </w:tr>
      <w:tr>
        <w:tc>
          <w:tcPr>
            <w:tcW w:w="3102" w:type="dxa"/>
          </w:tcPr>
          <w:p>
            <w:pPr>
              <w:pStyle w:val="TableText"/>
            </w:pPr>
            <w:r>
              <w:rPr>
                <w:b/>
              </w:rPr>
              <w:t xml:space="preserve">IT und Geschäftsleitung</w:t>
            </w:r>
          </w:p>
        </w:tc>
        <w:tc>
          <w:tcPr>
            <w:tcW w:w="3102" w:type="dxa"/>
          </w:tcPr>
          <w:p>
            <w:pPr>
              <w:pStyle w:val="TableText"/>
            </w:pPr>
            <w:r>
              <w:t xml:space="preserve">Netzwerk Übersicht, Verfügbarkeit, Migration, Bericht</w:t>
            </w:r>
          </w:p>
        </w:tc>
        <w:tc>
          <w:tcPr>
            <w:tcW w:w="3102" w:type="dxa"/>
          </w:tcPr>
          <w:p>
            <w:pPr>
              <w:pStyle w:val="TableText"/>
            </w:pPr>
            <w:r>
              <w:t xml:space="preserve">Budget für Geräteersatz, Support-Ende, Störungen einordnen</w:t>
            </w:r>
          </w:p>
        </w:tc>
      </w:tr>
      <w:tr>
        <w:tc>
          <w:tcPr>
            <w:tcW w:w="3102" w:type="dxa"/>
          </w:tcPr>
          <w:p>
            <w:pPr>
              <w:pStyle w:val="TableText"/>
            </w:pPr>
            <w:r>
              <w:rPr>
                <w:b/>
              </w:rPr>
              <w:t xml:space="preserve">Produktion, PPD und Leitung Operations</w:t>
            </w:r>
          </w:p>
        </w:tc>
        <w:tc>
          <w:tcPr>
            <w:tcW w:w="3102" w:type="dxa"/>
          </w:tcPr>
          <w:p>
            <w:pPr>
              <w:pStyle w:val="TableText"/>
            </w:pPr>
            <w:r>
              <w:t xml:space="preserve">Operations KPI (OTD, OTIF, OTP), Shopfloor mit Pendenzen, Abteilungswerten, Rückständen, Fehlteilen ZD05, Forecast und PPA-Grafik</w:t>
            </w:r>
          </w:p>
        </w:tc>
        <w:tc>
          <w:tcPr>
            <w:tcW w:w="3102" w:type="dxa"/>
          </w:tcPr>
          <w:p>
            <w:pPr>
              <w:pStyle w:val="TableText"/>
            </w:pPr>
            <w:r>
              <w:t xml:space="preserve">Tägliches Shop-Floor-Meeting, Wochenplanung, Monatsbericht Liefertreue</w:t>
            </w:r>
          </w:p>
        </w:tc>
      </w:tr>
    </w:tbl>
    <w:p>
      <w:pPr>
        <w:spacing w:before="0" w:after="80"/>
      </w:pPr>
    </w:p>
    <w:p>
      <w:pPr>
        <w:pStyle w:val="Heading2"/>
      </w:pPr>
      <w:r>
        <w:t xml:space="preserve">Die Kopfleiste</w:t>
      </w:r>
    </w:p>
    <w:p>
      <w:r>
        <w:t xml:space="preserve">Oben rechts stehen für alle Seiten dieselben Bedienelemente. Ganz links zeigt eine kleine Leuchtanzeige im Stil eines Kassettendecks die </w:t>
      </w:r>
      <w:r>
        <w:rPr>
          <w:b/>
        </w:rPr>
        <w:t xml:space="preserve">CPU-Last</w:t>
      </w:r>
      <w:r>
        <w:t xml:space="preserve">: der obere Balken </w:t>
      </w:r>
      <w:r>
        <w:rPr>
          <w:b/>
        </w:rPr>
        <w:t xml:space="preserve">S</w:t>
      </w:r>
      <w:r>
        <w:t xml:space="preserve"> die Last des ganzen Servers, der untere Balken </w:t>
      </w:r>
      <w:r>
        <w:rPr>
          <w:b/>
        </w:rPr>
        <w:t xml:space="preserve">C</w:t>
      </w:r>
      <w:r>
        <w:t xml:space="preserve"> den Anteil des Cockpits selbst, je von 0 bis 100 %; ein schwach leuchtendes Segment hält kurz die letzte Spitze fest. Sie hilft einzuordnen, ob eine langsame Seite am Server oder an der eigenen Verbindung liegt. Daneben folgen der Dimmer für die Helligkeit, die Statusampel mit den letzten Meldungen, die Umschaltung des Designs, Hell/Dunkel und die Sprache.</w:t>
      </w:r>
    </w:p>
    <w:p>
      <w:pPr>
        <w:pStyle w:val="Heading2"/>
      </w:pPr>
      <w:r>
        <w:t xml:space="preserve">Allgemeine Regeln für alle Zahlen</w:t>
      </w:r>
    </w:p>
    <w:p>
      <w:r>
        <w:t xml:space="preserve">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r>
        <w:t xml:space="preserve">Zeiträume enden in der Regel mit dem letzten vollständigen Monat. Ein angebrochener Monat würde Vergleiche mit dem Vorjahr verzerren.</w:t>
      </w:r>
    </w:p>
    <w:p>
      <w:r>
        <w:t xml:space="preserve">Die Daten werden automatisch nachgeladen, je nach Quelle laufend, stündlich oder nachts. Jede Seite nennt den Stand ihrer Daten. Wer eine Zahl weitergibt, nennt am besten diesen Stand mit.</w:t>
      </w:r>
    </w:p>
    <w:p>
      <w:r>
        <w:t xml:space="preserve">Fällt eine Zahl auf, ist zuerst zu prüfen, ob die Daten vollständig sind (Datenstatus, Daten-Heartbeat, Datenqualität), bevor man fachliche Schlüsse zieht.</w:t>
      </w:r>
    </w:p>
    <w:p>
      <w:r>
        <w:t xml:space="preserve">Fragen und Fehlermeldungen zum Cockpit gehen an Ingo Kohler, SAP Specialist.</w:t>
      </w:r>
    </w:p>
    <w:p>
      <w:r>
        <w:br w:type="page"/>
      </w:r>
    </w:p>
    <w:p>
      <w:pPr>
        <w:pStyle w:val="Heading1"/>
      </w:pPr>
      <w:r>
        <w:t xml:space="preserve">Finance und Management</w:t>
      </w:r>
    </w:p>
    <w:p>
      <w:r>
        <w:t xml:space="preserve">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r>
        <w:t xml:space="preserve">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r>
        <w:t xml:space="preserve">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Seite Export Dashboard und die Seite Datenstatus.</w:t>
      </w:r>
    </w:p>
    <w:p>
      <w:r>
        <w:t xml:space="preserve">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wieder zurückgenommen.</w:t>
      </w:r>
    </w:p>
    <w:p>
      <w:r>
        <w:t xml:space="preserve">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pPr>
        <w:pStyle w:val="Heading2"/>
      </w:pPr>
      <w:r>
        <w:t xml:space="preserve">Export Dashboard</w:t>
      </w:r>
    </w:p>
    <w:p>
      <w:pPr>
        <w:pStyle w:val="Heading3"/>
      </w:pPr>
      <w:r>
        <w:t xml:space="preserve">Wozu</w:t>
      </w:r>
    </w:p>
    <w:p>
      <w:r>
        <w:t xml:space="preserve">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pPr>
        <w:pStyle w:val="Heading3"/>
      </w:pPr>
      <w:r>
        <w:t xml:space="preserve">Was man sieht</w:t>
      </w:r>
    </w:p>
    <w:p>
      <w:r>
        <w:t xml:space="preserve">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r>
        <w:t xml:space="preserve">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r>
        <w:t xml:space="preserve">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Datei (blau) oder nur aus dem Export-Log (grau). Erscheint zusätzlich „CSV neuer als DB", liegt eine vorbereitete Datei vor, die noch nicht in der Datenbank ist. Unter der Tabelle zeigt der Block „Zentrale Datei" die erzeugte Sales-All-Datei mit Pfad und letzter Änderung.</w:t>
      </w:r>
    </w:p>
    <w:p>
      <w:pPr>
        <w:pStyle w:val="Heading3"/>
      </w:pPr>
      <w:r>
        <w:t xml:space="preserve">Wie gerechnet wird</w:t>
      </w:r>
    </w:p>
    <w:p>
      <w:r>
        <w:t xml:space="preserve">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pPr>
        <w:pStyle w:val="Heading3"/>
      </w:pPr>
      <w:r>
        <w:t xml:space="preserve">Einsatz im Arbeitsalltag</w:t>
      </w:r>
    </w:p>
    <w:p>
      <w:r>
        <w:rPr>
          <w:b/>
        </w:rPr>
        <w:t xml:space="preserve">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r>
        <w:rPr>
          <w:b/>
        </w:rPr>
        <w:t xml:space="preserve">Controller:</w:t>
      </w:r>
      <w:r>
        <w:t xml:space="preserve"> Vor dem Monatsabschluss in der Spalte „Datenstand" prüfen, ob jedes Land ein aktuelles Datum und die Quelle „DB" zeigt. Steht dort „SharePoint-CSV" oder „CSV neuer als DB", ist die Datenbank hinter den bereitgestellten Dateien zurück.</w:t>
      </w:r>
    </w:p>
    <w:p>
      <w:r>
        <w:rPr>
          <w:b/>
        </w:rPr>
        <w:t xml:space="preserve">Finance-Leitung:</w:t>
      </w:r>
      <w:r>
        <w:t xml:space="preserve"> Vor der Freigabe der Konzernzahlen sicherstellen, dass kein Standort mit Fehlersymbol dasteht. Der Fehlertext erscheint beim Daraufzeigen.</w:t>
      </w:r>
    </w:p>
    <w:p>
      <w:pPr>
        <w:pStyle w:val="Heading3"/>
      </w:pPr>
      <w:r>
        <w:t xml:space="preserve">Grenzen und Fallstricke</w:t>
      </w:r>
    </w:p>
    <w:p>
      <w:r>
        <w:t xml:space="preserve">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aus.</w:t>
      </w:r>
    </w:p>
    <w:p>
      <w:pPr>
        <w:pStyle w:val="Heading2"/>
      </w:pPr>
      <w:r>
        <w:t xml:space="preserve">Schnellübersicht</w:t>
      </w:r>
    </w:p>
    <w:p>
      <w:pPr>
        <w:pStyle w:val="Heading3"/>
      </w:pPr>
      <w:r>
        <w:t xml:space="preserve">Wozu</w:t>
      </w:r>
    </w:p>
    <w:p>
      <w:r>
        <w:t xml:space="preserve">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pPr>
        <w:pStyle w:val="Heading3"/>
      </w:pPr>
      <w:r>
        <w:t xml:space="preserve">Was man sieht</w:t>
      </w:r>
    </w:p>
    <w:p>
      <w:r>
        <w:t xml:space="preserve">Über allen Reitern der Management Analyse steht ein Filterbalken mit Finance-Jahr, Land, Währung und dem Schalter „Group-Währung (CHF)". Mit „Finance Summary laden" werden die Zahlen neu geholt. Beim Öffnen wird das jüngste Jahr in den Daten vorgewählt.</w:t>
      </w:r>
    </w:p>
    <w:p>
      <w:r>
        <w:t xml:space="preserve">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r>
        <w:t xml:space="preserve">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pPr>
        <w:pStyle w:val="Heading3"/>
      </w:pPr>
      <w:r>
        <w:t xml:space="preserve">Wie gerechnet wird</w:t>
      </w:r>
    </w:p>
    <w:p>
      <w:r>
        <w:t xml:space="preserve">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Kachel „Nicht geprüft" zählt die beiden letzten Fälle.</w:t>
      </w:r>
    </w:p>
    <w:p>
      <w:pPr>
        <w:pStyle w:val="Heading3"/>
      </w:pPr>
      <w:r>
        <w:t xml:space="preserve">Einsatz im Arbeitsalltag</w:t>
      </w:r>
    </w:p>
    <w:p>
      <w:r>
        <w:rPr>
          <w:b/>
        </w:rPr>
        <w:t xml:space="preserve">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r>
        <w:rPr>
          <w:b/>
        </w:rPr>
        <w:t xml:space="preserve">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pPr>
        <w:pStyle w:val="Heading3"/>
      </w:pPr>
      <w:r>
        <w:t xml:space="preserve">Grenzen und Fallstricke</w:t>
      </w:r>
    </w:p>
    <w:p>
      <w:r>
        <w:t xml:space="preserve">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pPr>
        <w:pStyle w:val="Heading2"/>
      </w:pPr>
      <w:r>
        <w:t xml:space="preserve">Management Entscheidungen</w:t>
      </w:r>
    </w:p>
    <w:p>
      <w:pPr>
        <w:pStyle w:val="Heading3"/>
      </w:pPr>
      <w:r>
        <w:t xml:space="preserve">Wozu</w:t>
      </w:r>
    </w:p>
    <w:p>
      <w:r>
        <w:t xml:space="preserve">Diese Seite verdichtet Auffälligkeiten aus Finance, Einkauf und HR zu einer priorisierten Liste möglicher Managemententscheide. Sie soll die Frage beantworten: Wo muss jemand eine Entscheidung treffen, weil Zahlen nicht belastbar sind oder ein Risiko wächst?</w:t>
      </w:r>
    </w:p>
    <w:p>
      <w:pPr>
        <w:pStyle w:val="Heading3"/>
      </w:pPr>
      <w:r>
        <w:t xml:space="preserve">Was man sieht</w:t>
      </w:r>
    </w:p>
    <w:p>
      <w:r>
        <w:t xml:space="preserve">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 die zur passenden Seite führt. Gibt es keine Signale, steht dort „Keine offenen Management-Entscheidungen".</w:t>
      </w:r>
    </w:p>
    <w:p>
      <w:pPr>
        <w:pStyle w:val="Heading3"/>
      </w:pPr>
      <w:r>
        <w:t xml:space="preserve">Wie gerechnet wird</w:t>
      </w:r>
    </w:p>
    <w:p>
      <w:r>
        <w:t xml:space="preserve">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pPr>
        <w:pStyle w:val="Heading3"/>
      </w:pPr>
      <w:r>
        <w:t xml:space="preserve">Einsatz im Arbeitsalltag</w:t>
      </w:r>
    </w:p>
    <w:p>
      <w:r>
        <w:rPr>
          <w:b/>
        </w:rPr>
        <w:t xml:space="preserve">Geschäftsleitung:</w:t>
      </w:r>
      <w:r>
        <w:t xml:space="preserve"> Vor der Sitzung die Zeilen mit hoher Priorität durchgehen und je Zeile klären, wer die genannte Entscheidung trifft.</w:t>
      </w:r>
    </w:p>
    <w:p>
      <w:r>
        <w:rPr>
          <w:b/>
        </w:rPr>
        <w:t xml:space="preserve">Controller:</w:t>
      </w:r>
      <w:r>
        <w:t xml:space="preserve"> Als Arbeitsliste für die Nacharbeit nutzen: Über „Details" gelangt man direkt in die zuständige Expertenseite, zum Beispiel Abweichungen oder Gruppenmarge.</w:t>
      </w:r>
    </w:p>
    <w:p>
      <w:r>
        <w:rPr>
          <w:b/>
        </w:rPr>
        <w:t xml:space="preserve">Einkäufer:</w:t>
      </w:r>
      <w:r>
        <w:t xml:space="preserve"> Die Zeilen mit Bereich „Einkauf" zeigen, welche Einkaufsthemen das Management sieht.</w:t>
      </w:r>
    </w:p>
    <w:p>
      <w:pPr>
        <w:pStyle w:val="Heading3"/>
      </w:pPr>
      <w:r>
        <w:t xml:space="preserve">Grenzen und Fallstricke</w:t>
      </w:r>
    </w:p>
    <w:p>
      <w:r>
        <w:t xml:space="preserve">Die Seite erzeugt Hinweise, keine Beschlüsse. Fehlen Einkaufs- oder HR-Daten, erscheint stattdessen eine Info-Zeile mit der Fehlermeldung. Die Schwellen sind fest eingebaut und nicht einstellbar. Die Liste hängt vom oben gewählten Finance-Jahr ab.</w:t>
      </w:r>
    </w:p>
    <w:p>
      <w:pPr>
        <w:pStyle w:val="Heading2"/>
      </w:pPr>
      <w:r>
        <w:t xml:space="preserve">Finance Summary (Experten)</w:t>
      </w:r>
    </w:p>
    <w:p>
      <w:pPr>
        <w:pStyle w:val="Heading3"/>
      </w:pPr>
      <w:r>
        <w:t xml:space="preserve">Wozu</w:t>
      </w:r>
    </w:p>
    <w:p>
      <w:r>
        <w:t xml:space="preserve">Die Finance Summary ist die fachlich führende Sicht auf den Net Sales Actual. Sie entspricht dem Excel-Blatt „Finance Summary" der zentralen Datei und dient dazu, Cockpit und Excel gegeneinander abzustimmen.</w:t>
      </w:r>
    </w:p>
    <w:p>
      <w:pPr>
        <w:pStyle w:val="Heading3"/>
      </w:pPr>
      <w:r>
        <w:t xml:space="preserve">Was man sieht</w:t>
      </w:r>
    </w:p>
    <w:p>
      <w:r>
        <w:t xml:space="preserve">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pPr>
        <w:pStyle w:val="Heading3"/>
      </w:pPr>
      <w:r>
        <w:t xml:space="preserve">Wie gerechnet wird</w:t>
      </w:r>
    </w:p>
    <w:p>
      <w:r>
        <w:t xml:space="preserve">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pPr>
        <w:pStyle w:val="Heading3"/>
      </w:pPr>
      <w:r>
        <w:t xml:space="preserve">Einsatz im Arbeitsalltag</w:t>
      </w:r>
    </w:p>
    <w:p>
      <w:r>
        <w:rPr>
          <w:b/>
        </w:rPr>
        <w:t xml:space="preserve">Controller:</w:t>
      </w:r>
      <w:r>
        <w:t xml:space="preserve"> Die Zeilenzahlen und Summen mit dem Excel-Blatt der zentralen Datei vergleichen. Stimmen sie nicht, ist meist die zentrale Datei veraltet.</w:t>
      </w:r>
    </w:p>
    <w:p>
      <w:r>
        <w:rPr>
          <w:b/>
        </w:rPr>
        <w:t xml:space="preserve">Revisor:</w:t>
      </w:r>
      <w:r>
        <w:t xml:space="preserve"> Die Tabelle zusammen mit den Hinweisen als Nachweis der angewandten Abgrenzung verwenden.</w:t>
      </w:r>
    </w:p>
    <w:p>
      <w:pPr>
        <w:pStyle w:val="Heading3"/>
      </w:pPr>
      <w:r>
        <w:t xml:space="preserve">Grenzen und Fallstricke</w:t>
      </w:r>
    </w:p>
    <w:p>
      <w:r>
        <w:t xml:space="preserve">Werden mehrere Währungen gleichzeitig angezeigt, steht „Mixed", und die Gesamtsumme addiert lokale Beträge ohne Umrechnung. Die Spalte „Ausgeschlossen" enthält auch Zeilen mit Wert null, die keine Regel ausgeschlossen hat. Die Trennung zeigt die Seite Datenqualität.</w:t>
      </w:r>
    </w:p>
    <w:p>
      <w:pPr>
        <w:pStyle w:val="Heading2"/>
      </w:pPr>
      <w:r>
        <w:t xml:space="preserve">Länder Diagnose (Experten)</w:t>
      </w:r>
    </w:p>
    <w:p>
      <w:pPr>
        <w:pStyle w:val="Heading3"/>
      </w:pPr>
      <w:r>
        <w:t xml:space="preserve">Wozu</w:t>
      </w:r>
    </w:p>
    <w:p>
      <w:r>
        <w:t xml:space="preserve">Die Länder Diagnose zeigt je Land, ob das Ist zum Soll passt, und trennt dabei konzerninterne Umsätze ab. Sie beantwortet: Wie viel vom Umsatz eines Landes geht an Konzerngesellschaften oder nahestehende Firmen, und stimmt der Rest mit dem Soll überein?</w:t>
      </w:r>
    </w:p>
    <w:p>
      <w:pPr>
        <w:pStyle w:val="Heading3"/>
      </w:pPr>
      <w:r>
        <w:t xml:space="preserve">Was man sieht</w:t>
      </w:r>
    </w:p>
    <w:p>
      <w:r>
        <w:t xml:space="preserve">Eine Tabelle mit Status, Land, TSC, Quelle, Währung, Ist, IC/2nd-party, Ist ohne IC, Soll, Differenz sowie den Zeilenzahlen (eingeschlossen / ausgeschlossen).</w:t>
      </w:r>
    </w:p>
    <w:p>
      <w:pPr>
        <w:pStyle w:val="Heading3"/>
      </w:pPr>
      <w:r>
        <w:t xml:space="preserve">Wie gerechnet wird</w:t>
      </w:r>
    </w:p>
    <w:p>
      <w:r>
        <w:t xml:space="preserve">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pPr>
        <w:pStyle w:val="Heading3"/>
      </w:pPr>
      <w:r>
        <w:t xml:space="preserve">Einsatz im Arbeitsalltag</w:t>
      </w:r>
    </w:p>
    <w:p>
      <w:r>
        <w:rPr>
          <w:b/>
        </w:rPr>
        <w:t xml:space="preserve">Controller:</w:t>
      </w:r>
      <w:r>
        <w:t xml:space="preserve"> Bei einer Abweichung prüfen, ob die Differenz verschwindet, wenn man den IC-Anteil abzieht. Dann ist die Ursache die Abgrenzung und nicht ein Datenfehler.</w:t>
      </w:r>
    </w:p>
    <w:p>
      <w:r>
        <w:rPr>
          <w:b/>
        </w:rPr>
        <w:t xml:space="preserve">Finance-Leitung:</w:t>
      </w:r>
      <w:r>
        <w:t xml:space="preserve"> Den IC-Anteil je Land als Grundlage für Konsolidierungsfragen heranziehen.</w:t>
      </w:r>
    </w:p>
    <w:p>
      <w:pPr>
        <w:pStyle w:val="Heading3"/>
      </w:pPr>
      <w:r>
        <w:t xml:space="preserve">Grenzen und Fallstricke</w:t>
      </w:r>
    </w:p>
    <w:p>
      <w:r>
        <w:t xml:space="preserve">Der Abzug dient der Diagnose und ändert die Daten nicht. Die Namenserkennung ist einfach; ein ähnlich lautender Fremdkunde kann fälschlich erfasst werden. Die Liste wird im Admin-Bereich gepflegt.</w:t>
      </w:r>
    </w:p>
    <w:p>
      <w:pPr>
        <w:pStyle w:val="Heading2"/>
      </w:pPr>
      <w:r>
        <w:t xml:space="preserve">Datenstatus (Experten)</w:t>
      </w:r>
    </w:p>
    <w:p>
      <w:pPr>
        <w:pStyle w:val="Heading3"/>
      </w:pPr>
      <w:r>
        <w:t xml:space="preserve">Wozu</w:t>
      </w:r>
    </w:p>
    <w:p>
      <w:r>
        <w:t xml:space="preserve">Der Datenstatus listet je Standort, welche Datenmenge liegt und wann sie zuletzt geliefert wurde. Er beantwortet die Frage, ob ein auffälliger Umsatz an den Daten oder am Land liegt.</w:t>
      </w:r>
    </w:p>
    <w:p>
      <w:pPr>
        <w:pStyle w:val="Heading3"/>
      </w:pPr>
      <w:r>
        <w:t xml:space="preserve">Was man sieht</w:t>
      </w:r>
    </w:p>
    <w:p>
      <w:r>
        <w:t xml:space="preserve">Je Standort: aktiv oder nicht, Land, TSC, Quelle, zentrale Zeilen, letzter Export, Exportstatus, letzte Speicherung in der Datenbank und bei Standorten mit manueller Datei der Dateiname mit Zeitpunkt des Uploads.</w:t>
      </w:r>
    </w:p>
    <w:p>
      <w:pPr>
        <w:pStyle w:val="Heading3"/>
      </w:pPr>
      <w:r>
        <w:t xml:space="preserve">Wie gerechnet wird</w:t>
      </w:r>
    </w:p>
    <w:p>
      <w:r>
        <w:t xml:space="preserve">Es werden Zählungen und Zeitpunkte aus der zentralen Datenbank, dem Export-Log und den Importdateien gezeigt. Die Schnellübersicht verwendet für ihren Datenstand dieselbe Logik wie das Export Dashboard.</w:t>
      </w:r>
    </w:p>
    <w:p>
      <w:pPr>
        <w:pStyle w:val="Heading3"/>
      </w:pPr>
      <w:r>
        <w:t xml:space="preserve">Einsatz im Arbeitsalltag</w:t>
      </w:r>
    </w:p>
    <w:p>
      <w:r>
        <w:rPr>
          <w:b/>
        </w:rPr>
        <w:t xml:space="preserve">Finance-Keyuser:</w:t>
      </w:r>
      <w:r>
        <w:t xml:space="preserve"> Bei manuellen Ländern prüfen, ob die aktuelle Datei wirklich hochgeladen wurde.</w:t>
      </w:r>
    </w:p>
    <w:p>
      <w:r>
        <w:rPr>
          <w:b/>
        </w:rPr>
        <w:t xml:space="preserve">Controller:</w:t>
      </w:r>
      <w:r>
        <w:t xml:space="preserve"> Bei fehlenden Umsätzen eines Landes zuerst hier den letzten Export ansehen.</w:t>
      </w:r>
    </w:p>
    <w:p>
      <w:pPr>
        <w:pStyle w:val="Heading3"/>
      </w:pPr>
      <w:r>
        <w:t xml:space="preserve">Grenzen und Fallstricke</w:t>
      </w:r>
    </w:p>
    <w:p>
      <w:r>
        <w:t xml:space="preserve">Ein erfolgreicher Export bedeutet nicht, dass die Quelle neue Daten geliefert hat. Das zeigt erst der Daten-Heartbeat.</w:t>
      </w:r>
    </w:p>
    <w:p>
      <w:pPr>
        <w:pStyle w:val="Heading2"/>
      </w:pPr>
      <w:r>
        <w:t xml:space="preserve">Abweichungen (Experten)</w:t>
      </w:r>
    </w:p>
    <w:p>
      <w:pPr>
        <w:pStyle w:val="Heading3"/>
      </w:pPr>
      <w:r>
        <w:t xml:space="preserve">Wozu</w:t>
      </w:r>
    </w:p>
    <w:p>
      <w:r>
        <w:t xml:space="preserve">Die Seite listet alle Länder, bei denen Ist und Soll auseinanderliegen. Sie ist die Arbeitsliste für die Abstimmung vor der Freigabe.</w:t>
      </w:r>
    </w:p>
    <w:p>
      <w:pPr>
        <w:pStyle w:val="Heading3"/>
      </w:pPr>
      <w:r>
        <w:t xml:space="preserve">Was man sieht</w:t>
      </w:r>
    </w:p>
    <w:p>
      <w:r>
        <w:t xml:space="preserve">Status, Land, Währung, Ist, Soll, Differenz und Differenz in Prozent. Ohne Sollwerte oder ohne Abweichung erscheint der Hinweis „Keine Sollwerte oder keine Abweichungen für diese Filter".</w:t>
      </w:r>
    </w:p>
    <w:p>
      <w:pPr>
        <w:pStyle w:val="Heading3"/>
      </w:pPr>
      <w:r>
        <w:t xml:space="preserve">Wie gerechnet wird</w:t>
      </w:r>
    </w:p>
    <w:p>
      <w:r>
        <w:t xml:space="preserve">Differenz ist Ist minus Soll. Als Abweichung gilt, was eine Währungseinheit übersteigt. Das Prozentmass setzt die Differenz ins Verhältnis zum Soll.</w:t>
      </w:r>
    </w:p>
    <w:p>
      <w:pPr>
        <w:pStyle w:val="Heading3"/>
      </w:pPr>
      <w:r>
        <w:t xml:space="preserve">Einsatz im Arbeitsalltag</w:t>
      </w:r>
    </w:p>
    <w:p>
      <w:r>
        <w:rPr>
          <w:b/>
        </w:rPr>
        <w:t xml:space="preserve">Controller:</w:t>
      </w:r>
      <w:r>
        <w:t xml:space="preserve"> Jede Zeile fachlich klären: Ist der Sollwert veraltet, fehlt Importumfang, oder muss eine Finance-Regel angepasst werden? Die Management Entscheidungen übernehmen die grössten Zeilen dieser Liste.</w:t>
      </w:r>
    </w:p>
    <w:p>
      <w:pPr>
        <w:pStyle w:val="Heading3"/>
      </w:pPr>
      <w:r>
        <w:t xml:space="preserve">Grenzen und Fallstricke</w:t>
      </w:r>
    </w:p>
    <w:p>
      <w:r>
        <w:t xml:space="preserve">Die Toleranz von einer Währungseinheit gilt für alle Währungen gleich, obwohl eine Einheit bei Indischer Rupie etwas völlig anderes bedeutet als bei Schweizer Franken. Die Seite ist leer, wenn für das Jahr keine Sollwerte gepflegt sind.</w:t>
      </w:r>
    </w:p>
    <w:p>
      <w:pPr>
        <w:pStyle w:val="Heading2"/>
      </w:pPr>
      <w:r>
        <w:t xml:space="preserve">Gutschriften (Experten)</w:t>
      </w:r>
    </w:p>
    <w:p>
      <w:pPr>
        <w:pStyle w:val="Heading3"/>
      </w:pPr>
      <w:r>
        <w:t xml:space="preserve">Wozu</w:t>
      </w:r>
    </w:p>
    <w:p>
      <w:r>
        <w:t xml:space="preserve">Die Seite zeigt Rechnungen, die wie Gutschriften aussehen. Sie hilft zu prüfen, ob Rückerstattungen richtig negativ geführt werden und welche Belege ungewöhnlich sind.</w:t>
      </w:r>
    </w:p>
    <w:p>
      <w:pPr>
        <w:pStyle w:val="Heading3"/>
      </w:pPr>
      <w:r>
        <w:t xml:space="preserve">Was man sieht</w:t>
      </w:r>
    </w:p>
    <w:p>
      <w:r>
        <w:t xml:space="preserve">Land, TSC, Rechnungsnummer, Belegtyp, Wert, Menge und der Grund, warum die Zeile als Kandidat gilt.</w:t>
      </w:r>
    </w:p>
    <w:p>
      <w:pPr>
        <w:pStyle w:val="Heading3"/>
      </w:pPr>
      <w:r>
        <w:t xml:space="preserve">Wie gerechnet wird</w:t>
      </w:r>
    </w:p>
    <w:p>
      <w:r>
        <w:t xml:space="preserve">Kandidat ist eine Zeile mit negativem Wert, negativem Rohwert oder einem Belegtyp beziehungsweise einer Belegnummer, die nach Gutschrift aussieht. Die Zeilen werden je Rechnung zusammengefasst.</w:t>
      </w:r>
    </w:p>
    <w:p>
      <w:pPr>
        <w:pStyle w:val="Heading3"/>
      </w:pPr>
      <w:r>
        <w:t xml:space="preserve">Einsatz im Arbeitsalltag</w:t>
      </w:r>
    </w:p>
    <w:p>
      <w:r>
        <w:rPr>
          <w:b/>
        </w:rPr>
        <w:t xml:space="preserve">Controller:</w:t>
      </w:r>
      <w:r>
        <w:t xml:space="preserve"> Vor dem Abschluss die grössten Gutschriften prüfen und mit Debitorenbuchhaltung oder Verkauf abgleichen.</w:t>
      </w:r>
    </w:p>
    <w:p>
      <w:pPr>
        <w:pStyle w:val="Heading3"/>
      </w:pPr>
      <w:r>
        <w:t xml:space="preserve">Grenzen und Fallstricke</w:t>
      </w:r>
    </w:p>
    <w:p>
      <w:r>
        <w:t xml:space="preserve">Die Seite zeigt ausdrücklich technische Kandidaten und ersetzt keine landesspezifische fachliche Freigabe. Gutschriften mit Menge null sind ein bekannter offener Punkt der Fachabstimmung und verfälschen unter Umständen Mengen- und Preisanalysen.</w:t>
      </w:r>
    </w:p>
    <w:p>
      <w:pPr>
        <w:pStyle w:val="Heading2"/>
      </w:pPr>
      <w:r>
        <w:t xml:space="preserve">Datenqualität (Experten)</w:t>
      </w:r>
    </w:p>
    <w:p>
      <w:pPr>
        <w:pStyle w:val="Heading3"/>
      </w:pPr>
      <w:r>
        <w:t xml:space="preserve">Wozu</w:t>
      </w:r>
    </w:p>
    <w:p>
      <w:r>
        <w:t xml:space="preserve">Die Seite zählt, wie viele Zeilen wichtige Angaben vermissen. Sie zeigt, wo die Quelle nachgebessert werden muss, bevor eine Auswertung belastbar ist.</w:t>
      </w:r>
    </w:p>
    <w:p>
      <w:pPr>
        <w:pStyle w:val="Heading3"/>
      </w:pPr>
      <w:r>
        <w:t xml:space="preserve">Was man sieht</w:t>
      </w:r>
    </w:p>
    <w:p>
      <w:r>
        <w:t xml:space="preserve">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pPr>
        <w:pStyle w:val="Heading3"/>
      </w:pPr>
      <w:r>
        <w:t xml:space="preserve">Wie gerechnet wird</w:t>
      </w:r>
    </w:p>
    <w:p>
      <w:r>
        <w:t xml:space="preserve">Jeder Prüfpunkt ist eine einfache Zählung über die Zeilen des Filters. „Nullwerte" und „Ausgeschlossene Zeilen" schliessen sich aus: Eine Zeile, die eine Regel ausgeschlossen hat, zählt nur bei den ausgeschlossenen. Sortiert wird nach Anzahl.</w:t>
      </w:r>
    </w:p>
    <w:p>
      <w:pPr>
        <w:pStyle w:val="Heading3"/>
      </w:pPr>
      <w:r>
        <w:t xml:space="preserve">Einsatz im Arbeitsalltag</w:t>
      </w:r>
    </w:p>
    <w:p>
      <w:r>
        <w:rPr>
          <w:b/>
        </w:rPr>
        <w:t xml:space="preserve">Datenverantwortliche und Keyuser:</w:t>
      </w:r>
      <w:r>
        <w:t xml:space="preserve"> Die Liste als Auftrag an die Standorte verwenden. Die sechs häufigsten Punkte erscheinen zusätzlich im Entscheidungsradar.</w:t>
      </w:r>
    </w:p>
    <w:p>
      <w:pPr>
        <w:pStyle w:val="Heading3"/>
      </w:pPr>
      <w:r>
        <w:t xml:space="preserve">Grenzen und Fallstricke</w:t>
      </w:r>
    </w:p>
    <w:p>
      <w:r>
        <w:t xml:space="preserve">Ein fehlendes Buchungsdatum ist in einzelnen Ländern normal, zum Beispiel in Spanien, wo das Rechnungsdatum führend ist. Die Anzahl allein sagt nichts über den betroffenen Umsatz.</w:t>
      </w:r>
    </w:p>
    <w:p>
      <w:pPr>
        <w:pStyle w:val="Heading2"/>
      </w:pPr>
      <w:r>
        <w:t xml:space="preserve">Finance Pivot (Experten)</w:t>
      </w:r>
    </w:p>
    <w:p>
      <w:pPr>
        <w:pStyle w:val="Heading3"/>
      </w:pPr>
      <w:r>
        <w:t xml:space="preserve">Wozu</w:t>
      </w:r>
    </w:p>
    <w:p>
      <w:r>
        <w:t xml:space="preserve">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pPr>
        <w:pStyle w:val="Heading3"/>
      </w:pPr>
      <w:r>
        <w:t xml:space="preserve">Was man sieht</w:t>
      </w:r>
    </w:p>
    <w:p>
      <w:r>
        <w:t xml:space="preserve">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pPr>
        <w:pStyle w:val="Heading3"/>
      </w:pPr>
      <w:r>
        <w:t xml:space="preserve">Wie gerechnet wird</w:t>
      </w:r>
    </w:p>
    <w:p>
      <w:r>
        <w:t xml:space="preserve">Alle Beträge sind in CHF. Umgerechnet wird mit dem Budgetkurs des Finance-Jahres (Standard seit 7. Oktober 2026, Kursprofil in den Settings); 2025 also mit Budget 2025, 2026 mit Budget 2026. „Jahresumsatz" summiert alle Monate des Jahres, bei einem abgeschlossenen Jahr ist das der Jahreswert.</w:t>
      </w:r>
    </w:p>
    <w:p>
      <w:pPr>
        <w:pStyle w:val="Heading3"/>
      </w:pPr>
      <w:r>
        <w:t xml:space="preserve">Einsatz im Arbeitsalltag</w:t>
      </w:r>
    </w:p>
    <w:p>
      <w:r>
        <w:rPr>
          <w:b/>
        </w:rPr>
        <w:t xml:space="preserve">Controller:</w:t>
      </w:r>
      <w:r>
        <w:t xml:space="preserve"> Den Monatsabschluss gegen den gleichen Monat des Vorjahres und die Tage darin vergleichen. Lücken in einzelnen Tagen deuten auf Ladeprobleme hin.</w:t>
      </w:r>
    </w:p>
    <w:p>
      <w:r>
        <w:rPr>
          <w:b/>
        </w:rPr>
        <w:t xml:space="preserve">Geschäftsleitung:</w:t>
      </w:r>
      <w:r>
        <w:t xml:space="preserve"> Die Spalte je Standort zeigt, welche Gesellschaft den Monat trägt.</w:t>
      </w:r>
    </w:p>
    <w:p>
      <w:pPr>
        <w:pStyle w:val="Heading3"/>
      </w:pPr>
      <w:r>
        <w:t xml:space="preserve">Grenzen und Fallstricke</w:t>
      </w:r>
    </w:p>
    <w:p>
      <w:r>
        <w:t xml:space="preserve">Zeilen ohne CHF-Kurs für Jahr und Währung oder ohne TSC fehlen im Pivot. Eine Warnung nennt deren Anzahl, und die Zeilenbasis ist deshalb kleiner als die enthaltenen Zeilen der Finance Summary.</w:t>
      </w:r>
    </w:p>
    <w:p>
      <w:pPr>
        <w:pStyle w:val="Heading2"/>
      </w:pPr>
      <w:r>
        <w:t xml:space="preserve">Sparten-Finanzanalyse (Experten)</w:t>
      </w:r>
    </w:p>
    <w:p>
      <w:pPr>
        <w:pStyle w:val="Heading3"/>
      </w:pPr>
      <w:r>
        <w:t xml:space="preserve">Wozu</w:t>
      </w:r>
    </w:p>
    <w:p>
      <w:r>
        <w:t xml:space="preserve">Die Sparten-Finanzanalyse zeigt den Umsatz nach Produktsparte und beantwortet, welcher Anteil des Umsatzes einer Sparte zugeordnet werden kann. Sie ist die Grundlage für jede Aussage wie „Sparte X macht 20 Prozent des Umsatzes".</w:t>
      </w:r>
    </w:p>
    <w:p>
      <w:pPr>
        <w:pStyle w:val="Heading3"/>
      </w:pPr>
      <w:r>
        <w:t xml:space="preserve">Was man sieht</w:t>
      </w:r>
    </w:p>
    <w:p>
      <w:r>
        <w:t xml:space="preserve">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pPr>
        <w:pStyle w:val="Heading3"/>
      </w:pPr>
      <w:r>
        <w:t xml:space="preserve">Wie gerechnet wird</w:t>
      </w:r>
    </w:p>
    <w:p>
      <w:r>
        <w:t xml:space="preserve">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pPr>
        <w:pStyle w:val="Heading3"/>
      </w:pPr>
      <w:r>
        <w:t xml:space="preserve">Einsatz im Arbeitsalltag</w:t>
      </w:r>
    </w:p>
    <w:p>
      <w:r>
        <w:rPr>
          <w:b/>
        </w:rPr>
        <w:t xml:space="preserve">Controller:</w:t>
      </w:r>
      <w:r>
        <w:t xml:space="preserve"> Die Abdeckung je Land prüfen, bevor Spartenzahlen weitergegeben werden. Ab fünf Prozent ungeklärtem Umsatz erscheint ein Hinweis im Entscheidungsradar.</w:t>
      </w:r>
    </w:p>
    <w:p>
      <w:r>
        <w:rPr>
          <w:b/>
        </w:rPr>
        <w:t xml:space="preserve">Produktmanagement und Einkauf:</w:t>
      </w:r>
      <w:r>
        <w:t xml:space="preserve"> Die Treiberliste „Nicht im Stamm" abarbeiten, um Stammdaten zu ergänzen.</w:t>
      </w:r>
    </w:p>
    <w:p>
      <w:pPr>
        <w:pStyle w:val="Heading3"/>
      </w:pPr>
      <w:r>
        <w:t xml:space="preserve">Grenzen und Fallstricke</w:t>
      </w:r>
    </w:p>
    <w:p>
      <w:r>
        <w:t xml:space="preserve">Bei mehreren Währungen im Filter sind Prozentwerte unzuverlässig, die Seite warnt dann. Die deutschen Artikelnummern sind keine SAP-Materialnummern, deshalb ist die Spartenzuordnung für Deutschland unsicher.</w:t>
      </w:r>
    </w:p>
    <w:p>
      <w:pPr>
        <w:pStyle w:val="Heading2"/>
      </w:pPr>
      <w:r>
        <w:t xml:space="preserve">Zentrale Spartenzuordnung (Experten)</w:t>
      </w:r>
    </w:p>
    <w:p>
      <w:pPr>
        <w:pStyle w:val="Heading3"/>
      </w:pPr>
      <w:r>
        <w:t xml:space="preserve">Wozu</w:t>
      </w:r>
    </w:p>
    <w:p>
      <w:r>
        <w:t xml:space="preserve">Die zentrale Spartenzuordnung prüft nicht den Umsatz, sondern die Materialnummern selbst: Welche Materialien der Länder lassen sich der Trafag-AG-Referenz zuordnen? Sie ist die Arbeitsgrundlage für die Stammdatenpflege.</w:t>
      </w:r>
    </w:p>
    <w:p>
      <w:pPr>
        <w:pStyle w:val="Heading3"/>
      </w:pPr>
      <w:r>
        <w:t xml:space="preserve">Was man sieht</w:t>
      </w:r>
    </w:p>
    <w:p>
      <w:r>
        <w:t xml:space="preserve">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pPr>
        <w:pStyle w:val="Heading3"/>
      </w:pPr>
      <w:r>
        <w:t xml:space="preserve">Wie gerechnet wird</w:t>
      </w:r>
    </w:p>
    <w:p>
      <w:r>
        <w:t xml:space="preserve">Eine Prüfzeile ist ein Material an einem Standort; dasselbe Material aus drei Ländern ergibt drei Zeilen, damit die Statuskacheln aufsummiert den Gesamtwert ergeben. Die Trefferquote ist der Anteil der zugeordneten und der Sammelsparten-Materialien.</w:t>
      </w:r>
    </w:p>
    <w:p>
      <w:pPr>
        <w:pStyle w:val="Heading3"/>
      </w:pPr>
      <w:r>
        <w:t xml:space="preserve">Einsatz im Arbeitsalltag</w:t>
      </w:r>
    </w:p>
    <w:p>
      <w:r>
        <w:rPr>
          <w:b/>
        </w:rPr>
        <w:t xml:space="preserve">Product Management:</w:t>
      </w:r>
      <w:r>
        <w:t xml:space="preserve"> Die Liste „Nicht im Stamm" sortiert nach Finance-Wert zeigt, welche Materialien zuerst in die Referenz aufgenommen werden sollten.</w:t>
      </w:r>
    </w:p>
    <w:p>
      <w:pPr>
        <w:pStyle w:val="Heading3"/>
      </w:pPr>
      <w:r>
        <w:t xml:space="preserve">Grenzen und Fallstricke</w:t>
      </w:r>
    </w:p>
    <w:p>
      <w:r>
        <w:t xml:space="preserve">Die Referenz der Trafag AG gilt als führend. Ein Material, das nur lokal existiert, erscheint immer als „Nicht im Stamm", auch wenn es fachlich korrekt ist.</w:t>
      </w:r>
    </w:p>
    <w:p>
      <w:pPr>
        <w:pStyle w:val="Heading2"/>
      </w:pPr>
      <w:r>
        <w:t xml:space="preserve">Finance Prüfbuch (Experten)</w:t>
      </w:r>
    </w:p>
    <w:p>
      <w:pPr>
        <w:pStyle w:val="Heading3"/>
      </w:pPr>
      <w:r>
        <w:t xml:space="preserve">Wozu</w:t>
      </w:r>
    </w:p>
    <w:p>
      <w:r>
        <w:t xml:space="preserve">Das Prüfbuch ist bewusst keine Zusammenfassung. Es zeigt die einzelnen Rechnungszeilen mit Originalbetrag, Kurs, CHF-Betrag, Lieferant, Standardkosten, Kostenbasis und Marge. Es ist das Werkzeug für die Nachrechnung einer einzelnen Zahl.</w:t>
      </w:r>
    </w:p>
    <w:p>
      <w:pPr>
        <w:pStyle w:val="Heading3"/>
      </w:pPr>
      <w:r>
        <w:t xml:space="preserve">Was man sieht</w:t>
      </w:r>
    </w:p>
    <w:p>
      <w:r>
        <w:t xml:space="preserve">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pPr>
        <w:pStyle w:val="Heading3"/>
      </w:pPr>
      <w:r>
        <w:t xml:space="preserve">Wie gerechnet wird</w:t>
      </w:r>
    </w:p>
    <w:p>
      <w:r>
        <w:t xml:space="preserve">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pPr>
        <w:pStyle w:val="Heading3"/>
      </w:pPr>
      <w:r>
        <w:t xml:space="preserve">Einsatz im Arbeitsalltag</w:t>
      </w:r>
    </w:p>
    <w:p>
      <w:r>
        <w:rPr>
          <w:b/>
        </w:rPr>
        <w:t xml:space="preserve">Revisor:</w:t>
      </w:r>
      <w:r>
        <w:t xml:space="preserve"> Einzelne Belege herausgreifen und Kurs, Kostenbasis und Marge nachrechnen.</w:t>
      </w:r>
    </w:p>
    <w:p>
      <w:r>
        <w:rPr>
          <w:b/>
        </w:rPr>
        <w:t xml:space="preserve">Controller:</w:t>
      </w:r>
      <w:r>
        <w:t xml:space="preserve"> Bei einer auffälligen Länder- oder Spartenmarge hier die Zeilen mit den Status „offen" suchen.</w:t>
      </w:r>
    </w:p>
    <w:p>
      <w:pPr>
        <w:pStyle w:val="Heading3"/>
      </w:pPr>
      <w:r>
        <w:t xml:space="preserve">Grenzen und Fallstricke</w:t>
      </w:r>
    </w:p>
    <w:p>
      <w:r>
        <w:t xml:space="preserve">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pPr>
        <w:pStyle w:val="Heading2"/>
      </w:pPr>
      <w:r>
        <w:t xml:space="preserve">Gruppenmarge (Experten)</w:t>
      </w:r>
    </w:p>
    <w:p>
      <w:pPr>
        <w:pStyle w:val="Heading3"/>
      </w:pPr>
      <w:r>
        <w:t xml:space="preserve">Wozu</w:t>
      </w:r>
    </w:p>
    <w:p>
      <w:r>
        <w:t xml:space="preserve">Die Gruppenmarge zeigt, was vom Umsatz nach Abzug der Standardkosten übrig bleibt, über alle Gesellschaften hinweg. Wichtig ist der Konzernblick: Wenn eine Gesellschaft Ware von der Trafag AG bezieht, zählen die Konzernkosten und nicht der interne Verrechnungspreis.</w:t>
      </w:r>
    </w:p>
    <w:p>
      <w:pPr>
        <w:pStyle w:val="Heading3"/>
      </w:pPr>
      <w:r>
        <w:t xml:space="preserve">Was man sieht</w:t>
      </w:r>
    </w:p>
    <w:p>
      <w:r>
        <w:t xml:space="preserve">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pPr>
        <w:pStyle w:val="Heading3"/>
      </w:pPr>
      <w:r>
        <w:t xml:space="preserve">Wie gerechnet wird</w:t>
      </w:r>
    </w:p>
    <w:p>
      <w:r>
        <w:t xml:space="preserve">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pPr>
        <w:pStyle w:val="Heading3"/>
      </w:pPr>
      <w:r>
        <w:t xml:space="preserve">Einsatz im Arbeitsalltag</w:t>
      </w:r>
    </w:p>
    <w:p>
      <w:r>
        <w:rPr>
          <w:b/>
        </w:rPr>
        <w:t xml:space="preserve">Controller:</w:t>
      </w:r>
      <w:r>
        <w:t xml:space="preserve"> Zuerst die Kachel „Saubere Kostenbasis" ansehen: Nur wenn sie hoch ist, ist die Marge belastbar. Danach über die Detailprüfung die offenen Zeilen nach Material und Lieferant abarbeiten.</w:t>
      </w:r>
    </w:p>
    <w:p>
      <w:r>
        <w:rPr>
          <w:b/>
        </w:rPr>
        <w:t xml:space="preserve">Einkäufer:</w:t>
      </w:r>
      <w:r>
        <w:t xml:space="preserve"> Die Lieferantenklassifikation (intern, lokal, extern) mit Finance klären, wenn viele Zeilen „Lieferant unklar" sind.</w:t>
      </w:r>
    </w:p>
    <w:p>
      <w:r>
        <w:rPr>
          <w:b/>
        </w:rPr>
        <w:t xml:space="preserve">Geschäftsleitung:</w:t>
      </w:r>
      <w:r>
        <w:t xml:space="preserve"> Die Marge nach Land und Sparte als Orientierung verwenden, nicht als Abschlusswert.</w:t>
      </w:r>
    </w:p>
    <w:p>
      <w:pPr>
        <w:pStyle w:val="Heading3"/>
      </w:pPr>
      <w:r>
        <w:t xml:space="preserve">Grenzen und Fallstricke</w:t>
      </w:r>
    </w:p>
    <w:p>
      <w:r>
        <w:t xml:space="preserve">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pPr>
        <w:pStyle w:val="Heading2"/>
      </w:pPr>
      <w:r>
        <w:t xml:space="preserve">3D Datenanalyse (Experten)</w:t>
      </w:r>
    </w:p>
    <w:p>
      <w:pPr>
        <w:pStyle w:val="Heading3"/>
      </w:pPr>
      <w:r>
        <w:t xml:space="preserve">Wozu</w:t>
      </w:r>
    </w:p>
    <w:p>
      <w:r>
        <w:t xml:space="preserve">Die 3D-Ansicht stellt die Länderzahlen als drehbares Diagramm dar. Sie dient der Präsentation und dem schnellen Erkennen von Ausreissern, nicht der exakten Auswertung.</w:t>
      </w:r>
    </w:p>
    <w:p>
      <w:pPr>
        <w:pStyle w:val="Heading3"/>
      </w:pPr>
      <w:r>
        <w:t xml:space="preserve">Was man sieht</w:t>
      </w:r>
    </w:p>
    <w:p>
      <w:r>
        <w:t xml:space="preserve">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 verschiebt man.</w:t>
      </w:r>
    </w:p>
    <w:p>
      <w:pPr>
        <w:pStyle w:val="Heading3"/>
      </w:pPr>
      <w:r>
        <w:t xml:space="preserve">Wie gerechnet wird</w:t>
      </w:r>
    </w:p>
    <w:p>
      <w:r>
        <w:t xml:space="preserve">Die Werte stammen aus den Länder- und Jahressummen des Finance-Filters. Der Szenario-Faktor multipliziert die Werte für eine Was-wäre-wenn-Betrachtung, zum Beispiel einer Kursänderung, und zeigt Basis, Szenario und Delta. Auf Zeilenzahlen wirkt er nicht.</w:t>
      </w:r>
    </w:p>
    <w:p>
      <w:pPr>
        <w:pStyle w:val="Heading3"/>
      </w:pPr>
      <w:r>
        <w:t xml:space="preserve">Einsatz im Arbeitsalltag</w:t>
      </w:r>
    </w:p>
    <w:p>
      <w:r>
        <w:rPr>
          <w:b/>
        </w:rPr>
        <w:t xml:space="preserve">Geschäftsleitung:</w:t>
      </w:r>
      <w:r>
        <w:t xml:space="preserve"> In Besprechungen den Länderanteil als Kreis zeigen und mit dem Faktor die Wirkung von minus zehn Prozent eines Kurses oder Marktes veranschaulichen.</w:t>
      </w:r>
    </w:p>
    <w:p>
      <w:r>
        <w:rPr>
          <w:b/>
        </w:rPr>
        <w:t xml:space="preserve">Controller:</w:t>
      </w:r>
      <w:r>
        <w:t xml:space="preserve"> Zur Vorbereitung eher die Tabellen verwenden, die 3D-Sicht bietet keine Einzelwerte.</w:t>
      </w:r>
    </w:p>
    <w:p>
      <w:pPr>
        <w:pStyle w:val="Heading3"/>
      </w:pPr>
      <w:r>
        <w:t xml:space="preserve">Grenzen und Fallstricke</w:t>
      </w:r>
    </w:p>
    <w:p>
      <w:r>
        <w:t xml:space="preserve">Der Faktor ist eine einfache Skalierung ohne Modell und keine Prognose. Eine Betrachtung über mehrere Währungen hat dieselben Einschränkungen wie die übrigen Summen.</w:t>
      </w:r>
    </w:p>
    <w:p>
      <w:pPr>
        <w:pStyle w:val="Heading2"/>
      </w:pPr>
      <w:r>
        <w:t xml:space="preserve">Rohdaten Diagnose (Experten)</w:t>
      </w:r>
    </w:p>
    <w:p>
      <w:pPr>
        <w:pStyle w:val="Heading3"/>
      </w:pPr>
      <w:r>
        <w:t xml:space="preserve">Wozu</w:t>
      </w:r>
    </w:p>
    <w:p>
      <w:r>
        <w:t xml:space="preserve">Diese Seite ist eine technische Plausibilitätssicht auf die Rohdaten. Sie beantwortet, ob die Zahlen vor jeder fachlichen Regel überhaupt zusammenpassen. Für den verbindlichen Abgleich ist sie ausdrücklich nicht gedacht.</w:t>
      </w:r>
    </w:p>
    <w:p>
      <w:pPr>
        <w:pStyle w:val="Heading3"/>
      </w:pPr>
      <w:r>
        <w:t xml:space="preserve">Was man sieht</w:t>
      </w:r>
    </w:p>
    <w:p>
      <w:r>
        <w:t xml:space="preserve">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Werte nach Quelle und nach Land sowie der Hinweis, wie viele Zeilen mangels Kurs nicht umgerechnet wurden.</w:t>
      </w:r>
    </w:p>
    <w:p>
      <w:pPr>
        <w:pStyle w:val="Heading3"/>
      </w:pPr>
      <w:r>
        <w:t xml:space="preserve">Wie gerechnet wird</w:t>
      </w:r>
    </w:p>
    <w:p>
      <w:r>
        <w:t xml:space="preserve">Je Zeile wird der Quellwert mit dem Kurs zum Belegdatum in die Anzeigewährung umgerechnet. Wo kein Kurs vorhanden ist, bleibt die Zeile ohne Umrechnung und wird gezählt. Intercompany, Budget und Spartenlogik sind nicht enthalten.</w:t>
      </w:r>
    </w:p>
    <w:p>
      <w:pPr>
        <w:pStyle w:val="Heading3"/>
      </w:pPr>
      <w:r>
        <w:t xml:space="preserve">Einsatz im Arbeitsalltag</w:t>
      </w:r>
    </w:p>
    <w:p>
      <w:r>
        <w:rPr>
          <w:b/>
        </w:rPr>
        <w:t xml:space="preserve">Finance-Keyuser:</w:t>
      </w:r>
      <w:r>
        <w:t xml:space="preserve"> Nach einem Import die Summen je Monat und Tag ansehen und mit der Quelle vergleichen.</w:t>
      </w:r>
    </w:p>
    <w:p>
      <w:r>
        <w:rPr>
          <w:b/>
        </w:rPr>
        <w:t xml:space="preserve">Controller:</w:t>
      </w:r>
      <w:r>
        <w:t xml:space="preserve"> Mit zwei Summenfeldern nebeneinander prüfen, ob zum Beispiel Netto- und Bruttowerte plausibel auseinanderliegen.</w:t>
      </w:r>
    </w:p>
    <w:p>
      <w:pPr>
        <w:pStyle w:val="Heading3"/>
      </w:pPr>
      <w:r>
        <w:t xml:space="preserve">Grenzen und Fallstricke</w:t>
      </w:r>
    </w:p>
    <w:p>
      <w:r>
        <w:t xml:space="preserve">Die Ergebnisse dürfen nicht für die Finance-Freigabe verwendet werden. Dafür gelten Soll/Ist Vergleich oder die Finance-Spalten im Excel.</w:t>
      </w:r>
    </w:p>
    <w:p>
      <w:pPr>
        <w:pStyle w:val="Heading2"/>
      </w:pPr>
      <w:r>
        <w:t xml:space="preserve">Daten-Heartbeat (Experten)</w:t>
      </w:r>
    </w:p>
    <w:p>
      <w:pPr>
        <w:pStyle w:val="Heading3"/>
      </w:pPr>
      <w:r>
        <w:t xml:space="preserve">Wozu</w:t>
      </w:r>
    </w:p>
    <w:p>
      <w:r>
        <w:t xml:space="preserve">Der Daten-Heartbeat zeigt je Standort Tag für Tag, ob Buchungen eingegangen sind und ob der Exportlauf stattgefunden hat. Er macht das Ausbleiben von Daten sichtbar, bevor es in den Zahlen auffällt.</w:t>
      </w:r>
    </w:p>
    <w:p>
      <w:pPr>
        <w:pStyle w:val="Heading3"/>
      </w:pPr>
      <w:r>
        <w:t xml:space="preserve">Was man sieht</w:t>
      </w:r>
    </w:p>
    <w:p>
      <w:r>
        <w:t xml:space="preserve">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pPr>
        <w:pStyle w:val="Heading3"/>
      </w:pPr>
      <w:r>
        <w:t xml:space="preserve">Wie gerechnet wird</w:t>
      </w:r>
    </w:p>
    <w:p>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ein Tag eine Lücke ist, sonst „Warn", sobald ein Tag eine Warnung ist. Der Exportstatus vergleicht je Tag die Protokolle der Läufe.</w:t>
      </w:r>
    </w:p>
    <w:p>
      <w:pPr>
        <w:pStyle w:val="Heading3"/>
      </w:pPr>
      <w:r>
        <w:t xml:space="preserve">Einsatz im Arbeitsalltag</w:t>
      </w:r>
    </w:p>
    <w:p>
      <w:r>
        <w:rPr>
          <w:b/>
        </w:rPr>
        <w:t xml:space="preserve">Finance-Keyuser:</w:t>
      </w:r>
      <w:r>
        <w:t xml:space="preserve"> Jeden Morgen kurz ansehen: Rote Streifen unten bedeuten fehlgeschlagene Exporte, orange Streifen fehlende Läufe.</w:t>
      </w:r>
    </w:p>
    <w:p>
      <w:r>
        <w:rPr>
          <w:b/>
        </w:rPr>
        <w:t xml:space="preserve">Controller:</w:t>
      </w:r>
      <w:r>
        <w:t xml:space="preserve"> Vor dem Monatsabschluss sicherstellen, dass kein Land am Monatsende eine Lücke hat.</w:t>
      </w:r>
    </w:p>
    <w:p>
      <w:pPr>
        <w:pStyle w:val="Heading3"/>
      </w:pPr>
      <w:r>
        <w:t xml:space="preserve">Grenzen und Fallstricke</w:t>
      </w:r>
    </w:p>
    <w:p>
      <w:r>
        <w:t xml:space="preserve">Der Heartbeat prüft nur die Verkaufsstrecke; der Journal-Import wird bewusst nicht erfasst. Ein ruhiger Tag lässt sich vom Ausfall nicht trennen, solange das letzte Update jünger als zwei Tage ist. Vor dem ersten Eintrag im Export-Log ist der Exportstatus „unbekannt".</w:t>
      </w:r>
    </w:p>
    <w:p>
      <w:pPr>
        <w:pStyle w:val="Heading2"/>
      </w:pPr>
      <w:r>
        <w:t xml:space="preserve">Soll/Ist Vergleich</w:t>
      </w:r>
    </w:p>
    <w:p>
      <w:pPr>
        <w:pStyle w:val="Heading3"/>
      </w:pPr>
      <w:r>
        <w:t xml:space="preserve">Wozu</w:t>
      </w:r>
    </w:p>
    <w:p>
      <w:r>
        <w:t xml:space="preserve">Der Soll/Ist Vergleich prüft die Net Sales Actuals der Länder gegen die gepflegten Referenzwerte und ist die Grundlage der Finance-Freigabe. Er beantwortet: Stimmt der Umsatz, den die Anwendung zeigt, mit dem Wert überein, den Finance als richtig kennt?</w:t>
      </w:r>
    </w:p>
    <w:p>
      <w:pPr>
        <w:pStyle w:val="Heading3"/>
      </w:pPr>
      <w:r>
        <w:t xml:space="preserve">Was man sieht</w:t>
      </w:r>
    </w:p>
    <w:p>
      <w:r>
        <w:t xml:space="preserve">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pPr>
        <w:pStyle w:val="Heading3"/>
      </w:pPr>
      <w:r>
        <w:t xml:space="preserve">Wie gerechnet wird</w:t>
      </w:r>
    </w:p>
    <w:p>
      <w:r>
        <w:t xml:space="preserve">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Ausschluss von Trafag Italia, für Deutschland der Ausschluss von Weiterberechnungen.</w:t>
      </w:r>
    </w:p>
    <w:p>
      <w:pPr>
        <w:pStyle w:val="Heading3"/>
      </w:pPr>
      <w:r>
        <w:t xml:space="preserve">Einsatz im Arbeitsalltag</w:t>
      </w:r>
    </w:p>
    <w:p>
      <w:r>
        <w:rPr>
          <w:b/>
        </w:rPr>
        <w:t xml:space="preserve">Finance-Leitung:</w:t>
      </w:r>
      <w:r>
        <w:t xml:space="preserve"> Die Abweichungen je Land bewerten und freigeben oder zurückgeben. Ziel ist ein Zustand, in dem Finance Summary, Finance Details und Soll/Ist zusammen plausibel sind.</w:t>
      </w:r>
    </w:p>
    <w:p>
      <w:r>
        <w:rPr>
          <w:b/>
        </w:rPr>
        <w:t xml:space="preserve">Controller:</w:t>
      </w:r>
      <w:r>
        <w:t xml:space="preserve"> Bei einer Abweichung die Varianten öffnen und prüfen, welche Abgrenzung das Soll trifft.</w:t>
      </w:r>
    </w:p>
    <w:p>
      <w:pPr>
        <w:pStyle w:val="Heading3"/>
      </w:pPr>
      <w:r>
        <w:t xml:space="preserve">Grenzen und Fallstricke</w:t>
      </w:r>
    </w:p>
    <w:p>
      <w:r>
        <w:t xml:space="preserve">Sollwerte sind nur für einzelne Jahre vorhanden, für die Schweiz fehlen sie nach letztem Stand. Die Ampel kennt die Fälle ohne Sollwert nicht gesondert: Solche Länder erscheinen unter „Keine Daten". Die Toleranz von einer Einheit gilt für alle Währungen gleich.</w:t>
      </w:r>
    </w:p>
    <w:p>
      <w:pPr>
        <w:pStyle w:val="Heading2"/>
      </w:pPr>
      <w:r>
        <w:t xml:space="preserve">Controlling</w:t>
      </w:r>
    </w:p>
    <w:p>
      <w:pPr>
        <w:pStyle w:val="Heading3"/>
      </w:pPr>
      <w:r>
        <w:t xml:space="preserve">Wozu</w:t>
      </w:r>
    </w:p>
    <w:p>
      <w:r>
        <w:t xml:space="preserve">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pPr>
        <w:pStyle w:val="Heading3"/>
      </w:pPr>
      <w:r>
        <w:t xml:space="preserve">Was man sieht</w:t>
      </w:r>
    </w:p>
    <w:p>
      <w:r>
        <w:t xml:space="preserve">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 Brücke je Gesellschaft. Es folgen die Hochrechnung je Gesellschaft (voller Balken Ist, schraffiert Restmonate, grauer Strich Vorjahr) und eine Monatskurve gegen das Vorjahr. Am Ende stehen die offenen Fragen. Ein Excel-Export liegt bei.</w:t>
      </w:r>
    </w:p>
    <w:p>
      <w:pPr>
        <w:pStyle w:val="Heading3"/>
      </w:pPr>
      <w:r>
        <w:t xml:space="preserve">Wie gerechnet wird</w:t>
      </w:r>
    </w:p>
    <w:p>
      <w:r>
        <w:t xml:space="preserve">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pPr>
        <w:pStyle w:val="Heading3"/>
      </w:pPr>
      <w:r>
        <w:t xml:space="preserve">Einsatz im Arbeitsalltag</w:t>
      </w:r>
    </w:p>
    <w:p>
      <w:r>
        <w:rPr>
          <w:b/>
        </w:rPr>
        <w:t xml:space="preserve">Controller:</w:t>
      </w:r>
      <w:r>
        <w:t xml:space="preserve"> Die Brücke in der Monatsberichterstattung verwenden, um zu erklären, ob ein Wachstum aus Menge, Preis oder Kurs stammt.</w:t>
      </w:r>
    </w:p>
    <w:p>
      <w:r>
        <w:rPr>
          <w:b/>
        </w:rPr>
        <w:t xml:space="preserve">Geschäftsleitung:</w:t>
      </w:r>
      <w:r>
        <w:t xml:space="preserve"> Die Hochrechnung als Orientierung dafür, wo das Jahr voraussichtlich endet. Der Vergleich der Gesellschaften zeigt, welche Einheit die Veränderung trägt.</w:t>
      </w:r>
    </w:p>
    <w:p>
      <w:r>
        <w:rPr>
          <w:b/>
        </w:rPr>
        <w:t xml:space="preserve">Vertriebsleiter:</w:t>
      </w:r>
      <w:r>
        <w:t xml:space="preserve"> Die Sicht je Sparte zeigt, in welchen Produktbereichen Preis oder Menge die Veränderung treiben.</w:t>
      </w:r>
    </w:p>
    <w:p>
      <w:pPr>
        <w:pStyle w:val="Heading3"/>
      </w:pPr>
      <w:r>
        <w:t xml:space="preserve">Grenzen und Fallstricke</w:t>
      </w:r>
    </w:p>
    <w:p>
      <w:r>
        <w:t xml:space="preserve">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Überfälligkeit, Vorräte und Lagerumschlag, Margenentwicklung, Erfolgsrechnung je Gesellschaft sowie Kostenstellen und Budget. Die Seite führt diese Punkte als offene Fragen auf.</w:t>
      </w:r>
    </w:p>
    <w:p>
      <w:pPr>
        <w:pStyle w:val="Heading2"/>
      </w:pPr>
      <w:r>
        <w:t xml:space="preserve">Finance Schulung</w:t>
      </w:r>
    </w:p>
    <w:p>
      <w:pPr>
        <w:pStyle w:val="Heading3"/>
      </w:pPr>
      <w:r>
        <w:t xml:space="preserve">Wozu</w:t>
      </w:r>
    </w:p>
    <w:p>
      <w:r>
        <w:t xml:space="preserve">Die Finance Schulung ist die eingebaute Anwenderunterlage für Keyuser, Finance-Leitung und Administratoren. Sie erklärt den Ablauf vom manuellen Import bis zur zentralen Excel-Datei und das Lesen der Finance-Sichten.</w:t>
      </w:r>
    </w:p>
    <w:p>
      <w:pPr>
        <w:pStyle w:val="Heading3"/>
      </w:pPr>
      <w:r>
        <w:t xml:space="preserve">Was man sieht</w:t>
      </w:r>
    </w:p>
    <w:p>
      <w:r>
        <w:t xml:space="preserve">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zentrale Excel-Datei, Journal Import) und „Abgleich" (Finance Summary lesen, Details gegen Summary prüfen, Soll/Ist Vergleich, Länderlogik) sowie „Spartenanalyse".</w:t>
      </w:r>
    </w:p>
    <w:p>
      <w:pPr>
        <w:pStyle w:val="Heading3"/>
      </w:pPr>
      <w:r>
        <w:t xml:space="preserve">Wie gerechnet wird</w:t>
      </w:r>
    </w:p>
    <w:p>
      <w:r>
        <w:t xml:space="preserve">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pPr>
        <w:pStyle w:val="Heading3"/>
      </w:pPr>
      <w:r>
        <w:t xml:space="preserve">Einsatz im Arbeitsalltag</w:t>
      </w:r>
    </w:p>
    <w:p>
      <w:r>
        <w:rPr>
          <w:b/>
        </w:rPr>
        <w:t xml:space="preserve">Neue Keyuser:</w:t>
      </w:r>
      <w:r>
        <w:t xml:space="preserve"> Die Reihenfolge Datei bereitstellen, Standort exportieren, zentrale Datei erzeugen, Summen prüfen, Soll/Ist freigeben einüben.</w:t>
      </w:r>
    </w:p>
    <w:p>
      <w:r>
        <w:rPr>
          <w:b/>
        </w:rPr>
        <w:t xml:space="preserve">Revisor:</w:t>
      </w:r>
      <w:r>
        <w:t xml:space="preserve"> Die Statusanzeigen und die Tabelle der zentralen Dateien (Sales All, Nachweis-Excel, Audit-CSV) als Beschreibung des Prüfpfads nutzen.</w:t>
      </w:r>
    </w:p>
    <w:p>
      <w:pPr>
        <w:pStyle w:val="Heading3"/>
      </w:pPr>
      <w:r>
        <w:t xml:space="preserve">Grenzen und Fallstricke</w:t>
      </w:r>
    </w:p>
    <w:p>
      <w:r>
        <w:t xml:space="preserve">Die Schulung ist Fliesstext der Seite und wird von Hand gepflegt. Bei Abweichungen zwischen Schulung und Oberfläche gilt die Oberfläche.</w:t>
      </w:r>
    </w:p>
    <w:p>
      <w:pPr>
        <w:pStyle w:val="Heading2"/>
      </w:pPr>
      <w:r>
        <w:t xml:space="preserve">Manuelle Importe</w:t>
      </w:r>
    </w:p>
    <w:p>
      <w:pPr>
        <w:pStyle w:val="Heading3"/>
      </w:pPr>
      <w:r>
        <w:t xml:space="preserve">Wozu</w:t>
      </w:r>
    </w:p>
    <w:p>
      <w:r>
        <w:t xml:space="preserve">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pPr>
        <w:pStyle w:val="Heading3"/>
      </w:pPr>
      <w:r>
        <w:t xml:space="preserve">Was man sieht</w:t>
      </w:r>
    </w:p>
    <w:p>
      <w:r>
        <w:t xml:space="preserve">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pPr>
        <w:pStyle w:val="Heading3"/>
      </w:pPr>
      <w:r>
        <w:t xml:space="preserve">Wie gerechnet wird</w:t>
      </w:r>
    </w:p>
    <w:p>
      <w:r>
        <w:t xml:space="preserve">Es wird nicht gerechnet. Beim Standortexport wird die Datei oder der Ordner gelesen, nach den Zuordnungen und Regeln des Standorts aufbereitet und ersetzt den bisherigen Bestand des Standorts in der zentralen Datenbank.</w:t>
      </w:r>
    </w:p>
    <w:p>
      <w:pPr>
        <w:pStyle w:val="Heading3"/>
      </w:pPr>
      <w:r>
        <w:t xml:space="preserve">Einsatz im Arbeitsalltag</w:t>
      </w:r>
    </w:p>
    <w:p>
      <w:r>
        <w:rPr>
          <w:b/>
        </w:rPr>
        <w:t xml:space="preserve">Finance-Keyuser:</w:t>
      </w:r>
      <w:r>
        <w:t xml:space="preserve"> Die neue Jahres- oder Monatsdatei hochladen, den Pfad prüfen, speichern und anschliessend im Export Dashboard den Standort laden. Danach die zentrale Datei neu erzeugen.</w:t>
      </w:r>
    </w:p>
    <w:p>
      <w:r>
        <w:rPr>
          <w:b/>
        </w:rPr>
        <w:t xml:space="preserve">Controller:</w:t>
      </w:r>
      <w:r>
        <w:t xml:space="preserve"> Hier nachsehen, wann zuletzt eine Datei geliefert wurde, wenn Zahlen eines manuellen Landes stillstehen.</w:t>
      </w:r>
    </w:p>
    <w:p>
      <w:pPr>
        <w:pStyle w:val="Heading3"/>
      </w:pPr>
      <w:r>
        <w:t xml:space="preserve">Grenzen und Fallstricke</w:t>
      </w:r>
    </w:p>
    <w:p>
      <w:r>
        <w:t xml:space="preserve">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pPr>
        <w:pStyle w:val="Heading2"/>
      </w:pPr>
      <w:r>
        <w:t xml:space="preserve">Journal Import</w:t>
      </w:r>
    </w:p>
    <w:p>
      <w:pPr>
        <w:pStyle w:val="Heading3"/>
      </w:pPr>
      <w:r>
        <w:t xml:space="preserve">Wozu</w:t>
      </w:r>
    </w:p>
    <w:p>
      <w:r>
        <w:t xml:space="preserve">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pPr>
        <w:pStyle w:val="Heading3"/>
      </w:pPr>
      <w:r>
        <w:t xml:space="preserve">Was man sieht</w:t>
      </w:r>
    </w:p>
    <w:p>
      <w:r>
        <w:t xml:space="preserve">Zwei Schaltflächen („Alle B1-Gesellschaften laden", „Status aktualisieren") und eine Tabelle mit Land, TSC, Schema, Quellsystem, Anzahl Journalzeilen, Buchungsdatum von und bis, letztem Load und der Aktion „Laden" je Gesellschaft.</w:t>
      </w:r>
    </w:p>
    <w:p>
      <w:pPr>
        <w:pStyle w:val="Heading3"/>
      </w:pPr>
      <w:r>
        <w:t xml:space="preserve">Wie gerechnet wird</w:t>
      </w:r>
    </w:p>
    <w:p>
      <w:r>
        <w:t xml:space="preserve">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pPr>
        <w:pStyle w:val="Heading3"/>
      </w:pPr>
      <w:r>
        <w:t xml:space="preserve">Einsatz im Arbeitsalltag</w:t>
      </w:r>
    </w:p>
    <w:p>
      <w:r>
        <w:rPr>
          <w:b/>
        </w:rPr>
        <w:t xml:space="preserve">Controller:</w:t>
      </w:r>
      <w:r>
        <w:t xml:space="preserve"> Den Stand der Gesellschaften prüfen, bevor Auswertungen auf dem Hauptbuch aufgebaut werden: Wie weit reicht das Buchungsdatum, wann war der letzte Load?</w:t>
      </w:r>
    </w:p>
    <w:p>
      <w:r>
        <w:rPr>
          <w:b/>
        </w:rPr>
        <w:t xml:space="preserve">Finance-Keyuser:</w:t>
      </w:r>
      <w:r>
        <w:t xml:space="preserve"> Nach Änderungen im Quellsystem die betroffene Gesellschaft neu laden.</w:t>
      </w:r>
    </w:p>
    <w:p>
      <w:pPr>
        <w:pStyle w:val="Heading3"/>
      </w:pPr>
      <w:r>
        <w:t xml:space="preserve">Grenzen und Fallstricke</w:t>
      </w:r>
    </w:p>
    <w:p>
      <w:r>
        <w:t xml:space="preserve">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pPr>
        <w:pStyle w:val="Heading2"/>
      </w:pPr>
      <w:r>
        <w:t xml:space="preserve">Marktsegmente</w:t>
      </w:r>
    </w:p>
    <w:p>
      <w:pPr>
        <w:pStyle w:val="Heading3"/>
      </w:pPr>
      <w:r>
        <w:t xml:space="preserve">Wozu</w:t>
      </w:r>
    </w:p>
    <w:p>
      <w:r>
        <w:t xml:space="preserve">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pPr>
        <w:pStyle w:val="Heading3"/>
      </w:pPr>
      <w:r>
        <w:t xml:space="preserve">Was man sieht</w:t>
      </w:r>
    </w:p>
    <w:p>
      <w:r>
        <w:t xml:space="preserve">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Bestätigen, Ändern oder Zuordnen und Entfernen. „Namensmuster" legt Muster fest, die Vorschläge erzeugen.</w:t>
      </w:r>
    </w:p>
    <w:p>
      <w:pPr>
        <w:pStyle w:val="Heading3"/>
      </w:pPr>
      <w:r>
        <w:t xml:space="preserve">Wie gerechnet wird</w:t>
      </w:r>
    </w:p>
    <w:p>
      <w:r>
        <w:t xml:space="preserve">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pPr>
        <w:pStyle w:val="Heading3"/>
      </w:pPr>
      <w:r>
        <w:t xml:space="preserve">Einsatz im Arbeitsalltag</w:t>
      </w:r>
    </w:p>
    <w:p>
      <w:r>
        <w:rPr>
          <w:b/>
        </w:rPr>
        <w:t xml:space="preserve">Vertriebsleiter:</w:t>
      </w:r>
      <w:r>
        <w:t xml:space="preserve"> Die grössten offenen Vorschläge zuerst bestätigen oder ändern, weil dort eine Zuordnung am meisten bewirkt. Die Pflegeliste ist nach Zahl der Verkaufszeilen sortiert.</w:t>
      </w:r>
    </w:p>
    <w:p>
      <w:r>
        <w:rPr>
          <w:b/>
        </w:rPr>
        <w:t xml:space="preserve">Geschäftsleitung:</w:t>
      </w:r>
      <w:r>
        <w:t xml:space="preserve"> Im Ergebnis den Umsatz je Segment, Jahr und Standort ablesen.</w:t>
      </w:r>
    </w:p>
    <w:p>
      <w:r>
        <w:rPr>
          <w:b/>
        </w:rPr>
        <w:t xml:space="preserve">Marktbeobachtung:</w:t>
      </w:r>
      <w:r>
        <w:t xml:space="preserve"> Die Marktumfrage beschreibt auch Interessenten ohne Umsatz und ist keine Umsatzquelle.</w:t>
      </w:r>
    </w:p>
    <w:p>
      <w:pPr>
        <w:pStyle w:val="Heading3"/>
      </w:pPr>
      <w:r>
        <w:t xml:space="preserve">Grenzen und Fallstricke</w:t>
      </w:r>
    </w:p>
    <w:p>
      <w:r>
        <w:t xml:space="preserve">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einige Zeilen, vor allem Gutschriften, ohne fachliche Kundennummer.</w:t>
      </w:r>
    </w:p>
    <w:p>
      <w:pPr>
        <w:pStyle w:val="Heading2"/>
      </w:pPr>
      <w:r>
        <w:t xml:space="preserve">Administration</w:t>
      </w:r>
    </w:p>
    <w:p>
      <w:pPr>
        <w:pStyle w:val="Heading3"/>
      </w:pPr>
      <w:r>
        <w:t xml:space="preserve">Wozu</w:t>
      </w:r>
    </w:p>
    <w:p>
      <w:r>
        <w:t xml:space="preserve">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pPr>
        <w:pStyle w:val="Heading3"/>
      </w:pPr>
      <w:r>
        <w:t xml:space="preserve">Was man sieht</w:t>
      </w:r>
    </w:p>
    <w:p>
      <w:r>
        <w:rPr>
          <w:b/>
        </w:rPr>
        <w:t xml:space="preserve">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r>
        <w:rPr>
          <w:b/>
        </w:rPr>
        <w:t xml:space="preserve">Passwörter</w:t>
      </w:r>
      <w:r>
        <w:t xml:space="preserve"> listet alle Bereichs-Logins (Admin, Finance, HR KPI mit Zusatzkonten, Operations, Logistik) mit Benutzer, Status und letzter Änderung. Der angemeldete Admin setzt dort mit „Neu setzen“ ein neues Passwort, ohne das alte zu kennen; es muss mindestens 8 Zeichen lang sein. Gespeichert wird nur ein Hash in der Datenbank, ein Deploy überschreibt ihn nicht. Wer im Bereich angemeldet ist, muss sich danach neu anmelden. Oben auf derselben Seite schaltet „Operations: Login nötig“ das eigene Login für Operations ab: Ist der Schalter aus, sehen und bearbeiten alle mit Windows-Anmeldung den Shopfloor.</w:t>
      </w:r>
    </w:p>
    <w:p>
      <w:r>
        <w:rPr>
          <w:b/>
        </w:rPr>
        <w:t xml:space="preserve">Standorte</w:t>
      </w:r>
      <w:r>
        <w:t xml:space="preserve"> pflegt die Gesellschaften: Land, TSC, Schema, Quellsystem, Aktivierung, die Zuordnung der Quellfelder zum zentralen Schema, SAP-Joins, Excel-Spaltenmapping für manuelle Länder und die zentrale HANA-Technik.</w:t>
      </w:r>
    </w:p>
    <w:p>
      <w:r>
        <w:rPr>
          <w:b/>
        </w:rPr>
        <w:t xml:space="preserve">Transformationen</w:t>
      </w:r>
      <w:r>
        <w:t xml:space="preserve"> ordnet Quellfelder Zielfeldern zu und wendet je Standort Umformungen an, etwa Währungsumrechnung oder Normalisierung. Es gibt feldweise Regeln und Regeln, die mehrere Felder eines Datensatzes verwenden.</w:t>
      </w:r>
    </w:p>
    <w:p>
      <w:r>
        <w:rPr>
          <w:b/>
        </w:rPr>
        <w:t xml:space="preserve">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r>
        <w:rPr>
          <w:b/>
        </w:rPr>
        <w:t xml:space="preserve">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CHF-Kursprofil (aktueller Tageskurs oder Jahresendkurs), die Herstellerregel für die Schweiz sowie die Audit-CSV je Standort. Die Hilfetexte nennen jeweils Wirkzeitpunkt und Abhängigkeiten.</w:t>
      </w:r>
    </w:p>
    <w:p>
      <w:r>
        <w:rPr>
          <w:b/>
        </w:rPr>
        <w:t xml:space="preserve">Menüstruktur</w:t>
      </w:r>
      <w:r>
        <w:t xml:space="preserve"> erlaubt, Menüpunkte zu verschieben, umzubenennen, zu sortieren und auszublenden. Die Zielseiten bleiben unverändert.</w:t>
      </w:r>
    </w:p>
    <w:p>
      <w:r>
        <w:rPr>
          <w:b/>
        </w:rPr>
        <w:t xml:space="preserve">Logs</w:t>
      </w:r>
      <w:r>
        <w:t xml:space="preserve"> zeigen die Export-Logs je Land mit Filter nach Land, Status und Datum sowie die technischen Logs. Alte Logs lassen sich nach Aufbewahrungsfrist löschen.</w:t>
      </w:r>
    </w:p>
    <w:p>
      <w:pPr>
        <w:pStyle w:val="Heading3"/>
      </w:pPr>
      <w:r>
        <w:t xml:space="preserve">Wie gerechnet wird</w:t>
      </w:r>
    </w:p>
    <w:p>
      <w:r>
        <w:t xml:space="preserve">Hier wird nicht gerechnet. Die Einstellungen beeinflussen aber die Rechnung der übrigen Seiten, besonders die Finance-Schalter, das Kursprofil, die Finance Regeln und die Transformationen.</w:t>
      </w:r>
    </w:p>
    <w:p>
      <w:pPr>
        <w:pStyle w:val="Heading3"/>
      </w:pPr>
      <w:r>
        <w:t xml:space="preserve">Einsatz im Arbeitsalltag</w:t>
      </w:r>
    </w:p>
    <w:p>
      <w:r>
        <w:rPr>
          <w:b/>
        </w:rPr>
        <w:t xml:space="preserve">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r>
        <w:rPr>
          <w:b/>
        </w:rPr>
        <w:t xml:space="preserve">Finance-Leitung:</w:t>
      </w:r>
      <w:r>
        <w:t xml:space="preserve"> Änderungen an Finance Regeln und Kursprofil nur mit fachlicher Freigabe, weil sie die Zahlen aller Sichten verändern.</w:t>
      </w:r>
    </w:p>
    <w:p>
      <w:r>
        <w:rPr>
          <w:b/>
        </w:rPr>
        <w:t xml:space="preserve">Finance-Keyuser:</w:t>
      </w:r>
      <w:r>
        <w:t xml:space="preserve"> In den Logs den Grund eines fehlgeschlagenen Exports nachlesen.</w:t>
      </w:r>
    </w:p>
    <w:p>
      <w:pPr>
        <w:pStyle w:val="Heading3"/>
      </w:pPr>
      <w:r>
        <w:t xml:space="preserve">Grenzen und Fallstricke</w:t>
      </w:r>
    </w:p>
    <w:p>
      <w:r>
        <w:t xml:space="preserve">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Net Sales Actual</w:t>
            </w:r>
          </w:p>
        </w:tc>
        <w:tc>
          <w:tcPr>
            <w:tcW w:w="3102" w:type="dxa"/>
          </w:tcPr>
          <w:p>
            <w:pPr>
              <w:pStyle w:val="TableText"/>
            </w:pPr>
            <w:r>
              <w:t xml:space="preserve">Nettoumsatz nach Finance-Regeln, in der Hauswährung des Landes</w:t>
            </w:r>
          </w:p>
        </w:tc>
        <w:tc>
          <w:tcPr>
            <w:tcW w:w="3102" w:type="dxa"/>
          </w:tcPr>
          <w:p>
            <w:pPr>
              <w:pStyle w:val="TableText"/>
            </w:pPr>
            <w:r>
              <w:t xml:space="preserve">Summe der Nettofakturawerte aller eingeschlossenen Zeilen des Jahres; Gutschriften negativ</w:t>
            </w:r>
          </w:p>
        </w:tc>
      </w:tr>
      <w:tr>
        <w:tc>
          <w:tcPr>
            <w:tcW w:w="3102" w:type="dxa"/>
          </w:tcPr>
          <w:p>
            <w:pPr>
              <w:pStyle w:val="TableText"/>
            </w:pPr>
            <w:r>
              <w:t xml:space="preserve">Enthaltene Zeilen</w:t>
            </w:r>
          </w:p>
        </w:tc>
        <w:tc>
          <w:tcPr>
            <w:tcW w:w="3102" w:type="dxa"/>
          </w:tcPr>
          <w:p>
            <w:pPr>
              <w:pStyle w:val="TableText"/>
            </w:pPr>
            <w:r>
              <w:t xml:space="preserve">Zeilen, die in die Summe eingehen</w:t>
            </w:r>
          </w:p>
        </w:tc>
        <w:tc>
          <w:tcPr>
            <w:tcW w:w="3102" w:type="dxa"/>
          </w:tcPr>
          <w:p>
            <w:pPr>
              <w:pStyle w:val="TableText"/>
            </w:pPr>
            <w:r>
              <w:t xml:space="preserve">Zeilen, die keine Finance-Regel ausschliesst und deren Wert nicht null ist</w:t>
            </w:r>
          </w:p>
        </w:tc>
      </w:tr>
      <w:tr>
        <w:tc>
          <w:tcPr>
            <w:tcW w:w="3102" w:type="dxa"/>
          </w:tcPr>
          <w:p>
            <w:pPr>
              <w:pStyle w:val="TableText"/>
            </w:pPr>
            <w:r>
              <w:t xml:space="preserve">Ausgeschlossene Zeilen</w:t>
            </w:r>
          </w:p>
        </w:tc>
        <w:tc>
          <w:tcPr>
            <w:tcW w:w="3102" w:type="dxa"/>
          </w:tcPr>
          <w:p>
            <w:pPr>
              <w:pStyle w:val="TableText"/>
            </w:pPr>
            <w:r>
              <w:t xml:space="preserve">Zeilen ohne Wirkung auf die Summe</w:t>
            </w:r>
          </w:p>
        </w:tc>
        <w:tc>
          <w:tcPr>
            <w:tcW w:w="3102" w:type="dxa"/>
          </w:tcPr>
          <w:p>
            <w:pPr>
              <w:pStyle w:val="TableText"/>
            </w:pPr>
            <w:r>
              <w:t xml:space="preserve">Zeilen, die eine Regel ausschliesst, plus Zeilen mit Wert null</w:t>
            </w:r>
          </w:p>
        </w:tc>
      </w:tr>
      <w:tr>
        <w:tc>
          <w:tcPr>
            <w:tcW w:w="3102" w:type="dxa"/>
          </w:tcPr>
          <w:p>
            <w:pPr>
              <w:pStyle w:val="TableText"/>
            </w:pPr>
            <w:r>
              <w:t xml:space="preserve">Soll (Referenz)</w:t>
            </w:r>
          </w:p>
        </w:tc>
        <w:tc>
          <w:tcPr>
            <w:tcW w:w="3102" w:type="dxa"/>
          </w:tcPr>
          <w:p>
            <w:pPr>
              <w:pStyle w:val="TableText"/>
            </w:pPr>
            <w:r>
              <w:t xml:space="preserve">Gepflegter Vergleichswert je Land und Jahr</w:t>
            </w:r>
          </w:p>
        </w:tc>
        <w:tc>
          <w:tcPr>
            <w:tcW w:w="3102" w:type="dxa"/>
          </w:tcPr>
          <w:p>
            <w:pPr>
              <w:pStyle w:val="TableText"/>
            </w:pPr>
            <w:r>
              <w:t xml:space="preserve">Von Finance hinterlegter Wert; nicht für jedes Land und Jahr vorhanden</w:t>
            </w:r>
          </w:p>
        </w:tc>
      </w:tr>
      <w:tr>
        <w:tc>
          <w:tcPr>
            <w:tcW w:w="3102" w:type="dxa"/>
          </w:tcPr>
          <w:p>
            <w:pPr>
              <w:pStyle w:val="TableText"/>
            </w:pPr>
            <w:r>
              <w:t xml:space="preserve">Differenz</w:t>
            </w:r>
          </w:p>
        </w:tc>
        <w:tc>
          <w:tcPr>
            <w:tcW w:w="3102" w:type="dxa"/>
          </w:tcPr>
          <w:p>
            <w:pPr>
              <w:pStyle w:val="TableText"/>
            </w:pPr>
            <w:r>
              <w:t xml:space="preserve">Abstand zwischen Ist und Soll</w:t>
            </w:r>
          </w:p>
        </w:tc>
        <w:tc>
          <w:tcPr>
            <w:tcW w:w="3102" w:type="dxa"/>
          </w:tcPr>
          <w:p>
            <w:pPr>
              <w:pStyle w:val="TableText"/>
            </w:pPr>
            <w:r>
              <w:t xml:space="preserve">Ist minus Soll</w:t>
            </w:r>
          </w:p>
        </w:tc>
      </w:tr>
      <w:tr>
        <w:tc>
          <w:tcPr>
            <w:tcW w:w="3102" w:type="dxa"/>
          </w:tcPr>
          <w:p>
            <w:pPr>
              <w:pStyle w:val="TableText"/>
            </w:pPr>
            <w:r>
              <w:t xml:space="preserve">Status OK / Prüfen / Kein Sollwert / Keine Daten</w:t>
            </w:r>
          </w:p>
        </w:tc>
        <w:tc>
          <w:tcPr>
            <w:tcW w:w="3102" w:type="dxa"/>
          </w:tcPr>
          <w:p>
            <w:pPr>
              <w:pStyle w:val="TableText"/>
            </w:pPr>
            <w:r>
              <w:t xml:space="preserve">Ergebnis des Soll/Ist-Abgleichs je Land</w:t>
            </w:r>
          </w:p>
        </w:tc>
        <w:tc>
          <w:tcPr>
            <w:tcW w:w="3102" w:type="dxa"/>
          </w:tcPr>
          <w:p>
            <w:pPr>
              <w:pStyle w:val="TableText"/>
            </w:pPr>
            <w:r>
              <w:t xml:space="preserve">OK bei Differenz bis eine Währungseinheit, Prüfen darüber, Kein Sollwert ohne Referenz, Keine Daten ohne Ist-Zeile</w:t>
            </w:r>
          </w:p>
        </w:tc>
      </w:tr>
      <w:tr>
        <w:tc>
          <w:tcPr>
            <w:tcW w:w="3102" w:type="dxa"/>
          </w:tcPr>
          <w:p>
            <w:pPr>
              <w:pStyle w:val="TableText"/>
            </w:pPr>
            <w:r>
              <w:t xml:space="preserve">Nicht geprüft</w:t>
            </w:r>
          </w:p>
        </w:tc>
        <w:tc>
          <w:tcPr>
            <w:tcW w:w="3102" w:type="dxa"/>
          </w:tcPr>
          <w:p>
            <w:pPr>
              <w:pStyle w:val="TableText"/>
            </w:pPr>
            <w:r>
              <w:t xml:space="preserve">Länder ohne Prüfung</w:t>
            </w:r>
          </w:p>
        </w:tc>
        <w:tc>
          <w:tcPr>
            <w:tcW w:w="3102" w:type="dxa"/>
          </w:tcPr>
          <w:p>
            <w:pPr>
              <w:pStyle w:val="TableText"/>
            </w:pPr>
            <w:r>
              <w:t xml:space="preserve">Anzahl der Länder ohne Sollwert oder ohne Daten</w:t>
            </w:r>
          </w:p>
        </w:tc>
      </w:tr>
      <w:tr>
        <w:tc>
          <w:tcPr>
            <w:tcW w:w="3102" w:type="dxa"/>
          </w:tcPr>
          <w:p>
            <w:pPr>
              <w:pStyle w:val="TableText"/>
            </w:pPr>
            <w:r>
              <w:t xml:space="preserve">IC / 2nd-party</w:t>
            </w:r>
          </w:p>
        </w:tc>
        <w:tc>
          <w:tcPr>
            <w:tcW w:w="3102" w:type="dxa"/>
          </w:tcPr>
          <w:p>
            <w:pPr>
              <w:pStyle w:val="TableText"/>
            </w:pPr>
            <w:r>
              <w:t xml:space="preserve">Umsatz mit Konzern- und nahestehenden Firmen</w:t>
            </w:r>
          </w:p>
        </w:tc>
        <w:tc>
          <w:tcPr>
            <w:tcW w:w="3102" w:type="dxa"/>
          </w:tcPr>
          <w:p>
            <w:pPr>
              <w:pStyle w:val="TableText"/>
            </w:pPr>
            <w:r>
              <w:t xml:space="preserve">Umsatz der Kunden, die einer gepflegten Liste entsprechen</w:t>
            </w:r>
          </w:p>
        </w:tc>
      </w:tr>
      <w:tr>
        <w:tc>
          <w:tcPr>
            <w:tcW w:w="3102" w:type="dxa"/>
          </w:tcPr>
          <w:p>
            <w:pPr>
              <w:pStyle w:val="TableText"/>
            </w:pPr>
            <w:r>
              <w:t xml:space="preserve">Ist ohne IC</w:t>
            </w:r>
          </w:p>
        </w:tc>
        <w:tc>
          <w:tcPr>
            <w:tcW w:w="3102" w:type="dxa"/>
          </w:tcPr>
          <w:p>
            <w:pPr>
              <w:pStyle w:val="TableText"/>
            </w:pPr>
            <w:r>
              <w:t xml:space="preserve">Umsatz ohne Konzernanteil</w:t>
            </w:r>
          </w:p>
        </w:tc>
        <w:tc>
          <w:tcPr>
            <w:tcW w:w="3102" w:type="dxa"/>
          </w:tcPr>
          <w:p>
            <w:pPr>
              <w:pStyle w:val="TableText"/>
            </w:pPr>
            <w:r>
              <w:t xml:space="preserve">Ist minus IC</w:t>
            </w:r>
          </w:p>
        </w:tc>
      </w:tr>
      <w:tr>
        <w:tc>
          <w:tcPr>
            <w:tcW w:w="3102" w:type="dxa"/>
          </w:tcPr>
          <w:p>
            <w:pPr>
              <w:pStyle w:val="TableText"/>
            </w:pPr>
            <w:r>
              <w:t xml:space="preserve">Group-Währung (CHF)</w:t>
            </w:r>
          </w:p>
        </w:tc>
        <w:tc>
          <w:tcPr>
            <w:tcW w:w="3102" w:type="dxa"/>
          </w:tcPr>
          <w:p>
            <w:pPr>
              <w:pStyle w:val="TableText"/>
            </w:pPr>
            <w:r>
              <w:t xml:space="preserve">Umrechnung der Cockpit-Summen nach CHF</w:t>
            </w:r>
          </w:p>
        </w:tc>
        <w:tc>
          <w:tcPr>
            <w:tcW w:w="3102" w:type="dxa"/>
          </w:tcPr>
          <w:p>
            <w:pPr>
              <w:pStyle w:val="TableText"/>
            </w:pPr>
            <w:r>
              <w:t xml:space="preserve">Betrag mal Kurs; nach der Dokumentation fix zum 31.12. des Belegjahres</w:t>
            </w:r>
          </w:p>
        </w:tc>
      </w:tr>
      <w:tr>
        <w:tc>
          <w:tcPr>
            <w:tcW w:w="3102" w:type="dxa"/>
          </w:tcPr>
          <w:p>
            <w:pPr>
              <w:pStyle w:val="TableText"/>
            </w:pPr>
            <w:r>
              <w:t xml:space="preserve">Abdeckung (Sparten)</w:t>
            </w:r>
          </w:p>
        </w:tc>
        <w:tc>
          <w:tcPr>
            <w:tcW w:w="3102" w:type="dxa"/>
          </w:tcPr>
          <w:p>
            <w:pPr>
              <w:pStyle w:val="TableText"/>
            </w:pPr>
            <w:r>
              <w:t xml:space="preserve">Anteil des Umsatzes mit gültiger Sparte</w:t>
            </w:r>
          </w:p>
        </w:tc>
        <w:tc>
          <w:tcPr>
            <w:tcW w:w="3102" w:type="dxa"/>
          </w:tcPr>
          <w:p>
            <w:pPr>
              <w:pStyle w:val="TableText"/>
            </w:pPr>
            <w:r>
              <w:t xml:space="preserve">Zugeordneter plus Übrige-Umsatz geteilt durch Gesamtumsatz</w:t>
            </w:r>
          </w:p>
        </w:tc>
      </w:tr>
      <w:tr>
        <w:tc>
          <w:tcPr>
            <w:tcW w:w="3102" w:type="dxa"/>
          </w:tcPr>
          <w:p>
            <w:pPr>
              <w:pStyle w:val="TableText"/>
            </w:pPr>
            <w:r>
              <w:t xml:space="preserve">Trefferquote (Materialien)</w:t>
            </w:r>
          </w:p>
        </w:tc>
        <w:tc>
          <w:tcPr>
            <w:tcW w:w="3102" w:type="dxa"/>
          </w:tcPr>
          <w:p>
            <w:pPr>
              <w:pStyle w:val="TableText"/>
            </w:pPr>
            <w:r>
              <w:t xml:space="preserve">Anteil der Materialien mit gültiger Sparte</w:t>
            </w:r>
          </w:p>
        </w:tc>
        <w:tc>
          <w:tcPr>
            <w:tcW w:w="3102" w:type="dxa"/>
          </w:tcPr>
          <w:p>
            <w:pPr>
              <w:pStyle w:val="TableText"/>
            </w:pPr>
            <w:r>
              <w:t xml:space="preserve">Zugeordnete plus Übrige-Materialien geteilt durch Prüfzeilen</w:t>
            </w:r>
          </w:p>
        </w:tc>
      </w:tr>
      <w:tr>
        <w:tc>
          <w:tcPr>
            <w:tcW w:w="3102" w:type="dxa"/>
          </w:tcPr>
          <w:p>
            <w:pPr>
              <w:pStyle w:val="TableText"/>
            </w:pPr>
            <w:r>
              <w:t xml:space="preserve">Kostenbasis</w:t>
            </w:r>
          </w:p>
        </w:tc>
        <w:tc>
          <w:tcPr>
            <w:tcW w:w="3102" w:type="dxa"/>
          </w:tcPr>
          <w:p>
            <w:pPr>
              <w:pStyle w:val="TableText"/>
            </w:pPr>
            <w:r>
              <w:t xml:space="preserve">Kosten der verkauften Menge</w:t>
            </w:r>
          </w:p>
        </w:tc>
        <w:tc>
          <w:tcPr>
            <w:tcW w:w="3102" w:type="dxa"/>
          </w:tcPr>
          <w:p>
            <w:pPr>
              <w:pStyle w:val="TableText"/>
            </w:pPr>
            <w:r>
              <w:t xml:space="preserve">Menge mal Standardkosten der zuständigen Kostenquelle</w:t>
            </w:r>
          </w:p>
        </w:tc>
      </w:tr>
      <w:tr>
        <w:tc>
          <w:tcPr>
            <w:tcW w:w="3102" w:type="dxa"/>
          </w:tcPr>
          <w:p>
            <w:pPr>
              <w:pStyle w:val="TableText"/>
            </w:pPr>
            <w:r>
              <w:t xml:space="preserve">Gruppenmarge</w:t>
            </w:r>
          </w:p>
        </w:tc>
        <w:tc>
          <w:tcPr>
            <w:tcW w:w="3102" w:type="dxa"/>
          </w:tcPr>
          <w:p>
            <w:pPr>
              <w:pStyle w:val="TableText"/>
            </w:pPr>
            <w:r>
              <w:t xml:space="preserve">Marge nach Abzug der Konzernkosten</w:t>
            </w:r>
          </w:p>
        </w:tc>
        <w:tc>
          <w:tcPr>
            <w:tcW w:w="3102" w:type="dxa"/>
          </w:tcPr>
          <w:p>
            <w:pPr>
              <w:pStyle w:val="TableText"/>
            </w:pPr>
            <w:r>
              <w:t xml:space="preserve">Umsatz minus Kostenbasis; Prozent ist Marge geteilt durch Umsatz</w:t>
            </w:r>
          </w:p>
        </w:tc>
      </w:tr>
      <w:tr>
        <w:tc>
          <w:tcPr>
            <w:tcW w:w="3102" w:type="dxa"/>
          </w:tcPr>
          <w:p>
            <w:pPr>
              <w:pStyle w:val="TableText"/>
            </w:pPr>
            <w:r>
              <w:t xml:space="preserve">Saubere Kostenbasis</w:t>
            </w:r>
          </w:p>
        </w:tc>
        <w:tc>
          <w:tcPr>
            <w:tcW w:w="3102" w:type="dxa"/>
          </w:tcPr>
          <w:p>
            <w:pPr>
              <w:pStyle w:val="TableText"/>
            </w:pPr>
            <w:r>
              <w:t xml:space="preserve">Anteil der Zeilen mit belastbarer Kostenbasis</w:t>
            </w:r>
          </w:p>
        </w:tc>
        <w:tc>
          <w:tcPr>
            <w:tcW w:w="3102" w:type="dxa"/>
          </w:tcPr>
          <w:p>
            <w:pPr>
              <w:pStyle w:val="TableText"/>
            </w:pPr>
            <w:r>
              <w:t xml:space="preserve">Zeilen mit Status OK geteilt durch alle Zeilen</w:t>
            </w:r>
          </w:p>
        </w:tc>
      </w:tr>
      <w:tr>
        <w:tc>
          <w:tcPr>
            <w:tcW w:w="3102" w:type="dxa"/>
          </w:tcPr>
          <w:p>
            <w:pPr>
              <w:pStyle w:val="TableText"/>
            </w:pPr>
            <w:r>
              <w:t xml:space="preserve">Deckungsbeitrag (DB)</w:t>
            </w:r>
          </w:p>
        </w:tc>
        <w:tc>
          <w:tcPr>
            <w:tcW w:w="3102" w:type="dxa"/>
          </w:tcPr>
          <w:p>
            <w:pPr>
              <w:pStyle w:val="TableText"/>
            </w:pPr>
            <w:r>
              <w:t xml:space="preserve">Marge nach variablen Kosten</w:t>
            </w:r>
          </w:p>
        </w:tc>
        <w:tc>
          <w:tcPr>
            <w:tcW w:w="3102" w:type="dxa"/>
          </w:tcPr>
          <w:p>
            <w:pPr>
              <w:pStyle w:val="TableText"/>
            </w:pPr>
            <w:r>
              <w:t xml:space="preserve">Vorbereitet, aber leer, weil keine Quelle fixe und variable Kosten trennt</w:t>
            </w:r>
          </w:p>
        </w:tc>
      </w:tr>
      <w:tr>
        <w:tc>
          <w:tcPr>
            <w:tcW w:w="3102" w:type="dxa"/>
          </w:tcPr>
          <w:p>
            <w:pPr>
              <w:pStyle w:val="TableText"/>
            </w:pPr>
            <w:r>
              <w:t xml:space="preserve">Umsatzbrücke</w:t>
            </w:r>
          </w:p>
        </w:tc>
        <w:tc>
          <w:tcPr>
            <w:tcW w:w="3102" w:type="dxa"/>
          </w:tcPr>
          <w:p>
            <w:pPr>
              <w:pStyle w:val="TableText"/>
            </w:pPr>
            <w:r>
              <w:t xml:space="preserve">Zerlegung der Umsatzveränderung gegen das Vorjahr</w:t>
            </w:r>
          </w:p>
        </w:tc>
        <w:tc>
          <w:tcPr>
            <w:tcW w:w="3102" w:type="dxa"/>
          </w:tcPr>
          <w:p>
            <w:pPr>
              <w:pStyle w:val="TableText"/>
            </w:pPr>
            <w:r>
              <w:t xml:space="preserve">Menge, Mix, Preis, neue und weggefallene Artikel, Währung und Übrige ergeben zusammen genau die Veränderung</w:t>
            </w:r>
          </w:p>
        </w:tc>
      </w:tr>
      <w:tr>
        <w:tc>
          <w:tcPr>
            <w:tcW w:w="3102" w:type="dxa"/>
          </w:tcPr>
          <w:p>
            <w:pPr>
              <w:pStyle w:val="TableText"/>
            </w:pPr>
            <w:r>
              <w:t xml:space="preserve">Hochrechnung</w:t>
            </w:r>
          </w:p>
        </w:tc>
        <w:tc>
          <w:tcPr>
            <w:tcW w:w="3102" w:type="dxa"/>
          </w:tcPr>
          <w:p>
            <w:pPr>
              <w:pStyle w:val="TableText"/>
            </w:pPr>
            <w:r>
              <w:t xml:space="preserve">Erwartetes Jahresergebnis</w:t>
            </w:r>
          </w:p>
        </w:tc>
        <w:tc>
          <w:tcPr>
            <w:tcW w:w="3102" w:type="dxa"/>
          </w:tcPr>
          <w:p>
            <w:pPr>
              <w:pStyle w:val="TableText"/>
            </w:pPr>
            <w:r>
              <w:t xml:space="preserve">Ist bis letzter vollständiger Monat plus Restmonate des Vorjahres mal Wachstum seit Jahresbeginn (0.5 bis 2)</w:t>
            </w:r>
          </w:p>
        </w:tc>
      </w:tr>
      <w:tr>
        <w:tc>
          <w:tcPr>
            <w:tcW w:w="3102" w:type="dxa"/>
          </w:tcPr>
          <w:p>
            <w:pPr>
              <w:pStyle w:val="TableText"/>
            </w:pPr>
            <w:r>
              <w:t xml:space="preserve">Heartbeat-Lücke</w:t>
            </w:r>
          </w:p>
        </w:tc>
        <w:tc>
          <w:tcPr>
            <w:tcW w:w="3102" w:type="dxa"/>
          </w:tcPr>
          <w:p>
            <w:pPr>
              <w:pStyle w:val="TableText"/>
            </w:pPr>
            <w:r>
              <w:t xml:space="preserve">Ausbleibende Buchungen an einem Werktag</w:t>
            </w:r>
          </w:p>
        </w:tc>
        <w:tc>
          <w:tcPr>
            <w:tcW w:w="3102" w:type="dxa"/>
          </w:tcPr>
          <w:p>
            <w:pPr>
              <w:pStyle w:val="TableText"/>
            </w:pPr>
            <w:r>
              <w:t xml:space="preserve">Tag ohne Zeilen nach dem letzten Datentag, wenn das letzte Update über zwei Tage zurückliegt</w:t>
            </w:r>
          </w:p>
        </w:tc>
      </w:tr>
      <w:tr>
        <w:tc>
          <w:tcPr>
            <w:tcW w:w="3102" w:type="dxa"/>
          </w:tcPr>
          <w:p>
            <w:pPr>
              <w:pStyle w:val="TableText"/>
            </w:pPr>
            <w:r>
              <w:t xml:space="preserve">Datenstand</w:t>
            </w:r>
          </w:p>
        </w:tc>
        <w:tc>
          <w:tcPr>
            <w:tcW w:w="3102" w:type="dxa"/>
          </w:tcPr>
          <w:p>
            <w:pPr>
              <w:pStyle w:val="TableText"/>
            </w:pPr>
            <w:r>
              <w:t xml:space="preserve">Alter der Daten eines Standorts</w:t>
            </w:r>
          </w:p>
        </w:tc>
        <w:tc>
          <w:tcPr>
            <w:tcW w:w="3102" w:type="dxa"/>
          </w:tcPr>
          <w:p>
            <w:pPr>
              <w:pStyle w:val="TableText"/>
            </w:pPr>
            <w:r>
              <w:t xml:space="preserve">Jüngster Zeitpunkt aus Datenbank, Dateien und Export-Log, mit Angabe der Quelle</w:t>
            </w:r>
          </w:p>
        </w:tc>
      </w:tr>
    </w:tbl>
    <w:p>
      <w:pPr>
        <w:spacing w:before="0" w:after="80"/>
      </w:pPr>
    </w:p>
    <w:p>
      <w:r>
        <w:br w:type="page"/>
      </w:r>
    </w:p>
    <w:p>
      <w:pPr>
        <w:pStyle w:val="Heading1"/>
      </w:pPr>
      <w:r>
        <w:t xml:space="preserve">Einkauf</w:t>
      </w:r>
    </w:p>
    <w:p>
      <w:r>
        <w:t xml:space="preserve">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Vorlage, 3D Simulation, Interaktiv und Datenquellen.</w:t>
      </w:r>
    </w:p>
    <w:p>
      <w:r>
        <w:t xml:space="preserve">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 bleiben bis zu 60 Minuten im Zwischenspeicher. Ist der Stand abgelaufen, zeigt die Seite zuerst den alten Stand und weist darauf hin, dass neu gerechnet wird. Die Zahlen wechseln dann nach etwa 20 bis 30 Sekunden von selbst.</w:t>
      </w:r>
    </w:p>
    <w:p>
      <w:r>
        <w:t xml:space="preserve">Alle Beträge stehen in CHF. Fremdwährungsbestellungen werden mit dem Kurs umgerechnet, der im Bestellbeleg selbst festgehalten ist (Belegkurs), nicht mit einem Tageskurs. Zwei Grundregeln gelten für fast alle Seiten:</w:t>
      </w:r>
    </w:p>
    <w:p>
      <w:pPr>
        <w:pStyle w:val="ListBullet"/>
        <w:numPr>
          <w:ilvl w:val="0"/>
          <w:numId w:val="1"/>
        </w:numPr>
      </w:pPr>
      <w:r>
        <w:rPr>
          <w:b/>
        </w:rPr>
        <w:t xml:space="preserve">Nur Bestellungen:</w:t>
      </w:r>
      <w:r>
        <w:t xml:space="preserve"> Gezählt werden echte Bestellungen. Anfragen, Kontraktbelege und Umlagerungsbestellungen zwischen Werken (Belegart UB) sind ausgeschlossen.</w:t>
      </w:r>
    </w:p>
    <w:p>
      <w:pPr>
        <w:pStyle w:val="ListBullet"/>
        <w:numPr>
          <w:ilvl w:val="0"/>
          <w:numId w:val="1"/>
        </w:numPr>
      </w:pPr>
      <w:r>
        <w:rPr>
          <w:b/>
        </w:rPr>
        <w:t xml:space="preserve">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pPr>
        <w:pStyle w:val="Heading2"/>
      </w:pPr>
      <w:r>
        <w:t xml:space="preserve">Einkauf Dashboard</w:t>
      </w:r>
    </w:p>
    <w:p>
      <w:pPr>
        <w:pStyle w:val="Heading3"/>
      </w:pPr>
      <w:r>
        <w:t xml:space="preserve">Wozu</w:t>
      </w:r>
    </w:p>
    <w:p>
      <w:r>
        <w:t xml:space="preserve">Das Dashboard ist die Einstiegsseite. Es beantwortet in einem Blick: Wie viel wurde im gewählten Zeitraum bestellt, wie viele Bestellungen und Lieferanten stecken dahinter, was ist noch offen und wie hoch ist der Lagerwert der Einkaufsteile.</w:t>
      </w:r>
    </w:p>
    <w:p>
      <w:pPr>
        <w:pStyle w:val="Heading3"/>
      </w:pPr>
      <w:r>
        <w:t xml:space="preserve">Was man sieht</w:t>
      </w:r>
    </w:p>
    <w:p>
      <w:r>
        <w:t xml:space="preserve">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r>
        <w:t xml:space="preserve">Fünf Kacheln zeigen die Hauptzahlen: Bestellwert im Zeitraum, Bestellungen im Zeitraum, offener Bestellwert inklusive Rückstände, aktive Lieferanten im Zeitraum und Lagerwert Einkaufsteile. Unter jeder Kachel steht ein Satz, was genau gezählt wird und was nicht.</w:t>
      </w:r>
    </w:p>
    <w:p>
      <w:r>
        <w:t xml:space="preserve">Weiter unten liegt der Verlauf des Lagerwerts je Kalenderwoche als Liniengrafik mit Tabelle. Dazu kommen der «SAP Datenfluss» mit dem Stand der drei Quellen, die «Management Insights» als Kurzaussagen und die «Analyseachsen» (Jahr, Lieferant, Warengruppe, Artikel, Region).</w:t>
      </w:r>
    </w:p>
    <w:p>
      <w:pPr>
        <w:pStyle w:val="Heading3"/>
      </w:pPr>
      <w:r>
        <w:t xml:space="preserve">Wie gerechnet wird</w:t>
      </w:r>
    </w:p>
    <w:p>
      <w:pPr>
        <w:pStyle w:val="ListBullet"/>
        <w:numPr>
          <w:ilvl w:val="0"/>
          <w:numId w:val="1"/>
        </w:numPr>
      </w:pPr>
      <w:r>
        <w:rPr>
          <w:b/>
        </w:rPr>
        <w:t xml:space="preserve">Bestellwert im Zeitraum:</w:t>
      </w:r>
      <w:r>
        <w:t xml:space="preserve"> Summe der Netto-Positionswerte aller Bestellungen, deren Bestelldatum im Zeitraum liegt, in CHF. Das ist bestelltes Volumen, kein Wareneingang und keine Rechnung.</w:t>
      </w:r>
    </w:p>
    <w:p>
      <w:pPr>
        <w:pStyle w:val="ListBullet"/>
        <w:numPr>
          <w:ilvl w:val="0"/>
          <w:numId w:val="1"/>
        </w:numPr>
      </w:pPr>
      <w:r>
        <w:rPr>
          <w:b/>
        </w:rPr>
        <w:t xml:space="preserve">Bestellungen:</w:t>
      </w:r>
      <w:r>
        <w:t xml:space="preserve"> Anzahl der unterschiedlichen Bestellnummern im Zeitraum. Eine Bestellung mit zwanzig Positionen zählt einmal.</w:t>
      </w:r>
    </w:p>
    <w:p>
      <w:pPr>
        <w:pStyle w:val="ListBullet"/>
        <w:numPr>
          <w:ilvl w:val="0"/>
          <w:numId w:val="1"/>
        </w:numPr>
      </w:pPr>
      <w:r>
        <w:rPr>
          <w:b/>
        </w:rPr>
        <w:t xml:space="preserve">Aktive Lieferanten:</w:t>
      </w:r>
      <w:r>
        <w:t xml:space="preserve"> Anzahl der Lieferanten mit mindestens einer Bestellposition ungleich null im Zeitraum. Das ist keine Lieferantenbewertung.</w:t>
      </w:r>
    </w:p>
    <w:p>
      <w:pPr>
        <w:pStyle w:val="ListBullet"/>
        <w:numPr>
          <w:ilvl w:val="0"/>
          <w:numId w:val="1"/>
        </w:numPr>
      </w:pPr>
      <w:r>
        <w:rPr>
          <w:b/>
        </w:rPr>
        <w:t xml:space="preserve">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pPr>
        <w:pStyle w:val="ListBullet"/>
        <w:numPr>
          <w:ilvl w:val="0"/>
          <w:numId w:val="1"/>
        </w:numPr>
      </w:pPr>
      <w:r>
        <w:rPr>
          <w:b/>
        </w:rPr>
        <w:t xml:space="preserve">Lagerwert Einkaufsteile:</w:t>
      </w:r>
      <w:r>
        <w:t xml:space="preserve"> bewerteter Gesamtbestand der Materialien der Disponenten 001 bis 005 im Bewertungskreis 1100. Der Wert zeigt immer den Stand des letzten erfolgreichen Abrufs, ein frei wählbarer Stichtag ist nicht möglich.</w:t>
      </w:r>
    </w:p>
    <w:p>
      <w:pPr>
        <w:pStyle w:val="ListBullet"/>
        <w:numPr>
          <w:ilvl w:val="0"/>
          <w:numId w:val="1"/>
        </w:numPr>
      </w:pPr>
      <w:r>
        <w:rPr>
          <w:b/>
        </w:rPr>
        <w:t xml:space="preserve">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pPr>
        <w:pStyle w:val="Heading3"/>
      </w:pPr>
      <w:r>
        <w:t xml:space="preserve">Einsatz im Arbeitsalltag</w:t>
      </w:r>
    </w:p>
    <w:p>
      <w:r>
        <w:rPr>
          <w:b/>
        </w:rPr>
        <w:t xml:space="preserve">Geschäftsleitung:</w:t>
      </w:r>
      <w:r>
        <w:t xml:space="preserve"> Die Kacheln geben in einer Minute das Gesamtbild: Einkaufsvolumen, offene Verpflichtungen, Lagerbindung. Der Lagerwert-Verlauf zeigt, ob Kapital im Lager auf- oder abgebaut wird.</w:t>
      </w:r>
    </w:p>
    <w:p>
      <w:r>
        <w:rPr>
          <w:b/>
        </w:rPr>
        <w:t xml:space="preserve">Controller:</w:t>
      </w:r>
      <w:r>
        <w:t xml:space="preserve"> Vor dem Monatsabschluss lässt sich der Zeitraum auf den Berichtsmonat stellen und der Bestellwert mit der Planung vergleichen. Der offene Bestellwert zeigt die Verpflichtung, die noch nicht im Wareneingang angekommen ist.</w:t>
      </w:r>
    </w:p>
    <w:p>
      <w:r>
        <w:rPr>
          <w:b/>
        </w:rPr>
        <w:t xml:space="preserve">Einkäufer:</w:t>
      </w:r>
      <w:r>
        <w:t xml:space="preserve"> Typische Fragen sind: Wie viele Bestellungen habe ich in diesem Jahr ausgelöst, und wie hoch ist die Rückstandslast?</w:t>
      </w:r>
    </w:p>
    <w:p>
      <w:pPr>
        <w:pStyle w:val="Heading3"/>
      </w:pPr>
      <w:r>
        <w:t xml:space="preserve">Grenzen und Fallstricke</w:t>
      </w:r>
    </w:p>
    <w:p>
      <w:pPr>
        <w:pStyle w:val="ListBullet"/>
        <w:numPr>
          <w:ilvl w:val="0"/>
          <w:numId w:val="1"/>
        </w:numPr>
      </w:pPr>
      <w:r>
        <w:t xml:space="preserve">Der Bestellwert ist kein Rechnungs- und kein Zahlungswert.</w:t>
      </w:r>
    </w:p>
    <w:p>
      <w:pPr>
        <w:pStyle w:val="ListBullet"/>
        <w:numPr>
          <w:ilvl w:val="0"/>
          <w:numId w:val="1"/>
        </w:numPr>
      </w:pPr>
      <w:r>
        <w:t xml:space="preserve">Fehlen für Fremdwährungspositionen die Kurse, erscheint oben eine gelbe Warnung mit der Anzahl betroffener Positionen. Diese Werte werden dann 1:1 übernommen und sind nicht belastbar. Der Zähler gilt für den gesamten Bestand, nicht nur für den Zeitraum.</w:t>
      </w:r>
    </w:p>
    <w:p>
      <w:pPr>
        <w:pStyle w:val="ListBullet"/>
        <w:numPr>
          <w:ilvl w:val="0"/>
          <w:numId w:val="1"/>
        </w:numPr>
      </w:pPr>
      <w:r>
        <w:t xml:space="preserve">Ist der Datenbestand unvollständig, zeigt die Seite keine SAP-Stichproben als Kennzahl, sondern weist darauf hin, dass zuerst ein vollständiger Ladelauf nötig ist. Gekennzeichnete Simulationswerte sind keine SAP-Istwerte.</w:t>
      </w:r>
    </w:p>
    <w:p>
      <w:pPr>
        <w:pStyle w:val="ListBullet"/>
        <w:numPr>
          <w:ilvl w:val="0"/>
          <w:numId w:val="1"/>
        </w:numPr>
      </w:pPr>
      <w:r>
        <w:t xml:space="preserve">Der Lagerwert ist fachlich noch nicht gegen die SAP-Auswertung MB5L abgeglichen.</w:t>
      </w:r>
    </w:p>
    <w:p>
      <w:pPr>
        <w:pStyle w:val="ListBullet"/>
        <w:numPr>
          <w:ilvl w:val="0"/>
          <w:numId w:val="1"/>
        </w:numPr>
      </w:pPr>
      <w:r>
        <w:t xml:space="preserve">Der Lagerwert und der offene Bestellwert haben eigene Zeitlogiken und folgen dem Zeitraumfilter nicht.</w:t>
      </w:r>
    </w:p>
    <w:p>
      <w:pPr>
        <w:pStyle w:val="Heading2"/>
      </w:pPr>
      <w:r>
        <w:t xml:space="preserve">Spend</w:t>
      </w:r>
    </w:p>
    <w:p>
      <w:pPr>
        <w:pStyle w:val="Heading3"/>
      </w:pPr>
      <w:r>
        <w:t xml:space="preserve">Wozu</w:t>
      </w:r>
    </w:p>
    <w:p>
      <w:r>
        <w:t xml:space="preserve">Die Seite zeigt das Beschaffungsvolumen nach Lieferant und Jahr. Sie dient dazu, die grossen Lieferanten, deren Entwicklung und die Verteilung auf Warengruppen, Länder und Währungen zu erkennen.</w:t>
      </w:r>
    </w:p>
    <w:p>
      <w:pPr>
        <w:pStyle w:val="Heading3"/>
      </w:pPr>
      <w:r>
        <w:t xml:space="preserve">Was man sieht</w:t>
      </w:r>
    </w:p>
    <w:p>
      <w:r>
        <w:t xml:space="preserve">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r>
        <w:t xml:space="preserve">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pPr>
        <w:pStyle w:val="Heading3"/>
      </w:pPr>
      <w:r>
        <w:t xml:space="preserve">Wie gerechnet wird</w:t>
      </w:r>
    </w:p>
    <w:p>
      <w:r>
        <w:t xml:space="preserve">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Währungsrisiko.</w:t>
      </w:r>
    </w:p>
    <w:p>
      <w:pPr>
        <w:pStyle w:val="Heading3"/>
      </w:pPr>
      <w:r>
        <w:t xml:space="preserve">Einsatz im Arbeitsalltag</w:t>
      </w:r>
    </w:p>
    <w:p>
      <w:r>
        <w:rPr>
          <w:b/>
        </w:rPr>
        <w:t xml:space="preserve">Einkäufer:</w:t>
      </w:r>
      <w:r>
        <w:t xml:space="preserve"> Vor der Lieferantenverhandlung zeigt die Matrix, wie sich das Volumen des Lieferanten über die Jahre und über Warengruppen entwickelt hat. Das ist die Gesprächsgrundlage für Konditionen.</w:t>
      </w:r>
    </w:p>
    <w:p>
      <w:r>
        <w:rPr>
          <w:b/>
        </w:rPr>
        <w:t xml:space="preserve">Controller:</w:t>
      </w:r>
      <w:r>
        <w:t xml:space="preserve"> Für die Budgetüberprüfung dient die Jahresspalte. Der Währungsblock beantwortet, welcher Anteil des Einkaufs in Fremdwährung läuft.</w:t>
      </w:r>
    </w:p>
    <w:p>
      <w:r>
        <w:rPr>
          <w:b/>
        </w:rPr>
        <w:t xml:space="preserve">Geschäftsleitung:</w:t>
      </w:r>
      <w:r>
        <w:t xml:space="preserve"> Die Regionenverteilung zeigt Abhängigkeiten von Ländern.</w:t>
      </w:r>
    </w:p>
    <w:p>
      <w:pPr>
        <w:pStyle w:val="Heading3"/>
      </w:pPr>
      <w:r>
        <w:t xml:space="preserve">Grenzen und Fallstricke</w:t>
      </w:r>
    </w:p>
    <w:p>
      <w:pPr>
        <w:pStyle w:val="ListBullet"/>
        <w:numPr>
          <w:ilvl w:val="0"/>
          <w:numId w:val="1"/>
        </w:numPr>
      </w:pPr>
      <w:r>
        <w:t xml:space="preserve">Das Hauptdiagramm zeigt nur die zehn grössten Lieferanten des laufenden Jahres, die Matrix dagegen alle. Die Summe der zehn Balken ist daher nicht der Gesamtspend.</w:t>
      </w:r>
    </w:p>
    <w:p>
      <w:pPr>
        <w:pStyle w:val="ListBullet"/>
        <w:numPr>
          <w:ilvl w:val="0"/>
          <w:numId w:val="1"/>
        </w:numPr>
      </w:pPr>
      <w:r>
        <w:t xml:space="preserve">Der Spend ist Bestellvolumen am Bestelldatum. Ein 2024 bestellter Auftrag, der erst 2025 geliefert wird, steht im Jahr 2024.</w:t>
      </w:r>
    </w:p>
    <w:p>
      <w:pPr>
        <w:pStyle w:val="ListBullet"/>
        <w:numPr>
          <w:ilvl w:val="0"/>
          <w:numId w:val="1"/>
        </w:numPr>
      </w:pPr>
      <w:r>
        <w:t xml:space="preserve">Fehlende Wechselkurse führen zu einer Warnung und zu nicht belastbaren CHF-Werten.</w:t>
      </w:r>
    </w:p>
    <w:p>
      <w:pPr>
        <w:pStyle w:val="ListBullet"/>
        <w:numPr>
          <w:ilvl w:val="0"/>
          <w:numId w:val="1"/>
        </w:numPr>
      </w:pPr>
      <w:r>
        <w:t xml:space="preserve">Der Zeitraumfilter wirkt auf alle Spend-Zahlen.</w:t>
      </w:r>
    </w:p>
    <w:p>
      <w:pPr>
        <w:pStyle w:val="Heading2"/>
      </w:pPr>
      <w:r>
        <w:t xml:space="preserve">Offene Bestellungen</w:t>
      </w:r>
    </w:p>
    <w:p>
      <w:pPr>
        <w:pStyle w:val="Heading3"/>
      </w:pPr>
      <w:r>
        <w:t xml:space="preserve">Wozu</w:t>
      </w:r>
    </w:p>
    <w:p>
      <w:r>
        <w:t xml:space="preserve">Die Seite beantwortet: Was ist bestellt und noch nicht eingetroffen, und wie viel davon ist schon überfällig? Sie ist die Arbeitsgrundlage für das Nachfassen bei Lieferanten.</w:t>
      </w:r>
    </w:p>
    <w:p>
      <w:pPr>
        <w:pStyle w:val="Heading3"/>
      </w:pPr>
      <w:r>
        <w:t xml:space="preserve">Was man sieht</w:t>
      </w:r>
    </w:p>
    <w:p>
      <w:r>
        <w:t xml:space="preserve">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pPr>
        <w:pStyle w:val="Heading3"/>
      </w:pPr>
      <w:r>
        <w:t xml:space="preserve">Wie gerechnet wird</w:t>
      </w:r>
    </w:p>
    <w:p>
      <w:r>
        <w:t xml:space="preserve">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r>
        <w:t xml:space="preserve">Gemäss der geltenden Regel sind endgelieferte Positionen, stornierte Positionen und Material mit Status 98 oder 99 ausgeschlossen, und es zählen nur Bestellungen (keine Anfragen, Kontrakte, Umlagerungen). Der Wert ist zeitraumunabhängig und enthält alle Jahre.</w:t>
      </w:r>
    </w:p>
    <w:p>
      <w:pPr>
        <w:pStyle w:val="Heading3"/>
      </w:pPr>
      <w:r>
        <w:t xml:space="preserve">Einsatz im Arbeitsalltag</w:t>
      </w:r>
    </w:p>
    <w:p>
      <w:r>
        <w:rPr>
          <w:b/>
        </w:rPr>
        <w:t xml:space="preserve">Einkäufer:</w:t>
      </w:r>
      <w:r>
        <w:t xml:space="preserve"> Vor dem Wochenmeeting zeigt die Seite den überfälligen Wert und die Positionen, bei denen ein Lieferant nachzufassen ist. Für die Detailliste nach Lieferant und Artikel dient die Idee «Liefertermin-Risiko».</w:t>
      </w:r>
    </w:p>
    <w:p>
      <w:r>
        <w:rPr>
          <w:b/>
        </w:rPr>
        <w:t xml:space="preserve">Disponent:</w:t>
      </w:r>
      <w:r>
        <w:t xml:space="preserve"> Die offene Menge ist die Basis für die Frage, ob eine Lieferung den Bedarf noch deckt (siehe «Bestellbedarf &amp; Deckung»).</w:t>
      </w:r>
    </w:p>
    <w:p>
      <w:r>
        <w:rPr>
          <w:b/>
        </w:rPr>
        <w:t xml:space="preserve">Controller:</w:t>
      </w:r>
      <w:r>
        <w:t xml:space="preserve"> Der offene Wert ist die Verpflichtung, die in den nächsten Monaten zu Wareneingang und später zu Verbindlichkeiten führt.</w:t>
      </w:r>
    </w:p>
    <w:p>
      <w:pPr>
        <w:pStyle w:val="Heading3"/>
      </w:pPr>
      <w:r>
        <w:t xml:space="preserve">Grenzen und Fallstricke</w:t>
      </w:r>
    </w:p>
    <w:p>
      <w:pPr>
        <w:pStyle w:val="ListBullet"/>
        <w:numPr>
          <w:ilvl w:val="0"/>
          <w:numId w:val="1"/>
        </w:numPr>
      </w:pPr>
      <w:r>
        <w:t xml:space="preserve">Der Liefertermin ist der geplante Termin. Was wirklich geliefert wurde, steht nicht darin. Eine echte Liefertermintreue wird nicht berechnet.</w:t>
      </w:r>
    </w:p>
    <w:p>
      <w:pPr>
        <w:pStyle w:val="ListBullet"/>
        <w:numPr>
          <w:ilvl w:val="0"/>
          <w:numId w:val="1"/>
        </w:numPr>
      </w:pPr>
      <w:r>
        <w:t xml:space="preserve">Ist in SAP ein Wareneingang nicht gebucht oder eine Position nicht als endgeliefert gekennzeichnet, bleibt sie offen. Die Pflege in SAP wirkt erst nach dem nächsten vollständigen Ladelauf vollständig.</w:t>
      </w:r>
    </w:p>
    <w:p>
      <w:pPr>
        <w:pStyle w:val="ListBullet"/>
        <w:numPr>
          <w:ilvl w:val="0"/>
          <w:numId w:val="1"/>
        </w:numPr>
      </w:pPr>
      <w:r>
        <w:t xml:space="preserve">Alte, nie geschlossene Einteilungen bleiben sichtbar. Das ist beabsichtigt, kann aber zu einem hohen Rückstand führen, den es bereinigen sollte.</w:t>
      </w:r>
    </w:p>
    <w:p>
      <w:pPr>
        <w:pStyle w:val="ListBullet"/>
        <w:numPr>
          <w:ilvl w:val="0"/>
          <w:numId w:val="1"/>
        </w:numPr>
      </w:pPr>
      <w:r>
        <w:t xml:space="preserve">Der offene Wert hängt am Kurs des Belegs. Fehlen Kurse, ist er nicht belastbar.</w:t>
      </w:r>
    </w:p>
    <w:p>
      <w:pPr>
        <w:pStyle w:val="Heading2"/>
      </w:pPr>
      <w:r>
        <w:t xml:space="preserve">Kontrakte</w:t>
      </w:r>
    </w:p>
    <w:p>
      <w:pPr>
        <w:pStyle w:val="Heading3"/>
      </w:pPr>
      <w:r>
        <w:t xml:space="preserve">Wozu</w:t>
      </w:r>
    </w:p>
    <w:p>
      <w:r>
        <w:t xml:space="preserve">Die Seite zeigt Abrufe zu Rahmenverträgen, also was zu einem Kontrakt bestellt, aber noch nicht geliefert ist. Sie dient der Steuerung offener Restverpflichtungen.</w:t>
      </w:r>
    </w:p>
    <w:p>
      <w:pPr>
        <w:pStyle w:val="Heading3"/>
      </w:pPr>
      <w:r>
        <w:t xml:space="preserve">Was man sieht</w:t>
      </w:r>
    </w:p>
    <w:p>
      <w:r>
        <w:t xml:space="preserve">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pPr>
        <w:pStyle w:val="Heading3"/>
      </w:pPr>
      <w:r>
        <w:t xml:space="preserve">Wie gerechnet wird</w:t>
      </w:r>
    </w:p>
    <w:p>
      <w:r>
        <w:t xml:space="preserve">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pPr>
        <w:pStyle w:val="Heading3"/>
      </w:pPr>
      <w:r>
        <w:t xml:space="preserve">Einsatz im Arbeitsalltag</w:t>
      </w:r>
    </w:p>
    <w:p>
      <w:r>
        <w:rPr>
          <w:b/>
        </w:rPr>
        <w:t xml:space="preserve">Einkäufer:</w:t>
      </w:r>
      <w:r>
        <w:t xml:space="preserve"> Für die Pflege von Rahmenverträgen zeigt die Seite, bei welchem Lieferanten und Artikel die grösste offene Abrufverpflichtung liegt.</w:t>
      </w:r>
    </w:p>
    <w:p>
      <w:r>
        <w:rPr>
          <w:b/>
        </w:rPr>
        <w:t xml:space="preserve">Controller:</w:t>
      </w:r>
      <w:r>
        <w:t xml:space="preserve"> Der Wert ist ein Näherungswert für die abgerufene, aber noch nicht gelieferte Verpflichtung.</w:t>
      </w:r>
    </w:p>
    <w:p>
      <w:pPr>
        <w:pStyle w:val="Heading3"/>
      </w:pPr>
      <w:r>
        <w:t xml:space="preserve">Grenzen und Fallstricke</w:t>
      </w:r>
    </w:p>
    <w:p>
      <w:pPr>
        <w:pStyle w:val="ListBullet"/>
        <w:numPr>
          <w:ilvl w:val="0"/>
          <w:numId w:val="1"/>
        </w:numPr>
      </w:pPr>
      <w:r>
        <w:t xml:space="preserve">Der Wert ist eine Näherung für offene Abrufe und kein noch verfügbarer Vertragsrahmen. Echte Mengenkontrakte mit Ablaufdatum und Restmenge werden nicht abgebildet, weil die Kontraktbelege selbst bewusst ausgeschlossen sind.</w:t>
      </w:r>
    </w:p>
    <w:p>
      <w:pPr>
        <w:pStyle w:val="ListBullet"/>
        <w:numPr>
          <w:ilvl w:val="0"/>
          <w:numId w:val="1"/>
        </w:numPr>
      </w:pPr>
      <w:r>
        <w:t xml:space="preserve">Ohne Kontraktbezug in den Bestellungen steht der Wert auf null und das Diagramm bleibt leer. Das ist die richtige Aussage und kein Fehler.</w:t>
      </w:r>
    </w:p>
    <w:p>
      <w:pPr>
        <w:pStyle w:val="ListBullet"/>
        <w:numPr>
          <w:ilvl w:val="0"/>
          <w:numId w:val="1"/>
        </w:numPr>
      </w:pPr>
      <w:r>
        <w:t xml:space="preserve">Eine Vertragsauslastung in Prozent wird noch nicht berechnet.</w:t>
      </w:r>
    </w:p>
    <w:p>
      <w:pPr>
        <w:pStyle w:val="Heading2"/>
      </w:pPr>
      <w:r>
        <w:t xml:space="preserve">Lieferanten</w:t>
      </w:r>
    </w:p>
    <w:p>
      <w:pPr>
        <w:pStyle w:val="Heading3"/>
      </w:pPr>
      <w:r>
        <w:t xml:space="preserve">Wozu</w:t>
      </w:r>
    </w:p>
    <w:p>
      <w:r>
        <w:t xml:space="preserve">Die Seite gibt den Überblick über die Lieferantenbasis: Wer liefert, wie viel Volumen steckt dahinter und wie entwickeln sich die Stückpreise.</w:t>
      </w:r>
    </w:p>
    <w:p>
      <w:pPr>
        <w:pStyle w:val="Heading3"/>
      </w:pPr>
      <w:r>
        <w:t xml:space="preserve">Was man sieht</w:t>
      </w:r>
    </w:p>
    <w:p>
      <w:r>
        <w:t xml:space="preserve">Vier Kennzahlen: aktive Lieferanten, Performance Score, Preisindikator und Qualität. Das Diagramm zeigt die Top-Lieferanten nach Spend im gewählten Zeitraum. Dazu kommen Statuszeilen (Lieferantenbasis, Preisentwicklung, Termintreue) und eine Detailtabelle.</w:t>
      </w:r>
    </w:p>
    <w:p>
      <w:pPr>
        <w:pStyle w:val="Heading3"/>
      </w:pPr>
      <w:r>
        <w:t xml:space="preserve">Wie gerechnet wird</w:t>
      </w:r>
    </w:p>
    <w:p>
      <w:r>
        <w:t xml:space="preserve">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pPr>
        <w:pStyle w:val="Heading3"/>
      </w:pPr>
      <w:r>
        <w:t xml:space="preserve">Einsatz im Arbeitsalltag</w:t>
      </w:r>
    </w:p>
    <w:p>
      <w:r>
        <w:rPr>
          <w:b/>
        </w:rPr>
        <w:t xml:space="preserve">Einkäufer:</w:t>
      </w:r>
      <w:r>
        <w:t xml:space="preserve"> Das Diagramm zeigt, bei wem das Volumen im Zeitraum liegt. Die Preisveränderung dient als erstes Warnsignal für Preissteigerungen.</w:t>
      </w:r>
    </w:p>
    <w:p>
      <w:r>
        <w:rPr>
          <w:b/>
        </w:rPr>
        <w:t xml:space="preserve">Geschäftsleitung:</w:t>
      </w:r>
      <w:r>
        <w:t xml:space="preserve"> Die Liste zeigt, welche Lieferanten für den Betrieb relevant sind.</w:t>
      </w:r>
    </w:p>
    <w:p>
      <w:pPr>
        <w:pStyle w:val="Heading3"/>
      </w:pPr>
      <w:r>
        <w:t xml:space="preserve">Grenzen und Fallstricke</w:t>
      </w:r>
    </w:p>
    <w:p>
      <w:pPr>
        <w:pStyle w:val="ListBullet"/>
        <w:numPr>
          <w:ilvl w:val="0"/>
          <w:numId w:val="1"/>
        </w:numPr>
      </w:pPr>
      <w:r>
        <w:t xml:space="preserve">«Performance Score» und «Qualität» stehen bewusst auf «-». Es gibt keine angebundene Quelle für Ist-Wareneingangsdaten oder Reklamationen. Die frühere Anzeige mit einem festen Prozentwert war ein Platzhalter und wurde am 07.08.2026 entfernt.</w:t>
      </w:r>
    </w:p>
    <w:p>
      <w:pPr>
        <w:pStyle w:val="ListBullet"/>
        <w:numPr>
          <w:ilvl w:val="0"/>
          <w:numId w:val="1"/>
        </w:numPr>
      </w:pPr>
      <w:r>
        <w:t xml:space="preserve">Es gibt keine Lieferantenbewertung. «Aktiv» bedeutet nur, dass im Zeitraum bestellt wurde.</w:t>
      </w:r>
    </w:p>
    <w:p>
      <w:pPr>
        <w:pStyle w:val="Heading2"/>
      </w:pPr>
      <w:r>
        <w:t xml:space="preserve">Spend-Aufriss</w:t>
      </w:r>
    </w:p>
    <w:p>
      <w:pPr>
        <w:pStyle w:val="Heading3"/>
      </w:pPr>
      <w:r>
        <w:t xml:space="preserve">Wozu</w:t>
      </w:r>
    </w:p>
    <w:p>
      <w:r>
        <w:t xml:space="preserve">Der Spend-Aufriss zerlegt den Einkaufsspend in frei wählbare Ebenen. Er beantwortet: Wo genau steckt das Geld, nach Lieferant, Warengruppe, Material, Region, Währung oder Produktgruppe?</w:t>
      </w:r>
    </w:p>
    <w:p>
      <w:pPr>
        <w:pStyle w:val="Heading3"/>
      </w:pPr>
      <w:r>
        <w:t xml:space="preserve">Was man sieht</w:t>
      </w:r>
    </w:p>
    <w:p>
      <w:r>
        <w:t xml:space="preserve">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pPr>
        <w:pStyle w:val="Heading3"/>
      </w:pPr>
      <w:r>
        <w:t xml:space="preserve">Wie gerechnet wird</w:t>
      </w:r>
    </w:p>
    <w:p>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steht «Disponent» mit dem Code.</w:t>
      </w:r>
    </w:p>
    <w:p>
      <w:r>
        <w:t xml:space="preserve">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pPr>
        <w:pStyle w:val="Heading3"/>
      </w:pPr>
      <w:r>
        <w:t xml:space="preserve">Einsatz im Arbeitsalltag</w:t>
      </w:r>
    </w:p>
    <w:p>
      <w:r>
        <w:rPr>
          <w:b/>
        </w:rPr>
        <w:t xml:space="preserve">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r>
        <w:rPr>
          <w:b/>
        </w:rPr>
        <w:t xml:space="preserve">Controller:</w:t>
      </w:r>
      <w:r>
        <w:t xml:space="preserve"> Die Währungssicht und die Regionensicht zeigen, wie der Spend verteilt ist.</w:t>
      </w:r>
    </w:p>
    <w:p>
      <w:r>
        <w:rPr>
          <w:b/>
        </w:rPr>
        <w:t xml:space="preserve">Disponent:</w:t>
      </w:r>
      <w:r>
        <w:t xml:space="preserve"> ABC/XYZ zeigt, welche Teile viel Wert binden und wie planbar sie sind.</w:t>
      </w:r>
    </w:p>
    <w:p>
      <w:pPr>
        <w:pStyle w:val="Heading3"/>
      </w:pPr>
      <w:r>
        <w:t xml:space="preserve">Grenzen und Fallstricke</w:t>
      </w:r>
    </w:p>
    <w:p>
      <w:pPr>
        <w:pStyle w:val="ListBullet"/>
        <w:numPr>
          <w:ilvl w:val="0"/>
          <w:numId w:val="1"/>
        </w:numPr>
      </w:pPr>
      <w:r>
        <w:t xml:space="preserve">ABC, XYZ und Lieferantenland sind nur so vollständig wie der letzte Full Load. Zuletzt dokumentiert waren Lieferantenland 100 %, ABC 78 %, XYZ 65 % und Warengruppe 80.7 % gefüllt. Wo die Spalte leer ist, erscheint «ohne ABC» oder ein Hinweis.</w:t>
      </w:r>
    </w:p>
    <w:p>
      <w:pPr>
        <w:pStyle w:val="ListBullet"/>
        <w:numPr>
          <w:ilvl w:val="0"/>
          <w:numId w:val="1"/>
        </w:numPr>
      </w:pPr>
      <w:r>
        <w:t xml:space="preserve">Die Produktgruppen-Zuordnung beruht auf dem Disponenten, nicht auf einer Stammdatenpflege je Material. Bis zu einem vollständigen Lauf der Stücklistendaten ist sie unvollständig. Der zuletzt dokumentierte Stand hatte nur 105 Verwendungszeilen mit Disponent.</w:t>
      </w:r>
    </w:p>
    <w:p>
      <w:pPr>
        <w:pStyle w:val="ListBullet"/>
        <w:numPr>
          <w:ilvl w:val="0"/>
          <w:numId w:val="1"/>
        </w:numPr>
      </w:pPr>
      <w:r>
        <w:t xml:space="preserve">Die Texte für die Disponentengruppen D1 und D5 sind Ersatztexte des Cockpits. Ein später in SAP gepflegter Text hat Vorrang.</w:t>
      </w:r>
    </w:p>
    <w:p>
      <w:pPr>
        <w:pStyle w:val="Heading2"/>
      </w:pPr>
      <w:r>
        <w:t xml:space="preserve">Bestellbedarf &amp; Deckung</w:t>
      </w:r>
    </w:p>
    <w:p>
      <w:pPr>
        <w:pStyle w:val="Heading3"/>
      </w:pPr>
      <w:r>
        <w:t xml:space="preserve">Wozu</w:t>
      </w:r>
    </w:p>
    <w:p>
      <w:r>
        <w:t xml:space="preserve">Die Seite verbindet den SAP-Endbestand eines Materials mit seinen offenen Bestellungen, den Planterminen und den Lieferanten. Sie zeigt, wo trotz offener Bestellung eine Deckungslücke bleibt und wo Bestellungen überfällig sind.</w:t>
      </w:r>
    </w:p>
    <w:p>
      <w:pPr>
        <w:pStyle w:val="Heading3"/>
      </w:pPr>
      <w:r>
        <w:t xml:space="preserve">Was man sieht</w:t>
      </w:r>
    </w:p>
    <w:p>
      <w:r>
        <w:t xml:space="preserve">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Ladezeitpunkt der Stücklisten- und der Bestelldaten.</w:t>
      </w:r>
    </w:p>
    <w:p>
      <w:pPr>
        <w:pStyle w:val="Heading3"/>
      </w:pPr>
      <w:r>
        <w:t xml:space="preserve">Wie gerechnet wird</w:t>
      </w:r>
    </w:p>
    <w:p>
      <w:r>
        <w:t xml:space="preserve">Der Endbestand aus der SAP-Disposition bleibt führend. Die Bestellzugänge werden nicht noch einmal dazugezählt, damit nichts doppelt erscheint. Die Priorität lautet:</w:t>
      </w:r>
    </w:p>
    <w:p>
      <w:pPr>
        <w:pStyle w:val="ListBullet"/>
        <w:numPr>
          <w:ilvl w:val="0"/>
          <w:numId w:val="1"/>
        </w:numPr>
      </w:pPr>
      <w:r>
        <w:rPr>
          <w:b/>
        </w:rPr>
        <w:t xml:space="preserve">P1:</w:t>
      </w:r>
      <w:r>
        <w:t xml:space="preserve"> Endbestand negativ, entweder ohne offene Bestellung oder trotz offener Bestellung.</w:t>
      </w:r>
    </w:p>
    <w:p>
      <w:pPr>
        <w:pStyle w:val="ListBullet"/>
        <w:numPr>
          <w:ilvl w:val="0"/>
          <w:numId w:val="1"/>
        </w:numPr>
      </w:pPr>
      <w:r>
        <w:rPr>
          <w:b/>
        </w:rPr>
        <w:t xml:space="preserve">P2:</w:t>
      </w:r>
      <w:r>
        <w:t xml:space="preserve"> offene Menge mit überfälligem Plantermin.</w:t>
      </w:r>
    </w:p>
    <w:p>
      <w:pPr>
        <w:pStyle w:val="ListBullet"/>
        <w:numPr>
          <w:ilvl w:val="0"/>
          <w:numId w:val="1"/>
        </w:numPr>
      </w:pPr>
      <w:r>
        <w:rPr>
          <w:b/>
        </w:rPr>
        <w:t xml:space="preserve">P3:</w:t>
      </w:r>
      <w:r>
        <w:t xml:space="preserve"> Endbestand unter dem Sicherheits- oder Meldebestand oder kein Endbestand von SAP geliefert.</w:t>
      </w:r>
    </w:p>
    <w:p>
      <w:pPr>
        <w:pStyle w:val="ListBullet"/>
        <w:numPr>
          <w:ilvl w:val="0"/>
          <w:numId w:val="1"/>
        </w:numPr>
      </w:pPr>
      <w:r>
        <w:rPr>
          <w:b/>
        </w:rPr>
        <w:t xml:space="preserve">OK:</w:t>
      </w:r>
      <w:r>
        <w:t xml:space="preserve"> kein akuter Hinweis.</w:t>
      </w:r>
    </w:p>
    <w:p>
      <w:r>
        <w:t xml:space="preserve">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pPr>
        <w:pStyle w:val="Heading3"/>
      </w:pPr>
      <w:r>
        <w:t xml:space="preserve">Einsatz im Arbeitsalltag</w:t>
      </w:r>
    </w:p>
    <w:p>
      <w:r>
        <w:rPr>
          <w:b/>
        </w:rPr>
        <w:t xml:space="preserve">Disponent:</w:t>
      </w:r>
      <w:r>
        <w:t xml:space="preserve"> Zum Wochenstart den eigenen Disponentencode eintragen und die P1-Zeilen abarbeiten: Lücke trotz Bestellung heisst, den Termin vorziehen oder zusätzlich bestellen.</w:t>
      </w:r>
    </w:p>
    <w:p>
      <w:r>
        <w:rPr>
          <w:b/>
        </w:rPr>
        <w:t xml:space="preserve">Einkäufer:</w:t>
      </w:r>
      <w:r>
        <w:t xml:space="preserve"> Die Spalten «Offen / überfällig» und «Lieferant» zeigen, bei wem nachzufassen ist.</w:t>
      </w:r>
    </w:p>
    <w:p>
      <w:pPr>
        <w:pStyle w:val="Heading3"/>
      </w:pPr>
      <w:r>
        <w:t xml:space="preserve">Grenzen und Fallstricke</w:t>
      </w:r>
    </w:p>
    <w:p>
      <w:pPr>
        <w:pStyle w:val="ListBullet"/>
        <w:numPr>
          <w:ilvl w:val="0"/>
          <w:numId w:val="1"/>
        </w:numPr>
      </w:pPr>
      <w:r>
        <w:t xml:space="preserve">Die Seite ist eine Auswertung und schreibt nichts nach SAP zurück.</w:t>
      </w:r>
    </w:p>
    <w:p>
      <w:pPr>
        <w:pStyle w:val="ListBullet"/>
        <w:numPr>
          <w:ilvl w:val="0"/>
          <w:numId w:val="1"/>
        </w:numPr>
      </w:pPr>
      <w:r>
        <w:t xml:space="preserve">Bleibt der Endbestand leer, ist das eine Datenlücke und kein Nullbestand.</w:t>
      </w:r>
    </w:p>
    <w:p>
      <w:pPr>
        <w:pStyle w:val="ListBullet"/>
        <w:numPr>
          <w:ilvl w:val="0"/>
          <w:numId w:val="1"/>
        </w:numPr>
      </w:pPr>
      <w:r>
        <w:t xml:space="preserve">Für eine unternehmensweite Aussage braucht es einen vollständigen Ladelauf der Stücklistenverwendung.</w:t>
      </w:r>
    </w:p>
    <w:p>
      <w:pPr>
        <w:pStyle w:val="Heading2"/>
      </w:pPr>
      <w:r>
        <w:t xml:space="preserve">Materialabhängigkeit</w:t>
      </w:r>
    </w:p>
    <w:p>
      <w:pPr>
        <w:pStyle w:val="Heading3"/>
      </w:pPr>
      <w:r>
        <w:t xml:space="preserve">Wozu</w:t>
      </w:r>
    </w:p>
    <w:p>
      <w:r>
        <w:t xml:space="preserve">Die Seite zeigt, bei welchen Materialien der Einkauf von einem einzigen Lieferanten oder von einer starken Konzentration abhängt und wie breit das Material verwendet wird. Sie hilft, Versorgungsrisiken früh zu erkennen.</w:t>
      </w:r>
    </w:p>
    <w:p>
      <w:pPr>
        <w:pStyle w:val="Heading3"/>
      </w:pPr>
      <w:r>
        <w:t xml:space="preserve">Was man sieht</w:t>
      </w:r>
    </w:p>
    <w:p>
      <w:r>
        <w:t xml:space="preserve">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pPr>
        <w:pStyle w:val="Heading3"/>
      </w:pPr>
      <w:r>
        <w:t xml:space="preserve">Wie gerechnet wird</w:t>
      </w:r>
    </w:p>
    <w:p>
      <w:r>
        <w:t xml:space="preserve">Grundlage ist die Bestellhistorie, nicht eine freigegebene Bezugsquellenliste. Je Material werden die Lieferanten und ihr Spend verglichen. Die Priorität lautet:</w:t>
      </w:r>
    </w:p>
    <w:p>
      <w:pPr>
        <w:pStyle w:val="ListBullet"/>
        <w:numPr>
          <w:ilvl w:val="0"/>
          <w:numId w:val="1"/>
        </w:numPr>
      </w:pPr>
      <w:r>
        <w:rPr>
          <w:b/>
        </w:rPr>
        <w:t xml:space="preserve">P1:</w:t>
      </w:r>
      <w:r>
        <w:t xml:space="preserve"> nur ein beobachteter Lieferant und das Material wird in mindestens fünf übergeordneten Materialien verwendet.</w:t>
      </w:r>
    </w:p>
    <w:p>
      <w:pPr>
        <w:pStyle w:val="ListBullet"/>
        <w:numPr>
          <w:ilvl w:val="0"/>
          <w:numId w:val="1"/>
        </w:numPr>
      </w:pPr>
      <w:r>
        <w:rPr>
          <w:b/>
        </w:rPr>
        <w:t xml:space="preserve">P2:</w:t>
      </w:r>
      <w:r>
        <w:t xml:space="preserve"> nur ein beobachteter Lieferant bei geringerer Verwendung.</w:t>
      </w:r>
    </w:p>
    <w:p>
      <w:pPr>
        <w:pStyle w:val="ListBullet"/>
        <w:numPr>
          <w:ilvl w:val="0"/>
          <w:numId w:val="1"/>
        </w:numPr>
      </w:pPr>
      <w:r>
        <w:rPr>
          <w:b/>
        </w:rPr>
        <w:t xml:space="preserve">P3:</w:t>
      </w:r>
      <w:r>
        <w:t xml:space="preserve"> ein Lieferant hat mindestens 80 Prozent des Spends.</w:t>
      </w:r>
    </w:p>
    <w:p>
      <w:pPr>
        <w:pStyle w:val="ListBullet"/>
        <w:numPr>
          <w:ilvl w:val="0"/>
          <w:numId w:val="1"/>
        </w:numPr>
      </w:pPr>
      <w:r>
        <w:rPr>
          <w:b/>
        </w:rPr>
        <w:t xml:space="preserve">OK:</w:t>
      </w:r>
      <w:r>
        <w:t xml:space="preserve"> mehrere beobachtete Lieferanten.</w:t>
      </w:r>
    </w:p>
    <w:p>
      <w:r>
        <w:t xml:space="preserve">Stornierte Positionen sind ausgeschlossen, und es zählen nur echte Bestellungen. Der Spend umfasst die gesamte Historie.</w:t>
      </w:r>
    </w:p>
    <w:p>
      <w:pPr>
        <w:pStyle w:val="Heading3"/>
      </w:pPr>
      <w:r>
        <w:t xml:space="preserve">Einsatz im Arbeitsalltag</w:t>
      </w:r>
    </w:p>
    <w:p>
      <w:r>
        <w:rPr>
          <w:b/>
        </w:rPr>
        <w:t xml:space="preserve">Einkäufer:</w:t>
      </w:r>
      <w:r>
        <w:t xml:space="preserve"> Vor Rahmenvertrags- oder Preisgesprächen zeigt die Seite, wo ein Lieferant nicht ersetzbar ist, und hilft, Zweitquellen zu priorisieren.</w:t>
      </w:r>
    </w:p>
    <w:p>
      <w:r>
        <w:rPr>
          <w:b/>
        </w:rPr>
        <w:t xml:space="preserve">Geschäftsleitung:</w:t>
      </w:r>
      <w:r>
        <w:t xml:space="preserve"> Die Zahl «Nur ein Lieferant» ist eine Kennzahl für das Versorgungsrisiko.</w:t>
      </w:r>
    </w:p>
    <w:p>
      <w:pPr>
        <w:pStyle w:val="Heading3"/>
      </w:pPr>
      <w:r>
        <w:t xml:space="preserve">Grenzen und Fallstricke</w:t>
      </w:r>
    </w:p>
    <w:p>
      <w:pPr>
        <w:pStyle w:val="ListBullet"/>
        <w:numPr>
          <w:ilvl w:val="0"/>
          <w:numId w:val="1"/>
        </w:numPr>
      </w:pPr>
      <w:r>
        <w:t xml:space="preserve">«Ein Lieferant» heisst nur, dass historisch ein Lieferant beobachtet wurde. Zweitquellen, die in SAP hinterlegt, aber nie bestellt wurden, sieht die Seite nicht.</w:t>
      </w:r>
    </w:p>
    <w:p>
      <w:pPr>
        <w:pStyle w:val="ListBullet"/>
        <w:numPr>
          <w:ilvl w:val="0"/>
          <w:numId w:val="1"/>
        </w:numPr>
      </w:pPr>
      <w:r>
        <w:t xml:space="preserve">Die Spalte «Spend CHF» trägt in der Tabelle intern den Wert der Historie, nicht den der offenen Bestellungen.</w:t>
      </w:r>
    </w:p>
    <w:p>
      <w:pPr>
        <w:pStyle w:val="ListBullet"/>
        <w:numPr>
          <w:ilvl w:val="0"/>
          <w:numId w:val="1"/>
        </w:numPr>
      </w:pPr>
      <w:r>
        <w:t xml:space="preserve">Die Breite der Verwendung hängt von der Vollständigkeit der Stücklistendaten ab.</w:t>
      </w:r>
    </w:p>
    <w:p>
      <w:pPr>
        <w:pStyle w:val="Heading2"/>
      </w:pPr>
      <w:r>
        <w:t xml:space="preserve">Lieferperformance</w:t>
      </w:r>
    </w:p>
    <w:p>
      <w:pPr>
        <w:pStyle w:val="Heading3"/>
      </w:pPr>
      <w:r>
        <w:t xml:space="preserve">Wozu</w:t>
      </w:r>
    </w:p>
    <w:p>
      <w:r>
        <w:t xml:space="preserve">Die Seite zeigt den belastbaren Teil der Liefertreue: offene Bestellmengen, deren geplanter Termin überschritten ist oder bald fällig wird. Sie trennt dies ausdrücklich von der echten Termintreue, die heute nicht messbar ist.</w:t>
      </w:r>
    </w:p>
    <w:p>
      <w:pPr>
        <w:pStyle w:val="Heading3"/>
      </w:pPr>
      <w:r>
        <w:t xml:space="preserve">Was man sieht</w:t>
      </w:r>
    </w:p>
    <w:p>
      <w:r>
        <w:t xml:space="preserve">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pPr>
        <w:pStyle w:val="Heading3"/>
      </w:pPr>
      <w:r>
        <w:t xml:space="preserve">Wie gerechnet wird</w:t>
      </w:r>
    </w:p>
    <w:p>
      <w:r>
        <w:t xml:space="preserve">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pPr>
        <w:pStyle w:val="Heading3"/>
      </w:pPr>
      <w:r>
        <w:t xml:space="preserve">Einsatz im Arbeitsalltag</w:t>
      </w:r>
    </w:p>
    <w:p>
      <w:r>
        <w:rPr>
          <w:b/>
        </w:rPr>
        <w:t xml:space="preserve">Einkäufer:</w:t>
      </w:r>
      <w:r>
        <w:t xml:space="preserve"> Die P1-Liste ist die Mahnliste: Wer ist mit welcher Menge und welchem Wert im Verzug?</w:t>
      </w:r>
    </w:p>
    <w:p>
      <w:r>
        <w:rPr>
          <w:b/>
        </w:rPr>
        <w:t xml:space="preserve">Qualitäts- und Lieferantenmanagement:</w:t>
      </w:r>
      <w:r>
        <w:t xml:space="preserve"> Die Seite ist eine Vorstufe. Eine echte Bewertung braucht das Ist-Wareneingangsdatum.</w:t>
      </w:r>
    </w:p>
    <w:p>
      <w:pPr>
        <w:pStyle w:val="Heading3"/>
      </w:pPr>
      <w:r>
        <w:t xml:space="preserve">Grenzen und Fallstricke</w:t>
      </w:r>
    </w:p>
    <w:p>
      <w:pPr>
        <w:pStyle w:val="ListBullet"/>
        <w:numPr>
          <w:ilvl w:val="0"/>
          <w:numId w:val="1"/>
        </w:numPr>
      </w:pPr>
      <w:r>
        <w:t xml:space="preserve">Die Seite zeigt Plantermin-Rückstand, nicht Termintreue. Ein Lieferant, dessen Termin im System nie nachgepflegt wurde, erscheint als überfällig, auch wenn er geliefert hat und der Wareneingang noch nicht gebucht ist.</w:t>
      </w:r>
    </w:p>
    <w:p>
      <w:pPr>
        <w:pStyle w:val="ListBullet"/>
        <w:numPr>
          <w:ilvl w:val="0"/>
          <w:numId w:val="1"/>
        </w:numPr>
      </w:pPr>
      <w:r>
        <w:t xml:space="preserve">Die Ergänzung um Wareneingangsbelege ist offen, deshalb steht die Ist-Termin-Abdeckung auf null Prozent.</w:t>
      </w:r>
    </w:p>
    <w:p>
      <w:pPr>
        <w:pStyle w:val="Heading2"/>
      </w:pPr>
      <w:r>
        <w:t xml:space="preserve">Ideen: Übersicht</w:t>
      </w:r>
    </w:p>
    <w:p>
      <w:pPr>
        <w:pStyle w:val="Heading3"/>
      </w:pPr>
      <w:r>
        <w:t xml:space="preserve">Wozu</w:t>
      </w:r>
    </w:p>
    <w:p>
      <w:r>
        <w:t xml:space="preserve">Die Gruppe «Ideen» sammelt weitere Auswertungen, die der Einkauf neben Power BI für Steuerung, Risiko und Sparpotenzial nutzen kann. Die Übersicht zeigt den Reifegrad jeder Idee.</w:t>
      </w:r>
    </w:p>
    <w:p>
      <w:pPr>
        <w:pStyle w:val="Heading3"/>
      </w:pPr>
      <w:r>
        <w:t xml:space="preserve">Was man sieht</w:t>
      </w:r>
    </w:p>
    <w:p>
      <w:r>
        <w:t xml:space="preserve">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nächstem Schritt.</w:t>
      </w:r>
    </w:p>
    <w:p>
      <w:pPr>
        <w:pStyle w:val="Heading3"/>
      </w:pPr>
      <w:r>
        <w:t xml:space="preserve">Wie gerechnet wird</w:t>
      </w:r>
    </w:p>
    <w:p>
      <w:r>
        <w:t xml:space="preserve">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pPr>
        <w:pStyle w:val="Heading3"/>
      </w:pPr>
      <w:r>
        <w:t xml:space="preserve">Einsatz im Arbeitsalltag</w:t>
      </w:r>
    </w:p>
    <w:p>
      <w:r>
        <w:rPr>
          <w:b/>
        </w:rPr>
        <w:t xml:space="preserve">Einkaufsleiter:</w:t>
      </w:r>
      <w:r>
        <w:t xml:space="preserve"> Die Übersicht hilft zu entscheiden, welche Auswertung als Nächstes ausgebaut werden soll.</w:t>
      </w:r>
    </w:p>
    <w:p>
      <w:r>
        <w:rPr>
          <w:b/>
        </w:rPr>
        <w:t xml:space="preserve">Fachabteilung:</w:t>
      </w:r>
      <w:r>
        <w:t xml:space="preserve"> Wer eine Auswertung vermisst, findet hier, ob sie bereits angedacht ist.</w:t>
      </w:r>
    </w:p>
    <w:p>
      <w:pPr>
        <w:pStyle w:val="Heading3"/>
      </w:pPr>
      <w:r>
        <w:t xml:space="preserve">Grenzen und Fallstricke</w:t>
      </w:r>
    </w:p>
    <w:p>
      <w:pPr>
        <w:pStyle w:val="ListBullet"/>
        <w:numPr>
          <w:ilvl w:val="0"/>
          <w:numId w:val="1"/>
        </w:numPr>
      </w:pPr>
      <w:r>
        <w:t xml:space="preserve">Karten mit «Konzept» liefern keine Zahlen.</w:t>
      </w:r>
    </w:p>
    <w:p>
      <w:pPr>
        <w:pStyle w:val="ListBullet"/>
        <w:numPr>
          <w:ilvl w:val="0"/>
          <w:numId w:val="1"/>
        </w:numPr>
      </w:pPr>
      <w:r>
        <w:t xml:space="preserve">Der Kennzahlen-Katalog nennt den Umsetzungsstand je Kennzahl genauer.</w:t>
      </w:r>
    </w:p>
    <w:p>
      <w:pPr>
        <w:pStyle w:val="Heading2"/>
      </w:pPr>
      <w:r>
        <w:t xml:space="preserve">Ideen: Einkauf-Datenservice</w:t>
      </w:r>
    </w:p>
    <w:p>
      <w:pPr>
        <w:pStyle w:val="Heading3"/>
      </w:pPr>
      <w:r>
        <w:t xml:space="preserve">Wozu</w:t>
      </w:r>
    </w:p>
    <w:p>
      <w:r>
        <w:t xml:space="preserve">Die Seite steuert die Datenbasis des ganzen Moduls: Hier wird der Einkaufsbestand aus SAP neu aufgebaut oder aufgefrischt.</w:t>
      </w:r>
    </w:p>
    <w:p>
      <w:pPr>
        <w:pStyle w:val="Heading3"/>
      </w:pPr>
      <w:r>
        <w:t xml:space="preserve">Was man sieht</w:t>
      </w:r>
    </w:p>
    <w:p>
      <w:r>
        <w:t xml:space="preserve">Vier Kacheln zeigen die Zeilenzahlen im Bestand (Bestellköpfe, Positionen, Einteilungen) und den letzten Stand mit Modus. Zwei Knöpfe starten einen vollständigen Ladelauf oder einen Delta-Lauf. Darunter steht der Status und die letzte Meldung.</w:t>
      </w:r>
    </w:p>
    <w:p>
      <w:pPr>
        <w:pStyle w:val="Heading3"/>
      </w:pPr>
      <w:r>
        <w:t xml:space="preserve">Wie gerechnet wird</w:t>
      </w:r>
    </w:p>
    <w:p>
      <w:r>
        <w:t xml:space="preserve">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pPr>
        <w:pStyle w:val="Heading3"/>
      </w:pPr>
      <w:r>
        <w:t xml:space="preserve">Einsatz im Arbeitsalltag</w:t>
      </w:r>
    </w:p>
    <w:p>
      <w:r>
        <w:rPr>
          <w:b/>
        </w:rPr>
        <w:t xml:space="preserve">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pPr>
        <w:pStyle w:val="Heading3"/>
      </w:pPr>
      <w:r>
        <w:t xml:space="preserve">Grenzen und Fallstricke</w:t>
      </w:r>
    </w:p>
    <w:p>
      <w:pPr>
        <w:pStyle w:val="ListBullet"/>
        <w:numPr>
          <w:ilvl w:val="0"/>
          <w:numId w:val="1"/>
        </w:numPr>
      </w:pPr>
      <w:r>
        <w:t xml:space="preserve">Das Datum in SAP, an dem ein Beleg angelegt wurde, ist kein Änderungsdatum. Ein Wareneingang auf einem älteren Beleg wird deshalb nur vom Full Load zuverlässig erfasst.</w:t>
      </w:r>
    </w:p>
    <w:p>
      <w:pPr>
        <w:pStyle w:val="ListBullet"/>
        <w:numPr>
          <w:ilvl w:val="0"/>
          <w:numId w:val="1"/>
        </w:numPr>
      </w:pPr>
      <w:r>
        <w:t xml:space="preserve">Die Laufzeit eines Full Loads ist nicht verlässlich bekannt.</w:t>
      </w:r>
    </w:p>
    <w:p>
      <w:pPr>
        <w:pStyle w:val="Heading2"/>
      </w:pPr>
      <w:r>
        <w:t xml:space="preserve">Ideen: Liefertermin-Risiko</w:t>
      </w:r>
    </w:p>
    <w:p>
      <w:pPr>
        <w:pStyle w:val="Heading3"/>
      </w:pPr>
      <w:r>
        <w:t xml:space="preserve">Wozu</w:t>
      </w:r>
    </w:p>
    <w:p>
      <w:r>
        <w:t xml:space="preserve">Die Seite klassiert den offenen Bestellwert nach Fälligkeit und zeigt, bei welchen Lieferanten und Artikeln der grösste Wert überfällig oder bald fällig ist.</w:t>
      </w:r>
    </w:p>
    <w:p>
      <w:pPr>
        <w:pStyle w:val="Heading3"/>
      </w:pPr>
      <w:r>
        <w:t xml:space="preserve">Was man sieht</w:t>
      </w:r>
    </w:p>
    <w:p>
      <w:r>
        <w:t xml:space="preserve">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pPr>
        <w:pStyle w:val="Heading3"/>
      </w:pPr>
      <w:r>
        <w:t xml:space="preserve">Wie gerechnet wird</w:t>
      </w:r>
    </w:p>
    <w:p>
      <w:r>
        <w:t xml:space="preserve">Offene Menge mal Stückwert in CHF je Einteilung, eingeteilt nach dem geplanten Liefertermin gegenüber heute. Es gelten die Regeln der offenen Bestellungen (nur Bestellungen, ohne endgelieferte Positionen). Der Zeitraumfilter wirkt nicht.</w:t>
      </w:r>
    </w:p>
    <w:p>
      <w:pPr>
        <w:pStyle w:val="Heading3"/>
      </w:pPr>
      <w:r>
        <w:t xml:space="preserve">Einsatz im Arbeitsalltag</w:t>
      </w:r>
    </w:p>
    <w:p>
      <w:r>
        <w:rPr>
          <w:b/>
        </w:rPr>
        <w:t xml:space="preserve">Einkäufer:</w:t>
      </w:r>
      <w:r>
        <w:t xml:space="preserve"> Montags die Hotlist von oben abarbeiten und bei den grössten überfälligen Werten nachfassen.</w:t>
      </w:r>
    </w:p>
    <w:p>
      <w:r>
        <w:rPr>
          <w:b/>
        </w:rPr>
        <w:t xml:space="preserve">Controller:</w:t>
      </w:r>
      <w:r>
        <w:t xml:space="preserve"> Die Klasse «später» zeigt die zukünftige Zulaufverpflichtung nach Zeit.</w:t>
      </w:r>
    </w:p>
    <w:p>
      <w:pPr>
        <w:pStyle w:val="Heading3"/>
      </w:pPr>
      <w:r>
        <w:t xml:space="preserve">Grenzen und Fallstricke</w:t>
      </w:r>
    </w:p>
    <w:p>
      <w:pPr>
        <w:pStyle w:val="ListBullet"/>
        <w:numPr>
          <w:ilvl w:val="0"/>
          <w:numId w:val="1"/>
        </w:numPr>
      </w:pPr>
      <w:r>
        <w:t xml:space="preserve">Nur die zehn grössten Zeilen stehen in der Hotlist.</w:t>
      </w:r>
    </w:p>
    <w:p>
      <w:pPr>
        <w:pStyle w:val="ListBullet"/>
        <w:numPr>
          <w:ilvl w:val="0"/>
          <w:numId w:val="1"/>
        </w:numPr>
      </w:pPr>
      <w:r>
        <w:t xml:space="preserve">Die Klassen beruhen auf dem Plantermin, nicht auf einer zugesagten Lieferung.</w:t>
      </w:r>
    </w:p>
    <w:p>
      <w:pPr>
        <w:pStyle w:val="Heading2"/>
      </w:pPr>
      <w:r>
        <w:t xml:space="preserve">Ideen: Preisentwicklung</w:t>
      </w:r>
    </w:p>
    <w:p>
      <w:pPr>
        <w:pStyle w:val="Heading3"/>
      </w:pPr>
      <w:r>
        <w:t xml:space="preserve">Wozu</w:t>
      </w:r>
    </w:p>
    <w:p>
      <w:r>
        <w:t xml:space="preserve">Die Seite zeigt, ob Einkaufspreise steigen oder fallen, als Entwicklung über die Jahre und je Artikel.</w:t>
      </w:r>
    </w:p>
    <w:p>
      <w:pPr>
        <w:pStyle w:val="Heading3"/>
      </w:pPr>
      <w:r>
        <w:t xml:space="preserve">Was man sieht</w:t>
      </w:r>
    </w:p>
    <w:p>
      <w:r>
        <w:t xml:space="preserve">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pPr>
        <w:pStyle w:val="Heading3"/>
      </w:pPr>
      <w:r>
        <w:t xml:space="preserve">Wie gerechnet wird</w:t>
      </w:r>
    </w:p>
    <w:p>
      <w:r>
        <w:t xml:space="preserve">Der Stückpreis ist der mengengewichtete Durchschnitt in CHF je Jahr: Summe der Positionswerte geteilt durch Summe der Mengen. Je Artikel wird die Veränderung gegenüber dem letzten Vorjahr mit Daten gebildet. Zeilen ohne Menge bleiben unberücksichtigt.</w:t>
      </w:r>
    </w:p>
    <w:p>
      <w:pPr>
        <w:pStyle w:val="Heading3"/>
      </w:pPr>
      <w:r>
        <w:t xml:space="preserve">Einsatz im Arbeitsalltag</w:t>
      </w:r>
    </w:p>
    <w:p>
      <w:r>
        <w:rPr>
          <w:b/>
        </w:rPr>
        <w:t xml:space="preserve">Einkäufer:</w:t>
      </w:r>
      <w:r>
        <w:t xml:space="preserve"> Vor der Preisverhandlung zeigt die Hotlist, welche Artikel teurer geworden sind und wie stark.</w:t>
      </w:r>
    </w:p>
    <w:p>
      <w:r>
        <w:rPr>
          <w:b/>
        </w:rPr>
        <w:t xml:space="preserve">Controller:</w:t>
      </w:r>
      <w:r>
        <w:t xml:space="preserve"> Die Jahresreihe hilft, Preiseffekte von Mengeneffekten zu trennen.</w:t>
      </w:r>
    </w:p>
    <w:p>
      <w:pPr>
        <w:pStyle w:val="Heading3"/>
      </w:pPr>
      <w:r>
        <w:t xml:space="preserve">Grenzen und Fallstricke</w:t>
      </w:r>
    </w:p>
    <w:p>
      <w:pPr>
        <w:pStyle w:val="ListBullet"/>
        <w:numPr>
          <w:ilvl w:val="0"/>
          <w:numId w:val="1"/>
        </w:numPr>
      </w:pPr>
      <w:r>
        <w:t xml:space="preserve">Das Diagramm zeigt den </w:t>
      </w:r>
      <w:r>
        <w:rPr>
          <w:b/>
        </w:rPr>
        <w:t xml:space="preserve">mengengewichteten Durchschnitt</w:t>
      </w:r>
      <w:r>
        <w:t xml:space="preserve"> je Jahr («Ø Stückpreis nach Jahr»), die Hotlist dagegen das </w:t>
      </w:r>
      <w:r>
        <w:rPr>
          <w:b/>
        </w:rPr>
        <w:t xml:space="preserve">Minimum</w:t>
      </w:r>
      <w:r>
        <w:t xml:space="preserve"> je Artikel und Jahr wie in Power BI. Beide Zahlen sind also nicht direkt vergleichbar. Ein steigender Durchschnitt kann auch daher kommen, dass mehr teure Artikel bestellt wurden (Mix), nicht nur von Preiserhöhungen.</w:t>
      </w:r>
    </w:p>
    <w:p>
      <w:pPr>
        <w:pStyle w:val="ListBullet"/>
        <w:numPr>
          <w:ilvl w:val="0"/>
          <w:numId w:val="1"/>
        </w:numPr>
      </w:pPr>
      <w:r>
        <w:t xml:space="preserve">Ein Durchschnitt über alle Artikel mischt sehr unterschiedliche Teile. Die Aussage liegt in der Veränderung, nicht im Niveau.</w:t>
      </w:r>
    </w:p>
    <w:p>
      <w:pPr>
        <w:pStyle w:val="Heading2"/>
      </w:pPr>
      <w:r>
        <w:t xml:space="preserve">Ideen: Spend-Konzentration</w:t>
      </w:r>
    </w:p>
    <w:p>
      <w:pPr>
        <w:pStyle w:val="Heading3"/>
      </w:pPr>
      <w:r>
        <w:t xml:space="preserve">Wozu</w:t>
      </w:r>
    </w:p>
    <w:p>
      <w:r>
        <w:t xml:space="preserve">Die Seite zeigt die Abhängigkeit von den grössten Lieferanten und das Bündelungspotenzial.</w:t>
      </w:r>
    </w:p>
    <w:p>
      <w:pPr>
        <w:pStyle w:val="Heading3"/>
      </w:pPr>
      <w:r>
        <w:t xml:space="preserve">Was man sieht</w:t>
      </w:r>
    </w:p>
    <w:p>
      <w:r>
        <w:t xml:space="preserve">Vier Kennzahlen: Top-10-Spend, Top-Anteil am Gesamtspend, Anzahl Lieferanten und Datenbasis. Ein Balkendiagramm zeigt die zehn grössten Lieferanten. Die Hotlist nennt je Lieferant Spend, Anzahl Warengruppen, Rang und Anteil mit Ampel.</w:t>
      </w:r>
    </w:p>
    <w:p>
      <w:pPr>
        <w:pStyle w:val="Heading3"/>
      </w:pPr>
      <w:r>
        <w:t xml:space="preserve">Wie gerechnet wird</w:t>
      </w:r>
    </w:p>
    <w:p>
      <w:r>
        <w:t xml:space="preserve">Der Spend je Lieferant wird absteigend sortiert, daraus ergeben sich Rang und Anteil am Gesamtspend des Zeitraums. Die Ampel hängt am absoluten Spend: über 1 Mio CHF rot, über 250'000 CHF gelb, sonst grün.</w:t>
      </w:r>
    </w:p>
    <w:p>
      <w:pPr>
        <w:pStyle w:val="Heading3"/>
      </w:pPr>
      <w:r>
        <w:t xml:space="preserve">Einsatz im Arbeitsalltag</w:t>
      </w:r>
    </w:p>
    <w:p>
      <w:r>
        <w:rPr>
          <w:b/>
        </w:rPr>
        <w:t xml:space="preserve">Einkaufsleiter:</w:t>
      </w:r>
      <w:r>
        <w:t xml:space="preserve"> Der Top-Anteil beantwortet, wie stark der Einkauf von wenigen Lieferanten abhängt.</w:t>
      </w:r>
    </w:p>
    <w:p>
      <w:r>
        <w:rPr>
          <w:b/>
        </w:rPr>
        <w:t xml:space="preserve">Geschäftsleitung:</w:t>
      </w:r>
      <w:r>
        <w:t xml:space="preserve"> Hohe Konzentration bedeutet Verhandlungshebel, aber auch Abhängigkeit.</w:t>
      </w:r>
    </w:p>
    <w:p>
      <w:pPr>
        <w:pStyle w:val="Heading3"/>
      </w:pPr>
      <w:r>
        <w:t xml:space="preserve">Grenzen und Fallstricke</w:t>
      </w:r>
    </w:p>
    <w:p>
      <w:pPr>
        <w:pStyle w:val="ListBullet"/>
        <w:numPr>
          <w:ilvl w:val="0"/>
          <w:numId w:val="1"/>
        </w:numPr>
      </w:pPr>
      <w:r>
        <w:t xml:space="preserve">Die Ampel ist eine reine Betragsschwelle und sagt nichts über das Risiko des Lieferanten.</w:t>
      </w:r>
    </w:p>
    <w:p>
      <w:pPr>
        <w:pStyle w:val="ListBullet"/>
        <w:numPr>
          <w:ilvl w:val="0"/>
          <w:numId w:val="1"/>
        </w:numPr>
      </w:pPr>
      <w:r>
        <w:t xml:space="preserve">Es werden nur die zehn grössten Lieferanten gezeigt.</w:t>
      </w:r>
    </w:p>
    <w:p>
      <w:pPr>
        <w:pStyle w:val="Heading2"/>
      </w:pPr>
      <w:r>
        <w:t xml:space="preserve">Ideen: Datenqualität</w:t>
      </w:r>
    </w:p>
    <w:p>
      <w:pPr>
        <w:pStyle w:val="Heading3"/>
      </w:pPr>
      <w:r>
        <w:t xml:space="preserve">Wozu</w:t>
      </w:r>
    </w:p>
    <w:p>
      <w:r>
        <w:t xml:space="preserve">Die Seite zählt Lücken in den Einkaufsdaten, damit Auswertungen nicht auf unvollständigen Daten beruhen.</w:t>
      </w:r>
    </w:p>
    <w:p>
      <w:pPr>
        <w:pStyle w:val="Heading3"/>
      </w:pPr>
      <w:r>
        <w:t xml:space="preserve">Was man sieht</w:t>
      </w:r>
    </w:p>
    <w:p>
      <w:r>
        <w:t xml:space="preserve">Vier Kennzahlen: Prüfungen, Fehler gesamt, Anzahl Positionen und Anzahl Bestellköpfe. Das Diagramm und die Liste zeigen die Prüfungen: fehlender Lieferant, fehlende Warengruppe, fehlender Artikel oder Text, Nullmenge und Nullwert. Zu jeder Prüfung gibt es eine Ampel.</w:t>
      </w:r>
    </w:p>
    <w:p>
      <w:pPr>
        <w:pStyle w:val="Heading3"/>
      </w:pPr>
      <w:r>
        <w:t xml:space="preserve">Wie gerechnet wird</w:t>
      </w:r>
    </w:p>
    <w:p>
      <w:r>
        <w:t xml:space="preserve">Gezählt werden Zeilen im gesamten gespeicherten Bestand, ohne Zeitraumfilter und ohne Rücksicht darauf, ob die Position storniert ist. Bei fehlendem Lieferanten und fehlendem Artikel steht die Ampel bei jedem Fund auf rot, bei den anderen Prüfungen auf gelb.</w:t>
      </w:r>
    </w:p>
    <w:p>
      <w:pPr>
        <w:pStyle w:val="Heading3"/>
      </w:pPr>
      <w:r>
        <w:t xml:space="preserve">Einsatz im Arbeitsalltag</w:t>
      </w:r>
    </w:p>
    <w:p>
      <w:r>
        <w:rPr>
          <w:b/>
        </w:rPr>
        <w:t xml:space="preserve">Key-User Einkauf:</w:t>
      </w:r>
      <w:r>
        <w:t xml:space="preserve"> Die Seite zeigt, wo die Stammdaten- oder Belegpflege in SAP nachzubessern ist. Nach der Korrektur ist ein Full Load nötig, damit die Zahl sinkt.</w:t>
      </w:r>
    </w:p>
    <w:p>
      <w:r>
        <w:rPr>
          <w:b/>
        </w:rPr>
        <w:t xml:space="preserve">Controller:</w:t>
      </w:r>
      <w:r>
        <w:t xml:space="preserve"> Eine hohe Zahl bei «Nullwert» erklärt, warum manche Auswertungen weniger Spend zeigen als erwartet.</w:t>
      </w:r>
    </w:p>
    <w:p>
      <w:pPr>
        <w:pStyle w:val="Heading3"/>
      </w:pPr>
      <w:r>
        <w:t xml:space="preserve">Grenzen und Fallstricke</w:t>
      </w:r>
    </w:p>
    <w:p>
      <w:pPr>
        <w:pStyle w:val="ListBullet"/>
        <w:numPr>
          <w:ilvl w:val="0"/>
          <w:numId w:val="1"/>
        </w:numPr>
      </w:pPr>
      <w:r>
        <w:t xml:space="preserve">Die Zahlen folgen nicht dem Zeitraumfilter, sie sind Bestandszahlen.</w:t>
      </w:r>
    </w:p>
    <w:p>
      <w:pPr>
        <w:pStyle w:val="ListBullet"/>
        <w:numPr>
          <w:ilvl w:val="0"/>
          <w:numId w:val="1"/>
        </w:numPr>
      </w:pPr>
      <w:r>
        <w:t xml:space="preserve">Nullwert und Nullmenge können fachlich korrekt sein, zum Beispiel bei Gratislieferungen oder Textpositionen.</w:t>
      </w:r>
    </w:p>
    <w:p>
      <w:pPr>
        <w:pStyle w:val="Heading2"/>
      </w:pPr>
      <w:r>
        <w:t xml:space="preserve">Kennzahlen-Katalog</w:t>
      </w:r>
    </w:p>
    <w:p>
      <w:pPr>
        <w:pStyle w:val="Heading3"/>
      </w:pPr>
      <w:r>
        <w:t xml:space="preserve">Wozu</w:t>
      </w:r>
    </w:p>
    <w:p>
      <w:r>
        <w:t xml:space="preserve">Der Katalog ist der fachliche Ausbauplan des Moduls: eine Tabelle aller geplanten und umgesetzten Kennzahlen mit Dimension, Datenbasis und Umsetzungsstand.</w:t>
      </w:r>
    </w:p>
    <w:p>
      <w:pPr>
        <w:pStyle w:val="Heading3"/>
      </w:pPr>
      <w:r>
        <w:t xml:space="preserve">Was man sieht</w:t>
      </w:r>
    </w:p>
    <w:p>
      <w:r>
        <w:t xml:space="preserve">Eine Tabelle mit den Spalten Analyse, Kennzahl, Dimension, Datenbasis und Status. Der Status ist eine Marke, zum Beispiel «bereit», «teilweise», «wartet auf EKET» oder «Konzept».</w:t>
      </w:r>
    </w:p>
    <w:p>
      <w:pPr>
        <w:pStyle w:val="Heading3"/>
      </w:pPr>
      <w:r>
        <w:t xml:space="preserve">Wie gerechnet wird</w:t>
      </w:r>
    </w:p>
    <w:p>
      <w:r>
        <w:t xml:space="preserve">Der Katalog rechnet nichts. Der Status hängt davon ab, ob die nötigen Quellen geladen sind.</w:t>
      </w:r>
    </w:p>
    <w:p>
      <w:pPr>
        <w:pStyle w:val="Heading3"/>
      </w:pPr>
      <w:r>
        <w:t xml:space="preserve">Einsatz im Arbeitsalltag</w:t>
      </w:r>
    </w:p>
    <w:p>
      <w:r>
        <w:rPr>
          <w:b/>
        </w:rPr>
        <w:t xml:space="preserve">Controller und Einkaufsleiter:</w:t>
      </w:r>
      <w:r>
        <w:t xml:space="preserve"> Vor der Abnahme von Auswertungen sieht man, welche Kennzahl tatsächlich berechnet wird und welche nur geplant ist.</w:t>
      </w:r>
    </w:p>
    <w:p>
      <w:pPr>
        <w:pStyle w:val="Heading3"/>
      </w:pPr>
      <w:r>
        <w:t xml:space="preserve">Grenzen und Fallstricke</w:t>
      </w:r>
    </w:p>
    <w:p>
      <w:pPr>
        <w:pStyle w:val="ListBullet"/>
        <w:numPr>
          <w:ilvl w:val="0"/>
          <w:numId w:val="1"/>
        </w:numPr>
      </w:pPr>
      <w:r>
        <w:t xml:space="preserve">Der Katalog zeigt den Soll- und Planungsstand. Massgebend für die Zahlen sind die Seiten selbst.</w:t>
      </w:r>
    </w:p>
    <w:p>
      <w:pPr>
        <w:pStyle w:val="Heading2"/>
      </w:pPr>
      <w:r>
        <w:t xml:space="preserve">PBIX Vorlage</w:t>
      </w:r>
    </w:p>
    <w:p>
      <w:pPr>
        <w:pStyle w:val="Heading3"/>
      </w:pPr>
      <w:r>
        <w:t xml:space="preserve">Wozu</w:t>
      </w:r>
    </w:p>
    <w:p>
      <w:r>
        <w:t xml:space="preserve">Die Seite zeigt, welche Seiten aus der bisherigen Power-BI-Datei in das Cockpit übernommen wurden, damit sich die Zahlen vergleichen lassen.</w:t>
      </w:r>
    </w:p>
    <w:p>
      <w:pPr>
        <w:pStyle w:val="Heading3"/>
      </w:pPr>
      <w:r>
        <w:t xml:space="preserve">Was man sieht</w:t>
      </w:r>
    </w:p>
    <w:p>
      <w:r>
        <w:t xml:space="preserve">Eine Tabelle mit sieben Power-BI-Seiten (zum Beispiel «Besch.Volumen CHF/Lieferant», «Preisentwicklung CHF», «Matrix Vol./WG»), den Visualtypen, dem Mass und den Dimensionen.</w:t>
      </w:r>
    </w:p>
    <w:p>
      <w:pPr>
        <w:pStyle w:val="Heading3"/>
      </w:pPr>
      <w:r>
        <w:t xml:space="preserve">Wie gerechnet wird</w:t>
      </w:r>
    </w:p>
    <w:p>
      <w:r>
        <w:t xml:space="preserve">Es wird nichts gerechnet. Die Seite dokumentiert die Herkunft. Bei der Preisentwicklung verwendete Power BI das Minimum des Netto-Stückpreises, das Cockpit rechnet heute den mengengewichteten Durchschnitt.</w:t>
      </w:r>
    </w:p>
    <w:p>
      <w:pPr>
        <w:pStyle w:val="Heading3"/>
      </w:pPr>
      <w:r>
        <w:t xml:space="preserve">Einsatz im Arbeitsalltag</w:t>
      </w:r>
    </w:p>
    <w:p>
      <w:r>
        <w:rPr>
          <w:b/>
        </w:rPr>
        <w:t xml:space="preserve">Controller:</w:t>
      </w:r>
      <w:r>
        <w:t xml:space="preserve"> Weicht eine Zahl vom Power-BI-Bericht ab, zeigt die Seite, welche Seite und welches Mass verglichen werden müssen.</w:t>
      </w:r>
    </w:p>
    <w:p>
      <w:pPr>
        <w:pStyle w:val="Heading3"/>
      </w:pPr>
      <w:r>
        <w:t xml:space="preserve">Grenzen und Fallstricke</w:t>
      </w:r>
    </w:p>
    <w:p>
      <w:pPr>
        <w:pStyle w:val="ListBullet"/>
        <w:numPr>
          <w:ilvl w:val="0"/>
          <w:numId w:val="1"/>
        </w:numPr>
      </w:pPr>
      <w:r>
        <w:t xml:space="preserve">Unterschiede zu Power BI sind möglich, weil das Cockpit Anfragen, Kontrakte und Umlagerungen ausschliesst und mit dem Belegkurs rechnet.</w:t>
      </w:r>
    </w:p>
    <w:p>
      <w:pPr>
        <w:pStyle w:val="Heading2"/>
      </w:pPr>
      <w:r>
        <w:t xml:space="preserve">3D Simulation</w:t>
      </w:r>
    </w:p>
    <w:p>
      <w:pPr>
        <w:pStyle w:val="Heading3"/>
      </w:pPr>
      <w:r>
        <w:t xml:space="preserve">Wozu</w:t>
      </w:r>
    </w:p>
    <w:p>
      <w:r>
        <w:t xml:space="preserve">Die Seite stellt Einkaufskennzahlen räumlich dar und erlaubt, Preis- oder Kursannahmen spielerisch durchzurechnen.</w:t>
      </w:r>
    </w:p>
    <w:p>
      <w:pPr>
        <w:pStyle w:val="Heading3"/>
      </w:pPr>
      <w:r>
        <w:t xml:space="preserve">Was man sieht</w:t>
      </w:r>
    </w:p>
    <w:p>
      <w:r>
        <w:t xml:space="preserve">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pPr>
        <w:pStyle w:val="Heading3"/>
      </w:pPr>
      <w:r>
        <w:t xml:space="preserve">Wie gerechnet wird</w:t>
      </w:r>
    </w:p>
    <w:p>
      <w:r>
        <w:t xml:space="preserve">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pPr>
        <w:pStyle w:val="Heading3"/>
      </w:pPr>
      <w:r>
        <w:t xml:space="preserve">Einsatz im Arbeitsalltag</w:t>
      </w:r>
    </w:p>
    <w:p>
      <w:r>
        <w:rPr>
          <w:b/>
        </w:rPr>
        <w:t xml:space="preserve">Controller:</w:t>
      </w:r>
      <w:r>
        <w:t xml:space="preserve"> Für die Frage «Was passiert, wenn alle Preise um 10 Prozent steigen?» liefert der Regler eine schnelle Grössenordnung.</w:t>
      </w:r>
    </w:p>
    <w:p>
      <w:r>
        <w:rPr>
          <w:b/>
        </w:rPr>
        <w:t xml:space="preserve">Geschäftsleitung:</w:t>
      </w:r>
      <w:r>
        <w:t xml:space="preserve"> Die Grafik eignet sich zur Präsentation.</w:t>
      </w:r>
    </w:p>
    <w:p>
      <w:pPr>
        <w:pStyle w:val="Heading3"/>
      </w:pPr>
      <w:r>
        <w:t xml:space="preserve">Grenzen und Fallstricke</w:t>
      </w:r>
    </w:p>
    <w:p>
      <w:pPr>
        <w:pStyle w:val="ListBullet"/>
        <w:numPr>
          <w:ilvl w:val="0"/>
          <w:numId w:val="1"/>
        </w:numPr>
      </w:pPr>
      <w:r>
        <w:t xml:space="preserve">Das ist eine Spielwiese und keine Planung.</w:t>
      </w:r>
    </w:p>
    <w:p>
      <w:pPr>
        <w:pStyle w:val="ListBullet"/>
        <w:numPr>
          <w:ilvl w:val="0"/>
          <w:numId w:val="1"/>
        </w:numPr>
      </w:pPr>
      <w:r>
        <w:t xml:space="preserve">Für die Indikatoren «Offene Menge» und «Lieferantenperformance» gibt es keine Livewerte. Die Grafik zeigt dort feste Beispielzahlen (Simulation) und ist keine Aussage über Trafag.</w:t>
      </w:r>
    </w:p>
    <w:p>
      <w:pPr>
        <w:pStyle w:val="ListBullet"/>
        <w:numPr>
          <w:ilvl w:val="0"/>
          <w:numId w:val="1"/>
        </w:numPr>
      </w:pPr>
      <w:r>
        <w:t xml:space="preserve">Ohne geladenen Bestand zeigen auch die anderen Indikatoren Beispielwerte.</w:t>
      </w:r>
    </w:p>
    <w:p>
      <w:pPr>
        <w:pStyle w:val="Heading2"/>
      </w:pPr>
      <w:r>
        <w:t xml:space="preserve">Interaktiv</w:t>
      </w:r>
    </w:p>
    <w:p>
      <w:pPr>
        <w:pStyle w:val="Heading3"/>
      </w:pPr>
      <w:r>
        <w:t xml:space="preserve">Wozu</w:t>
      </w:r>
    </w:p>
    <w:p>
      <w:r>
        <w:t xml:space="preserve">«Interaktiv»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pPr>
        <w:pStyle w:val="Heading3"/>
      </w:pPr>
      <w:r>
        <w:t xml:space="preserve">Was man sieht</w:t>
      </w:r>
    </w:p>
    <w:p>
      <w:r>
        <w:t xml:space="preserve">Oben wählt man eine von neun Ansichten:</w:t>
      </w:r>
    </w:p>
    <w:p>
      <w:pPr>
        <w:pStyle w:val="ListBullet"/>
        <w:numPr>
          <w:ilvl w:val="0"/>
          <w:numId w:val="1"/>
        </w:numPr>
      </w:pPr>
      <w:r>
        <w:rPr>
          <w:b/>
        </w:rPr>
        <w:t xml:space="preserve">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pPr>
        <w:pStyle w:val="ListBullet"/>
        <w:numPr>
          <w:ilvl w:val="0"/>
          <w:numId w:val="1"/>
        </w:numPr>
      </w:pPr>
      <w:r>
        <w:rPr>
          <w:b/>
        </w:rPr>
        <w:t xml:space="preserve">Rennen:</w:t>
      </w:r>
      <w:r>
        <w:t xml:space="preserve"> Die Top 15 nach Einkaufsvolumen der jeweils letzten drei Monate, wählbar nach Lieferanten, Warengruppen oder Ländern. Die Balken überholen sich im Zeitverlauf.</w:t>
      </w:r>
    </w:p>
    <w:p>
      <w:pPr>
        <w:pStyle w:val="ListBullet"/>
        <w:numPr>
          <w:ilvl w:val="0"/>
          <w:numId w:val="1"/>
        </w:numPr>
      </w:pPr>
      <w:r>
        <w:rPr>
          <w:b/>
        </w:rPr>
        <w:t xml:space="preserve">Einkaufsfluss:</w:t>
      </w:r>
      <w:r>
        <w:t xml:space="preserve"> Ein Flussdiagramm vom Buchungskreis über die Hauptwarengruppe zum Lieferland (Top 12) der letzten 12 Monate.</w:t>
      </w:r>
    </w:p>
    <w:p>
      <w:pPr>
        <w:pStyle w:val="ListBullet"/>
        <w:numPr>
          <w:ilvl w:val="0"/>
          <w:numId w:val="1"/>
        </w:numPr>
      </w:pPr>
      <w:r>
        <w:rPr>
          <w:b/>
        </w:rPr>
        <w:t xml:space="preserve">Sonnenstrahl:</w:t>
      </w:r>
      <w:r>
        <w:t xml:space="preserve"> Ringe von innen nach aussen: Buchungskreise, Hauptwarengruppen, Lieferanten (je Gruppe die acht grössten). Ein Klick zoomt hinein.</w:t>
      </w:r>
    </w:p>
    <w:p>
      <w:pPr>
        <w:pStyle w:val="ListBullet"/>
        <w:numPr>
          <w:ilvl w:val="0"/>
          <w:numId w:val="1"/>
        </w:numPr>
      </w:pPr>
      <w:r>
        <w:rPr>
          <w:b/>
        </w:rPr>
        <w:t xml:space="preserve">Was wäre wenn:</w:t>
      </w:r>
      <w:r>
        <w:t xml:space="preserve"> Hochrechnung des Einkaufsvolumens mit Hebeln für Preis und Menge, für alle oder einzelne Hauptwarengruppen, und einem Währungshebel auf den Fremdwährungsanteil.</w:t>
      </w:r>
    </w:p>
    <w:p>
      <w:pPr>
        <w:pStyle w:val="ListBullet"/>
        <w:numPr>
          <w:ilvl w:val="0"/>
          <w:numId w:val="1"/>
        </w:numPr>
      </w:pPr>
      <w:r>
        <w:rPr>
          <w:b/>
        </w:rPr>
        <w:t xml:space="preserve">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pPr>
        <w:pStyle w:val="ListBullet"/>
        <w:numPr>
          <w:ilvl w:val="0"/>
          <w:numId w:val="1"/>
        </w:numPr>
      </w:pPr>
      <w:r>
        <w:rPr>
          <w:b/>
        </w:rPr>
        <w:t xml:space="preserve">Kalender:</w:t>
      </w:r>
      <w:r>
        <w:t xml:space="preserve"> Ein Kästchen je Bestelltag, Farbe nach Bestellwert. Ein Klick listet die Bestellungen des Tages.</w:t>
      </w:r>
    </w:p>
    <w:p>
      <w:pPr>
        <w:pStyle w:val="ListBullet"/>
        <w:numPr>
          <w:ilvl w:val="0"/>
          <w:numId w:val="1"/>
        </w:numPr>
      </w:pPr>
      <w:r>
        <w:rPr>
          <w:b/>
        </w:rPr>
        <w:t xml:space="preserve">Warengruppen-Netzwerk:</w:t>
      </w:r>
      <w:r>
        <w:t xml:space="preserve"> Die 40 Warengruppen mit den meisten Lieferanten. Eine Linie verbindet zwei Gruppen, wenn mindestens so viele Lieferanten (einstellbar) beide Gruppen liefern.</w:t>
      </w:r>
    </w:p>
    <w:p>
      <w:pPr>
        <w:pStyle w:val="ListBullet"/>
        <w:numPr>
          <w:ilvl w:val="0"/>
          <w:numId w:val="1"/>
        </w:numPr>
      </w:pPr>
      <w:r>
        <w:rPr>
          <w:b/>
        </w:rPr>
        <w:t xml:space="preserve">3D-Landschaft:</w:t>
      </w:r>
      <w:r>
        <w:t xml:space="preserve"> Säulen je Monat und Hauptwarengruppe, drehbar. Die Höhe folgt der Wurzel des Werts, damit kleine Werte sichtbar bleiben.</w:t>
      </w:r>
    </w:p>
    <w:p>
      <w:pPr>
        <w:pStyle w:val="Heading3"/>
      </w:pPr>
      <w:r>
        <w:t xml:space="preserve">Wie gerechnet wird</w:t>
      </w:r>
    </w:p>
    <w:p>
      <w:r>
        <w:t xml:space="preserve">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pPr>
        <w:pStyle w:val="Heading3"/>
      </w:pPr>
      <w:r>
        <w:t xml:space="preserve">Einsatz im Arbeitsalltag</w:t>
      </w:r>
    </w:p>
    <w:p>
      <w:r>
        <w:rPr>
          <w:b/>
        </w:rPr>
        <w:t xml:space="preserve">Einkaufsleiter:</w:t>
      </w:r>
      <w:r>
        <w:t xml:space="preserve"> Die Galaxie zeigt auf einen Blick, welche Lieferanten stark wachsen oder einbrechen. Der Bestellrhythmus zeigt auslaufende Beziehungen oder fällige Nachbestellungen.</w:t>
      </w:r>
    </w:p>
    <w:p>
      <w:r>
        <w:rPr>
          <w:b/>
        </w:rPr>
        <w:t xml:space="preserve">Controller:</w:t>
      </w:r>
      <w:r>
        <w:t xml:space="preserve"> Der Simulator liefert die Grössenordnung, wenn Preise oder Währungen sich ändern. Steigt eine Fremdwährung, wird der Einkauf teurer, deshalb gilt im Simulator ein Rückgang als gut.</w:t>
      </w:r>
    </w:p>
    <w:p>
      <w:r>
        <w:rPr>
          <w:b/>
        </w:rPr>
        <w:t xml:space="preserve">Einkäufer:</w:t>
      </w:r>
      <w:r>
        <w:t xml:space="preserve"> Das Warengruppen-Netzwerk zeigt, wo Lieferanten breit aufgestellt sind und sich Bestellungen bündeln lassen.</w:t>
      </w:r>
    </w:p>
    <w:p>
      <w:pPr>
        <w:pStyle w:val="Heading3"/>
      </w:pPr>
      <w:r>
        <w:t xml:space="preserve">Grenzen und Fallstricke</w:t>
      </w:r>
    </w:p>
    <w:p>
      <w:pPr>
        <w:pStyle w:val="ListBullet"/>
        <w:numPr>
          <w:ilvl w:val="0"/>
          <w:numId w:val="1"/>
        </w:numPr>
      </w:pPr>
      <w:r>
        <w:t xml:space="preserve">Es geht um Bestellvolumen, nicht um Wareneingang oder offene Mengen. Die Regel zu endgelieferten Positionen spielt hier keine Rolle.</w:t>
      </w:r>
    </w:p>
    <w:p>
      <w:pPr>
        <w:pStyle w:val="ListBullet"/>
        <w:numPr>
          <w:ilvl w:val="0"/>
          <w:numId w:val="1"/>
        </w:numPr>
      </w:pPr>
      <w:r>
        <w:t xml:space="preserve">Der Simulator ist eine Spielwiese und keine Planung. Der Rhythmus kennt keine Saison und keine Rahmenverträge.</w:t>
      </w:r>
    </w:p>
    <w:p>
      <w:pPr>
        <w:pStyle w:val="ListBullet"/>
        <w:numPr>
          <w:ilvl w:val="0"/>
          <w:numId w:val="1"/>
        </w:numPr>
      </w:pPr>
      <w:r>
        <w:t xml:space="preserve">Galaxie und Rhythmus brauchen Daten über mehrere Quartale. Das laufende Quartal ist als unvollständig gekennzeichnet.</w:t>
      </w:r>
    </w:p>
    <w:p>
      <w:pPr>
        <w:pStyle w:val="ListBullet"/>
        <w:numPr>
          <w:ilvl w:val="0"/>
          <w:numId w:val="1"/>
        </w:numPr>
      </w:pPr>
      <w:r>
        <w:t xml:space="preserve">Das Netzwerk ist nicht per Ziehen veränderbar.</w:t>
      </w:r>
    </w:p>
    <w:p>
      <w:pPr>
        <w:pStyle w:val="Heading2"/>
      </w:pPr>
      <w:r>
        <w:t xml:space="preserve">Datenquellen</w:t>
      </w:r>
    </w:p>
    <w:p>
      <w:pPr>
        <w:pStyle w:val="Heading3"/>
      </w:pPr>
      <w:r>
        <w:t xml:space="preserve">Wozu</w:t>
      </w:r>
    </w:p>
    <w:p>
      <w:r>
        <w:t xml:space="preserve">Die Seite pflegt die Verbindung zwischen dem Cockpit und dem SAP-System für den Einkauf und startet die Ladeläufe. Sie richtet sich an Administratoren und Key-User, nicht an Endanwender.</w:t>
      </w:r>
    </w:p>
    <w:p>
      <w:pPr>
        <w:pStyle w:val="Heading3"/>
      </w:pPr>
      <w:r>
        <w:t xml:space="preserve">Was man sieht</w:t>
      </w:r>
    </w:p>
    <w:p>
      <w:r>
        <w:t xml:space="preserve">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pPr>
        <w:pStyle w:val="Heading3"/>
      </w:pPr>
      <w:r>
        <w:t xml:space="preserve">Wie gerechnet wird</w:t>
      </w:r>
    </w:p>
    <w:p>
      <w:r>
        <w:t xml:space="preserve">Hier wird nichts gerechnet. Ein Full Load ist der vollständige Neuaufbau und aufwendig, der Delta-Lauf holt nur neue und geänderte Belege. Nachts läuft automatisch ein Delta, solange die Einkaufsquelle aktiv ist.</w:t>
      </w:r>
    </w:p>
    <w:p>
      <w:pPr>
        <w:pStyle w:val="Heading3"/>
      </w:pPr>
      <w:r>
        <w:t xml:space="preserve">Einsatz im Arbeitsalltag</w:t>
      </w:r>
    </w:p>
    <w:p>
      <w:r>
        <w:rPr>
          <w:b/>
        </w:rPr>
        <w:t xml:space="preserve">Administrator:</w:t>
      </w:r>
      <w:r>
        <w:t xml:space="preserve"> Bei Störungen zuerst «Verbindung testen» ausführen und den Status des letzten Laufs prüfen. Einen Full Load nur nach Absprache mit dem Einkauf starten.</w:t>
      </w:r>
    </w:p>
    <w:p>
      <w:pPr>
        <w:pStyle w:val="Heading3"/>
      </w:pPr>
      <w:r>
        <w:t xml:space="preserve">Grenzen und Fallstricke</w:t>
      </w:r>
    </w:p>
    <w:p>
      <w:pPr>
        <w:pStyle w:val="ListBullet"/>
        <w:numPr>
          <w:ilvl w:val="0"/>
          <w:numId w:val="1"/>
        </w:numPr>
      </w:pPr>
      <w:r>
        <w:t xml:space="preserve">Leere Override-Felder bedeuten, dass die zentrale SAP-Verbindung gilt.</w:t>
      </w:r>
    </w:p>
    <w:p>
      <w:pPr>
        <w:pStyle w:val="ListBullet"/>
        <w:numPr>
          <w:ilvl w:val="0"/>
          <w:numId w:val="1"/>
        </w:numPr>
      </w:pPr>
      <w:r>
        <w:t xml:space="preserve">Fiel der nächtliche Lauf aus, bleiben die Zahlen auf dem alten Stand. Das Datum des letzten erfolgreichen Laufs steht auf dem Dashboard.</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Bestellwert / Spend</w:t>
            </w:r>
          </w:p>
        </w:tc>
        <w:tc>
          <w:tcPr>
            <w:tcW w:w="3102" w:type="dxa"/>
          </w:tcPr>
          <w:p>
            <w:pPr>
              <w:pStyle w:val="TableText"/>
            </w:pPr>
            <w:r>
              <w:t xml:space="preserve">Bestelltes Volumen im Zeitraum, kein Wareneingang und keine Rechnung</w:t>
            </w:r>
          </w:p>
        </w:tc>
        <w:tc>
          <w:tcPr>
            <w:tcW w:w="3102" w:type="dxa"/>
          </w:tcPr>
          <w:p>
            <w:pPr>
              <w:pStyle w:val="TableText"/>
            </w:pPr>
            <w:r>
              <w:t xml:space="preserve">Summe der Netto-Positionswerte aller Bestellungen mit Bestelldatum im Zeitraum, in CHF zum Belegkurs, ohne stornierte Positionen</w:t>
            </w:r>
          </w:p>
        </w:tc>
      </w:tr>
      <w:tr>
        <w:tc>
          <w:tcPr>
            <w:tcW w:w="3102" w:type="dxa"/>
          </w:tcPr>
          <w:p>
            <w:pPr>
              <w:pStyle w:val="TableText"/>
            </w:pPr>
            <w:r>
              <w:t xml:space="preserve">Bestellungen</w:t>
            </w:r>
          </w:p>
        </w:tc>
        <w:tc>
          <w:tcPr>
            <w:tcW w:w="3102" w:type="dxa"/>
          </w:tcPr>
          <w:p>
            <w:pPr>
              <w:pStyle w:val="TableText"/>
            </w:pPr>
            <w:r>
              <w:t xml:space="preserve">Anzahl Bestellbelege im Zeitraum</w:t>
            </w:r>
          </w:p>
        </w:tc>
        <w:tc>
          <w:tcPr>
            <w:tcW w:w="3102" w:type="dxa"/>
          </w:tcPr>
          <w:p>
            <w:pPr>
              <w:pStyle w:val="TableText"/>
            </w:pPr>
            <w:r>
              <w:t xml:space="preserve">Unterschiedliche Bestellnummern, eine Bestellung zählt einmal</w:t>
            </w:r>
          </w:p>
        </w:tc>
      </w:tr>
      <w:tr>
        <w:tc>
          <w:tcPr>
            <w:tcW w:w="3102" w:type="dxa"/>
          </w:tcPr>
          <w:p>
            <w:pPr>
              <w:pStyle w:val="TableText"/>
            </w:pPr>
            <w:r>
              <w:t xml:space="preserve">Aktive Lieferanten</w:t>
            </w:r>
          </w:p>
        </w:tc>
        <w:tc>
          <w:tcPr>
            <w:tcW w:w="3102" w:type="dxa"/>
          </w:tcPr>
          <w:p>
            <w:pPr>
              <w:pStyle w:val="TableText"/>
            </w:pPr>
            <w:r>
              <w:t xml:space="preserve">Lieferanten, bei denen im Zeitraum bestellt wurde</w:t>
            </w:r>
          </w:p>
        </w:tc>
        <w:tc>
          <w:tcPr>
            <w:tcW w:w="3102" w:type="dxa"/>
          </w:tcPr>
          <w:p>
            <w:pPr>
              <w:pStyle w:val="TableText"/>
            </w:pPr>
            <w:r>
              <w:t xml:space="preserve">Unterschiedliche Lieferanten mit mindestens einer Position ungleich null</w:t>
            </w:r>
          </w:p>
        </w:tc>
      </w:tr>
      <w:tr>
        <w:tc>
          <w:tcPr>
            <w:tcW w:w="3102" w:type="dxa"/>
          </w:tcPr>
          <w:p>
            <w:pPr>
              <w:pStyle w:val="TableText"/>
            </w:pPr>
            <w:r>
              <w:t xml:space="preserve">Offene Menge</w:t>
            </w:r>
          </w:p>
        </w:tc>
        <w:tc>
          <w:tcPr>
            <w:tcW w:w="3102" w:type="dxa"/>
          </w:tcPr>
          <w:p>
            <w:pPr>
              <w:pStyle w:val="TableText"/>
            </w:pPr>
            <w:r>
              <w:t xml:space="preserve">Bestellt, aber noch nicht im Wareneingang gebucht</w:t>
            </w:r>
          </w:p>
        </w:tc>
        <w:tc>
          <w:tcPr>
            <w:tcW w:w="3102" w:type="dxa"/>
          </w:tcPr>
          <w:p>
            <w:pPr>
              <w:pStyle w:val="TableText"/>
            </w:pPr>
            <w:r>
              <w:t xml:space="preserve">Je Liefereinteilung eingeplante Menge minus gebuchte Wareneingangsmenge, nie negativ</w:t>
            </w:r>
          </w:p>
        </w:tc>
      </w:tr>
      <w:tr>
        <w:tc>
          <w:tcPr>
            <w:tcW w:w="3102" w:type="dxa"/>
          </w:tcPr>
          <w:p>
            <w:pPr>
              <w:pStyle w:val="TableText"/>
            </w:pPr>
            <w:r>
              <w:t xml:space="preserve">Offener Bestellwert</w:t>
            </w:r>
          </w:p>
        </w:tc>
        <w:tc>
          <w:tcPr>
            <w:tcW w:w="3102" w:type="dxa"/>
          </w:tcPr>
          <w:p>
            <w:pPr>
              <w:pStyle w:val="TableText"/>
            </w:pPr>
            <w:r>
              <w:t xml:space="preserve">Wert des noch ausstehenden Zulaufs</w:t>
            </w:r>
          </w:p>
        </w:tc>
        <w:tc>
          <w:tcPr>
            <w:tcW w:w="3102" w:type="dxa"/>
          </w:tcPr>
          <w:p>
            <w:pPr>
              <w:pStyle w:val="TableText"/>
            </w:pPr>
            <w:r>
              <w:t xml:space="preserve">Offene Menge mal Stückwert in CHF. Zeitraumunabhängig, ohne endgelieferte, stornierte und gesperrte Positionen, nur Bestellungen</w:t>
            </w:r>
          </w:p>
        </w:tc>
      </w:tr>
      <w:tr>
        <w:tc>
          <w:tcPr>
            <w:tcW w:w="3102" w:type="dxa"/>
          </w:tcPr>
          <w:p>
            <w:pPr>
              <w:pStyle w:val="TableText"/>
            </w:pPr>
            <w:r>
              <w:t xml:space="preserve">Überfälliger Wert</w:t>
            </w:r>
          </w:p>
        </w:tc>
        <w:tc>
          <w:tcPr>
            <w:tcW w:w="3102" w:type="dxa"/>
          </w:tcPr>
          <w:p>
            <w:pPr>
              <w:pStyle w:val="TableText"/>
            </w:pPr>
            <w:r>
              <w:t xml:space="preserve">Teil des offenen Werts mit überschrittenem Plantermin</w:t>
            </w:r>
          </w:p>
        </w:tc>
        <w:tc>
          <w:tcPr>
            <w:tcW w:w="3102" w:type="dxa"/>
          </w:tcPr>
          <w:p>
            <w:pPr>
              <w:pStyle w:val="TableText"/>
            </w:pPr>
            <w:r>
              <w:t xml:space="preserve">Offener Wert der Einteilungen mit Liefertermin vor heute</w:t>
            </w:r>
          </w:p>
        </w:tc>
      </w:tr>
      <w:tr>
        <w:tc>
          <w:tcPr>
            <w:tcW w:w="3102" w:type="dxa"/>
          </w:tcPr>
          <w:p>
            <w:pPr>
              <w:pStyle w:val="TableText"/>
            </w:pPr>
            <w:r>
              <w:t xml:space="preserve">Offener Wert der Kontraktabrufe</w:t>
            </w:r>
          </w:p>
        </w:tc>
        <w:tc>
          <w:tcPr>
            <w:tcW w:w="3102" w:type="dxa"/>
          </w:tcPr>
          <w:p>
            <w:pPr>
              <w:pStyle w:val="TableText"/>
            </w:pPr>
            <w:r>
              <w:t xml:space="preserve">Näherung für offene Abrufe zu Rahmenverträgen</w:t>
            </w:r>
          </w:p>
        </w:tc>
        <w:tc>
          <w:tcPr>
            <w:tcW w:w="3102" w:type="dxa"/>
          </w:tcPr>
          <w:p>
            <w:pPr>
              <w:pStyle w:val="TableText"/>
            </w:pPr>
            <w:r>
              <w:t xml:space="preserve">Offener Wert, beschränkt auf Bestellungen mit Kontraktbezug</w:t>
            </w:r>
          </w:p>
        </w:tc>
      </w:tr>
      <w:tr>
        <w:tc>
          <w:tcPr>
            <w:tcW w:w="3102" w:type="dxa"/>
          </w:tcPr>
          <w:p>
            <w:pPr>
              <w:pStyle w:val="TableText"/>
            </w:pPr>
            <w:r>
              <w:t xml:space="preserve">Stückwert in CHF</w:t>
            </w:r>
          </w:p>
        </w:tc>
        <w:tc>
          <w:tcPr>
            <w:tcW w:w="3102" w:type="dxa"/>
          </w:tcPr>
          <w:p>
            <w:pPr>
              <w:pStyle w:val="TableText"/>
            </w:pPr>
            <w:r>
              <w:t xml:space="preserve">Preis je Einheit einer Position</w:t>
            </w:r>
          </w:p>
        </w:tc>
        <w:tc>
          <w:tcPr>
            <w:tcW w:w="3102" w:type="dxa"/>
          </w:tcPr>
          <w:p>
            <w:pPr>
              <w:pStyle w:val="TableText"/>
            </w:pPr>
            <w:r>
              <w:t xml:space="preserve">Positionswert in CHF geteilt durch Bestellmenge, null bei Menge null</w:t>
            </w:r>
          </w:p>
        </w:tc>
      </w:tr>
      <w:tr>
        <w:tc>
          <w:tcPr>
            <w:tcW w:w="3102" w:type="dxa"/>
          </w:tcPr>
          <w:p>
            <w:pPr>
              <w:pStyle w:val="TableText"/>
            </w:pPr>
            <w:r>
              <w:t xml:space="preserve">Preisindikator</w:t>
            </w:r>
          </w:p>
        </w:tc>
        <w:tc>
          <w:tcPr>
            <w:tcW w:w="3102" w:type="dxa"/>
          </w:tcPr>
          <w:p>
            <w:pPr>
              <w:pStyle w:val="TableText"/>
            </w:pPr>
            <w:r>
              <w:t xml:space="preserve">Preisniveau und Preisveränderung</w:t>
            </w:r>
          </w:p>
        </w:tc>
        <w:tc>
          <w:tcPr>
            <w:tcW w:w="3102" w:type="dxa"/>
          </w:tcPr>
          <w:p>
            <w:pPr>
              <w:pStyle w:val="TableText"/>
            </w:pPr>
            <w:r>
              <w:t xml:space="preserve">Mengengewichteter Durchschnitts-Stückpreis des jüngsten Jahres, mit Veränderung zum Vorjahr</w:t>
            </w:r>
          </w:p>
        </w:tc>
      </w:tr>
      <w:tr>
        <w:tc>
          <w:tcPr>
            <w:tcW w:w="3102" w:type="dxa"/>
          </w:tcPr>
          <w:p>
            <w:pPr>
              <w:pStyle w:val="TableText"/>
            </w:pPr>
            <w:r>
              <w:t xml:space="preserve">Top-Anteil</w:t>
            </w:r>
          </w:p>
        </w:tc>
        <w:tc>
          <w:tcPr>
            <w:tcW w:w="3102" w:type="dxa"/>
          </w:tcPr>
          <w:p>
            <w:pPr>
              <w:pStyle w:val="TableText"/>
            </w:pPr>
            <w:r>
              <w:t xml:space="preserve">Konzentration auf einen Lieferanten</w:t>
            </w:r>
          </w:p>
        </w:tc>
        <w:tc>
          <w:tcPr>
            <w:tcW w:w="3102" w:type="dxa"/>
          </w:tcPr>
          <w:p>
            <w:pPr>
              <w:pStyle w:val="TableText"/>
            </w:pPr>
            <w:r>
              <w:t xml:space="preserve">Anteil des grössten Lieferanten am Spend des Materials oder am Gesamtspend</w:t>
            </w:r>
          </w:p>
        </w:tc>
      </w:tr>
      <w:tr>
        <w:tc>
          <w:tcPr>
            <w:tcW w:w="3102" w:type="dxa"/>
          </w:tcPr>
          <w:p>
            <w:pPr>
              <w:pStyle w:val="TableText"/>
            </w:pPr>
            <w:r>
              <w:t xml:space="preserve">Lagerwert Einkaufsteile</w:t>
            </w:r>
          </w:p>
        </w:tc>
        <w:tc>
          <w:tcPr>
            <w:tcW w:w="3102" w:type="dxa"/>
          </w:tcPr>
          <w:p>
            <w:pPr>
              <w:pStyle w:val="TableText"/>
            </w:pPr>
            <w:r>
              <w:t xml:space="preserve">Gebundenes Kapital in Einkaufsteilen</w:t>
            </w:r>
          </w:p>
        </w:tc>
        <w:tc>
          <w:tcPr>
            <w:tcW w:w="3102" w:type="dxa"/>
          </w:tcPr>
          <w:p>
            <w:pPr>
              <w:pStyle w:val="TableText"/>
            </w:pPr>
            <w:r>
              <w:t xml:space="preserve">Bewerteter Gesamtbestand der Materialien der Disponenten 001 bis 005 im Bewertungskreis 1100, Stand des letzten Abrufs</w:t>
            </w:r>
          </w:p>
        </w:tc>
      </w:tr>
      <w:tr>
        <w:tc>
          <w:tcPr>
            <w:tcW w:w="3102" w:type="dxa"/>
          </w:tcPr>
          <w:p>
            <w:pPr>
              <w:pStyle w:val="TableText"/>
            </w:pPr>
            <w:r>
              <w:t xml:space="preserve">Endbestand</w:t>
            </w:r>
          </w:p>
        </w:tc>
        <w:tc>
          <w:tcPr>
            <w:tcW w:w="3102" w:type="dxa"/>
          </w:tcPr>
          <w:p>
            <w:pPr>
              <w:pStyle w:val="TableText"/>
            </w:pPr>
            <w:r>
              <w:t xml:space="preserve">Voraussichtlicher Bestand nach Zu- und Abgängen</w:t>
            </w:r>
          </w:p>
        </w:tc>
        <w:tc>
          <w:tcPr>
            <w:tcW w:w="3102" w:type="dxa"/>
          </w:tcPr>
          <w:p>
            <w:pPr>
              <w:pStyle w:val="TableText"/>
            </w:pPr>
            <w:r>
              <w:t xml:space="preserve">Wert aus der SAP-Disposition, nicht durch Bestellzugänge ergänzt</w:t>
            </w:r>
          </w:p>
        </w:tc>
      </w:tr>
      <w:tr>
        <w:tc>
          <w:tcPr>
            <w:tcW w:w="3102" w:type="dxa"/>
          </w:tcPr>
          <w:p>
            <w:pPr>
              <w:pStyle w:val="TableText"/>
            </w:pPr>
            <w:r>
              <w:t xml:space="preserve">Fehlmenge / Fehlwert</w:t>
            </w:r>
          </w:p>
        </w:tc>
        <w:tc>
          <w:tcPr>
            <w:tcW w:w="3102" w:type="dxa"/>
          </w:tcPr>
          <w:p>
            <w:pPr>
              <w:pStyle w:val="TableText"/>
            </w:pPr>
            <w:r>
              <w:t xml:space="preserve">Unterdeckung bei negativem Endbestand</w:t>
            </w:r>
          </w:p>
        </w:tc>
        <w:tc>
          <w:tcPr>
            <w:tcW w:w="3102" w:type="dxa"/>
          </w:tcPr>
          <w:p>
            <w:pPr>
              <w:pStyle w:val="TableText"/>
            </w:pPr>
            <w:r>
              <w:t xml:space="preserve">Fehlmenge ist der negative Endbestand, Fehlwert Fehlmenge mal Stückkosten. Fehlen die Stückkosten, wird nicht bewertet</w:t>
            </w:r>
          </w:p>
        </w:tc>
      </w:tr>
      <w:tr>
        <w:tc>
          <w:tcPr>
            <w:tcW w:w="3102" w:type="dxa"/>
          </w:tcPr>
          <w:p>
            <w:pPr>
              <w:pStyle w:val="TableText"/>
            </w:pPr>
            <w:r>
              <w:t xml:space="preserve">P1 / P2 / P3</w:t>
            </w:r>
          </w:p>
        </w:tc>
        <w:tc>
          <w:tcPr>
            <w:tcW w:w="3102" w:type="dxa"/>
          </w:tcPr>
          <w:p>
            <w:pPr>
              <w:pStyle w:val="TableText"/>
            </w:pPr>
            <w:r>
              <w:t xml:space="preserve">Prioritätsstufen der Versorgungsseiten</w:t>
            </w:r>
          </w:p>
        </w:tc>
        <w:tc>
          <w:tcPr>
            <w:tcW w:w="3102" w:type="dxa"/>
          </w:tcPr>
          <w:p>
            <w:pPr>
              <w:pStyle w:val="TableText"/>
            </w:pPr>
            <w:r>
              <w:t xml:space="preserve">P1 sofort, P2 hoch, P3 prüfen, die Regeln stehen je Seite</w:t>
            </w:r>
          </w:p>
        </w:tc>
      </w:tr>
      <w:tr>
        <w:tc>
          <w:tcPr>
            <w:tcW w:w="3102" w:type="dxa"/>
          </w:tcPr>
          <w:p>
            <w:pPr>
              <w:pStyle w:val="TableText"/>
            </w:pPr>
            <w:r>
              <w:t xml:space="preserve">Ist-Termin-Abdeckung</w:t>
            </w:r>
          </w:p>
        </w:tc>
        <w:tc>
          <w:tcPr>
            <w:tcW w:w="3102" w:type="dxa"/>
          </w:tcPr>
          <w:p>
            <w:pPr>
              <w:pStyle w:val="TableText"/>
            </w:pPr>
            <w:r>
              <w:t xml:space="preserve">Anteil der Lieferungen mit bekanntem tatsächlichen Wareneingangsdatum</w:t>
            </w:r>
          </w:p>
        </w:tc>
        <w:tc>
          <w:tcPr>
            <w:tcW w:w="3102" w:type="dxa"/>
          </w:tcPr>
          <w:p>
            <w:pPr>
              <w:pStyle w:val="TableText"/>
            </w:pPr>
            <w:r>
              <w:t xml:space="preserve">Heute 0 %, weil die Quelle fehlt</w:t>
            </w:r>
          </w:p>
        </w:tc>
      </w:tr>
    </w:tbl>
    <w:p>
      <w:pPr>
        <w:spacing w:before="0" w:after="80"/>
      </w:pPr>
    </w:p>
    <w:p>
      <w:r>
        <w:br w:type="page"/>
      </w:r>
    </w:p>
    <w:p>
      <w:pPr>
        <w:pStyle w:val="Heading1"/>
      </w:pPr>
      <w:r>
        <w:t xml:space="preserve">Verkauf</w:t>
      </w:r>
    </w:p>
    <w:p>
      <w:r>
        <w:t xml:space="preserve">Das Modul Verkauf beantwortet alle Fragen rund um die Kunden und den Umsatz der Trafag-Gruppe. Es richtet sich an Vertriebsleiter, Verkäufer, Controller und die Geschäftsleitung. Im Menü liegt es als eigener Reiter </w:t>
      </w:r>
      <w:r>
        <w:rPr>
          <w:b/>
        </w:rPr>
        <w:t xml:space="preserve">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r>
        <w:t xml:space="preserve">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und am Seitenende gezählt.</w:t>
      </w:r>
    </w:p>
    <w:p>
      <w:r>
        <w:t xml:space="preserve">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zwischengespeichert. Der erste Aufruf kann bis zu einer Minute dauern. Auf jeder Seite stehen unten der Datenstand, die Zahl der Positionen, die Zahl der ohne Kurs weggelassenen Zeilen und die Zahl der ausgeschlossenen Konzernkunden-Positionen.</w:t>
      </w:r>
    </w:p>
    <w:p>
      <w:r>
        <w:t xml:space="preserve">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„Versand bis 2,9 kg“) nicht als Artikel. Das wirkt auf die Preisstreuung und das Artikel-Netzwerk.</w:t>
      </w:r>
    </w:p>
    <w:p>
      <w:r>
        <w:t xml:space="preserve">Der Reiter ist ohne Finance-Passwort zugänglich. Wer das Cockpit öffnet, sieht also Kundenumsätze. Die meisten Seiten haben einen Excel-Export.</w:t>
      </w:r>
    </w:p>
    <w:p>
      <w:pPr>
        <w:pStyle w:val="Heading2"/>
      </w:pPr>
      <w:r>
        <w:t xml:space="preserve">Kunden</w:t>
      </w:r>
    </w:p>
    <w:p>
      <w:pPr>
        <w:pStyle w:val="Heading3"/>
      </w:pPr>
      <w:r>
        <w:t xml:space="preserve">Wozu</w:t>
      </w:r>
    </w:p>
    <w:p>
      <w:r>
        <w:t xml:space="preserve">Die Seite ist der Einstieg in den Kundenumsatz der Gruppe. Sie zeigt, welche Kunden wie viel Umsatz bringen, wie sich dieser gegenüber dem Vorjahr verändert hat und bei welchen Kunden mehrere Gesellschaften beteiligt sind.</w:t>
      </w:r>
    </w:p>
    <w:p>
      <w:pPr>
        <w:pStyle w:val="Heading3"/>
      </w:pPr>
      <w:r>
        <w:t xml:space="preserve">Was man sieht</w:t>
      </w:r>
    </w:p>
    <w:p>
      <w:r>
        <w:t xml:space="preserve">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r>
        <w:t xml:space="preserve">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pPr>
        <w:pStyle w:val="Heading3"/>
      </w:pPr>
      <w:r>
        <w:t xml:space="preserve">Wie gerechnet wird</w:t>
      </w:r>
    </w:p>
    <w:p>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eines Kunden gilt das Land mit dem grössten Umsatz.</w:t>
      </w:r>
    </w:p>
    <w:p>
      <w:pPr>
        <w:pStyle w:val="Heading3"/>
      </w:pPr>
      <w:r>
        <w:t xml:space="preserve">Einsatz im Arbeitsalltag</w:t>
      </w:r>
    </w:p>
    <w:p>
      <w:r>
        <w:rPr>
          <w:b/>
        </w:rPr>
        <w:t xml:space="preserve">Vertriebsleiter:</w:t>
      </w:r>
      <w:r>
        <w:t xml:space="preserve"> Man sieht auf einen Blick, ob der Gesamtumsatz gegenüber dem Vorjahr wächst und welche Gesellschaft dazu beiträgt. Typische Frage: Wie viel Umsatz macht ein bestimmter Kunde gruppenweit, nicht nur bei einer Gesellschaft?</w:t>
      </w:r>
    </w:p>
    <w:p>
      <w:r>
        <w:rPr>
          <w:b/>
        </w:rPr>
        <w:t xml:space="preserve">Verkäufer:</w:t>
      </w:r>
      <w:r>
        <w:t xml:space="preserve"> Vor einem Kundengespräch lässt sich der Kunde suchen und sein Verlauf, seine Sparten und seine wichtigsten Artikel ansehen.</w:t>
      </w:r>
    </w:p>
    <w:p>
      <w:r>
        <w:rPr>
          <w:b/>
        </w:rPr>
        <w:t xml:space="preserve">Controller:</w:t>
      </w:r>
      <w:r>
        <w:t xml:space="preserve"> Die Veränderung je Gesellschaft dient als erste Plausibilitätsprüfung der Verkaufsdaten.</w:t>
      </w:r>
    </w:p>
    <w:p>
      <w:pPr>
        <w:pStyle w:val="Heading3"/>
      </w:pPr>
      <w:r>
        <w:t xml:space="preserve">Grenzen und Fallstricke</w:t>
      </w:r>
    </w:p>
    <w:p>
      <w:r>
        <w:t xml:space="preserve">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pPr>
        <w:pStyle w:val="Heading2"/>
      </w:pPr>
      <w:r>
        <w:t xml:space="preserve">Rückgang</w:t>
      </w:r>
    </w:p>
    <w:p>
      <w:pPr>
        <w:pStyle w:val="Heading3"/>
      </w:pPr>
      <w:r>
        <w:t xml:space="preserve">Wozu</w:t>
      </w:r>
    </w:p>
    <w:p>
      <w:r>
        <w:t xml:space="preserve">Die Seite zeigt Kunden, deren Umsatz deutlich gesunken ist oder die gar nichts mehr bestellen, damit der Vertrieb rechtzeitig nachfassen kann.</w:t>
      </w:r>
    </w:p>
    <w:p>
      <w:pPr>
        <w:pStyle w:val="Heading3"/>
      </w:pPr>
      <w:r>
        <w:t xml:space="preserve">Was man sieht</w:t>
      </w:r>
    </w:p>
    <w:p>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Standard 10'000).</w:t>
      </w:r>
    </w:p>
    <w:p>
      <w:pPr>
        <w:pStyle w:val="Heading3"/>
      </w:pPr>
      <w:r>
        <w:t xml:space="preserve">Wie gerechnet wird</w:t>
      </w:r>
    </w:p>
    <w:p>
      <w:r>
        <w:t xml:space="preserve">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pPr>
        <w:pStyle w:val="Heading3"/>
      </w:pPr>
      <w:r>
        <w:t xml:space="preserve">Einsatz im Arbeitsalltag</w:t>
      </w:r>
    </w:p>
    <w:p>
      <w:r>
        <w:rPr>
          <w:b/>
        </w:rPr>
        <w:t xml:space="preserve">Vertriebsleiter:</w:t>
      </w:r>
      <w:r>
        <w:t xml:space="preserve"> Die Liste ist eine Nachfassliste. Typische Frage: Welche grossen Kunden haben wir stillschweigend verloren, und wie viel Umsatz fehlt dadurch?</w:t>
      </w:r>
    </w:p>
    <w:p>
      <w:r>
        <w:rPr>
          <w:b/>
        </w:rPr>
        <w:t xml:space="preserve">Verkäufer:</w:t>
      </w:r>
      <w:r>
        <w:t xml:space="preserve"> Man prüft bei den eigenen Kunden, ob der Rückgang bekannt ist (Projektende, Lagerabbau, Wechsel zum Mitbewerber) und plant einen Anruf.</w:t>
      </w:r>
    </w:p>
    <w:p>
      <w:r>
        <w:rPr>
          <w:b/>
        </w:rPr>
        <w:t xml:space="preserve">Geschäftsleitung:</w:t>
      </w:r>
      <w:r>
        <w:t xml:space="preserve"> Die Summe des fehlenden Umsatzes zeigt, wie viel Geschäft im Bestand gefährdet ist.</w:t>
      </w:r>
    </w:p>
    <w:p>
      <w:pPr>
        <w:pStyle w:val="Heading3"/>
      </w:pPr>
      <w:r>
        <w:t xml:space="preserve">Grenzen und Fallstricke</w:t>
      </w:r>
    </w:p>
    <w:p>
      <w:r>
        <w:t xml:space="preserve">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pPr>
        <w:pStyle w:val="Heading2"/>
      </w:pPr>
      <w:r>
        <w:t xml:space="preserve">Neue und verlorene Kunden</w:t>
      </w:r>
    </w:p>
    <w:p>
      <w:pPr>
        <w:pStyle w:val="Heading3"/>
      </w:pPr>
      <w:r>
        <w:t xml:space="preserve">Wozu</w:t>
      </w:r>
    </w:p>
    <w:p>
      <w:r>
        <w:t xml:space="preserve">Die Seite zeigt, ob die Gruppe mehr Kunden gewinnt als verliert. Sie macht die Neukundengewinnung und die Abwanderung je Quartal sichtbar.</w:t>
      </w:r>
    </w:p>
    <w:p>
      <w:pPr>
        <w:pStyle w:val="Heading3"/>
      </w:pPr>
      <w:r>
        <w:t xml:space="preserve">Was man sieht</w:t>
      </w:r>
    </w:p>
    <w:p>
      <w:r>
        <w:t xml:space="preserve">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pPr>
        <w:pStyle w:val="Heading3"/>
      </w:pPr>
      <w:r>
        <w:t xml:space="preserve">Wie gerechnet wird</w:t>
      </w:r>
    </w:p>
    <w:p>
      <w:r>
        <w:t xml:space="preserve">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sind, bis dahin ist der Balken schraffiert, und der Kunde kann zurückkommen. „Neu“ ist erst belastbar, wenn davor mindestens 12 Monate Daten liegen, sonst wirkt jeder bestehende Kunde neu. Nur Zeilen mit positivem Umsatz zählen als Kauf.</w:t>
      </w:r>
    </w:p>
    <w:p>
      <w:pPr>
        <w:pStyle w:val="Heading3"/>
      </w:pPr>
      <w:r>
        <w:t xml:space="preserve">Einsatz im Arbeitsalltag</w:t>
      </w:r>
    </w:p>
    <w:p>
      <w:r>
        <w:rPr>
          <w:b/>
        </w:rPr>
        <w:t xml:space="preserve">Vertriebsleiter:</w:t>
      </w:r>
      <w:r>
        <w:t xml:space="preserve"> Man vergleicht Gewinn und Verlust und sieht, ob das Wachstum auf neuen Kunden oder auf höherem Umsatz bei bestehenden beruht.</w:t>
      </w:r>
    </w:p>
    <w:p>
      <w:r>
        <w:rPr>
          <w:b/>
        </w:rPr>
        <w:t xml:space="preserve">Verkäufer:</w:t>
      </w:r>
      <w:r>
        <w:t xml:space="preserve"> Die Namenslisten zeigen, welche Neukunden nach dem Erstauftrag weiter betreut werden sollten und welche verlorenen Kunden eine Rückgewinnung lohnen.</w:t>
      </w:r>
    </w:p>
    <w:p>
      <w:r>
        <w:rPr>
          <w:b/>
        </w:rPr>
        <w:t xml:space="preserve">Geschäftsleitung:</w:t>
      </w:r>
      <w:r>
        <w:t xml:space="preserve"> Eine anhaltend negative Bilanz in Anzahl und Umsatz ist ein Warnsignal für die Marktbearbeitung.</w:t>
      </w:r>
    </w:p>
    <w:p>
      <w:pPr>
        <w:pStyle w:val="Heading3"/>
      </w:pPr>
      <w:r>
        <w:t xml:space="preserve">Grenzen und Fallstricke</w:t>
      </w:r>
    </w:p>
    <w:p>
      <w:r>
        <w:t xml:space="preserve">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pPr>
        <w:pStyle w:val="Heading2"/>
      </w:pPr>
      <w:r>
        <w:t xml:space="preserve">Konzentration</w:t>
      </w:r>
    </w:p>
    <w:p>
      <w:pPr>
        <w:pStyle w:val="Heading3"/>
      </w:pPr>
      <w:r>
        <w:t xml:space="preserve">Wozu</w:t>
      </w:r>
    </w:p>
    <w:p>
      <w:r>
        <w:t xml:space="preserve">Die Seite zeigt, wie stark der Umsatz von wenigen Kunden abhängt. Das ist eine Frage des Klumpenrisikos.</w:t>
      </w:r>
    </w:p>
    <w:p>
      <w:pPr>
        <w:pStyle w:val="Heading3"/>
      </w:pPr>
      <w:r>
        <w:t xml:space="preserve">Was man sieht</w:t>
      </w:r>
    </w:p>
    <w:p>
      <w:r>
        <w:t xml:space="preserve">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grössten Kunden je Gesellschaft.</w:t>
      </w:r>
    </w:p>
    <w:p>
      <w:pPr>
        <w:pStyle w:val="Heading3"/>
      </w:pPr>
      <w:r>
        <w:t xml:space="preserve">Wie gerechnet wird</w:t>
      </w:r>
    </w:p>
    <w:p>
      <w:r>
        <w:t xml:space="preserve">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pPr>
        <w:pStyle w:val="Heading3"/>
      </w:pPr>
      <w:r>
        <w:t xml:space="preserve">Einsatz im Arbeitsalltag</w:t>
      </w:r>
    </w:p>
    <w:p>
      <w:r>
        <w:rPr>
          <w:b/>
        </w:rPr>
        <w:t xml:space="preserve">Geschäftsleitung:</w:t>
      </w:r>
      <w:r>
        <w:t xml:space="preserve"> Vor strategischen Entscheiden oder Kreditgesprächen zeigt die Seite die Abhängigkeit von Grosskunden. Typische Frage: Wie viele Kunden brauchen wir für 80 Prozent des Umsatzes?</w:t>
      </w:r>
    </w:p>
    <w:p>
      <w:r>
        <w:rPr>
          <w:b/>
        </w:rPr>
        <w:t xml:space="preserve">Controller:</w:t>
      </w:r>
      <w:r>
        <w:t xml:space="preserve"> Der Vergleich der Gesellschaften zeigt, welche Gesellschaft besonders an wenigen Kunden hängt.</w:t>
      </w:r>
    </w:p>
    <w:p>
      <w:r>
        <w:rPr>
          <w:b/>
        </w:rPr>
        <w:t xml:space="preserve">Vertriebsleiter:</w:t>
      </w:r>
      <w:r>
        <w:t xml:space="preserve"> Die Kunden hinter den obersten Anteilen sind die Schlüsselkunden, die besonders betreut werden sollten.</w:t>
      </w:r>
    </w:p>
    <w:p>
      <w:pPr>
        <w:pStyle w:val="Heading3"/>
      </w:pPr>
      <w:r>
        <w:t xml:space="preserve">Grenzen und Fallstricke</w:t>
      </w:r>
    </w:p>
    <w:p>
      <w:r>
        <w:t xml:space="preserve">Weil Kunden über den Namen zusammengefasst werden, kann ein Konzern mit mehreren Gesellschaften als ein Kunde erscheinen, oder ein Kunde mit abweichender Schreibweise als mehrere. Das verändert die Anteile.</w:t>
      </w:r>
    </w:p>
    <w:p>
      <w:pPr>
        <w:pStyle w:val="Heading2"/>
      </w:pPr>
      <w:r>
        <w:t xml:space="preserve">Cross-Selling</w:t>
      </w:r>
    </w:p>
    <w:p>
      <w:pPr>
        <w:pStyle w:val="Heading3"/>
      </w:pPr>
      <w:r>
        <w:t xml:space="preserve">Wozu</w:t>
      </w:r>
    </w:p>
    <w:p>
      <w:r>
        <w:t xml:space="preserve">Die Seite zeigt, welche Produktsparten Kunden zusammen kaufen, und leitet daraus Verkaufschancen ab: Kunden, die eine Sparte nicht kaufen, obwohl vergleichbare Kunden es tun.</w:t>
      </w:r>
    </w:p>
    <w:p>
      <w:pPr>
        <w:pStyle w:val="Heading3"/>
      </w:pPr>
      <w:r>
        <w:t xml:space="preserve">Was man sieht</w:t>
      </w:r>
    </w:p>
    <w:p>
      <w:r>
        <w:t xml:space="preserve">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pPr>
        <w:pStyle w:val="Heading3"/>
      </w:pPr>
      <w:r>
        <w:t xml:space="preserve">Wie gerechnet wird</w:t>
      </w:r>
    </w:p>
    <w:p>
      <w:r>
        <w:t xml:space="preserve">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Kundenumsatz mal Wahrscheinlichkeit sortiert. „Typisch“ ist der mittlere Umsatz der Käufer der fehlenden Sparte. Nicht zugeordnete Sparten, „Others“ und reine Nummern bleiben weg.</w:t>
      </w:r>
    </w:p>
    <w:p>
      <w:pPr>
        <w:pStyle w:val="Heading3"/>
      </w:pPr>
      <w:r>
        <w:t xml:space="preserve">Einsatz im Arbeitsalltag</w:t>
      </w:r>
    </w:p>
    <w:p>
      <w:r>
        <w:rPr>
          <w:b/>
        </w:rPr>
        <w:t xml:space="preserve">Vertriebsleiter:</w:t>
      </w:r>
      <w:r>
        <w:t xml:space="preserve"> Man gewinnt Argumente für Zusatzverkäufe und kann Verkäufer gezielt auf Kunden ansetzen. Typische Frage: Welchem Kunden mit Sparte A lässt sich zusätzlich Sparte B anbieten?</w:t>
      </w:r>
    </w:p>
    <w:p>
      <w:r>
        <w:rPr>
          <w:b/>
        </w:rPr>
        <w:t xml:space="preserve">Verkäufer:</w:t>
      </w:r>
      <w:r>
        <w:t xml:space="preserve"> Die Ansatzliste dient als Gesprächsvorbereitung. Der typische Umsatz zeigt die Grössenordnung des möglichen Zusatzgeschäfts.</w:t>
      </w:r>
    </w:p>
    <w:p>
      <w:pPr>
        <w:pStyle w:val="Heading3"/>
      </w:pPr>
      <w:r>
        <w:t xml:space="preserve">Grenzen und Fallstricke</w:t>
      </w:r>
    </w:p>
    <w:p>
      <w:r>
        <w:t xml:space="preserve">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pPr>
        <w:pStyle w:val="Heading2"/>
      </w:pPr>
      <w:r>
        <w:t xml:space="preserve">Preisstreuung</w:t>
      </w:r>
    </w:p>
    <w:p>
      <w:pPr>
        <w:pStyle w:val="Heading3"/>
      </w:pPr>
      <w:r>
        <w:t xml:space="preserve">Wozu</w:t>
      </w:r>
    </w:p>
    <w:p>
      <w:r>
        <w:t xml:space="preserve">Die Seite zeigt, bei welchen Artikeln verschiedene Kunden sehr unterschiedliche Stückpreise bezahlen. Sie dient als Grundlage für Preisdisziplin und Konditionsgespräche.</w:t>
      </w:r>
    </w:p>
    <w:p>
      <w:pPr>
        <w:pStyle w:val="Heading3"/>
      </w:pPr>
      <w:r>
        <w:t xml:space="preserve">Was man sieht</w:t>
      </w:r>
    </w:p>
    <w:p>
      <w:r>
        <w:t xml:space="preserve">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pPr>
        <w:pStyle w:val="Heading3"/>
      </w:pPr>
      <w:r>
        <w:t xml:space="preserve">Wie gerechnet wird</w:t>
      </w:r>
    </w:p>
    <w:p>
      <w:r>
        <w:t xml:space="preserve">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Liste ist nach Faktor und Umsatz geordnet.</w:t>
      </w:r>
    </w:p>
    <w:p>
      <w:pPr>
        <w:pStyle w:val="Heading3"/>
      </w:pPr>
      <w:r>
        <w:t xml:space="preserve">Einsatz im Arbeitsalltag</w:t>
      </w:r>
    </w:p>
    <w:p>
      <w:r>
        <w:rPr>
          <w:b/>
        </w:rPr>
        <w:t xml:space="preserve">Vertriebsleiter:</w:t>
      </w:r>
      <w:r>
        <w:t xml:space="preserve"> Vor Preisrunden zeigt die Seite, wo Preise auseinanderlaufen. Typische Frage: Zahlt ein Grosskunde für denselben Artikel deutlich weniger als ein Kleinkunde?</w:t>
      </w:r>
    </w:p>
    <w:p>
      <w:r>
        <w:rPr>
          <w:b/>
        </w:rPr>
        <w:t xml:space="preserve">Verkäufer:</w:t>
      </w:r>
      <w:r>
        <w:t xml:space="preserve"> Vor einer Offerte vergleicht man den eigenen Preis mit Median und Band.</w:t>
      </w:r>
    </w:p>
    <w:p>
      <w:r>
        <w:rPr>
          <w:b/>
        </w:rPr>
        <w:t xml:space="preserve">Controller:</w:t>
      </w:r>
      <w:r>
        <w:t xml:space="preserve"> Auffällige Streuungen können auf Preislistenfehler oder Währungseffekte hindeuten.</w:t>
      </w:r>
    </w:p>
    <w:p>
      <w:pPr>
        <w:pStyle w:val="Heading3"/>
      </w:pPr>
      <w:r>
        <w:t xml:space="preserve">Grenzen und Fallstricke</w:t>
      </w:r>
    </w:p>
    <w:p>
      <w:r>
        <w:t xml:space="preserve">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pPr>
        <w:pStyle w:val="Heading2"/>
      </w:pPr>
      <w:r>
        <w:t xml:space="preserve">Saison und Prognose</w:t>
      </w:r>
    </w:p>
    <w:p>
      <w:pPr>
        <w:pStyle w:val="Heading3"/>
      </w:pPr>
      <w:r>
        <w:t xml:space="preserve">Wozu</w:t>
      </w:r>
    </w:p>
    <w:p>
      <w:r>
        <w:t xml:space="preserve">Die Seite zeigt den Umsatzverlauf, das typische Saisonmuster und eine einfache Prognose für die nächsten 12 Monate. Sie ist bewusst nachvollziehbar gehalten und ersetzt keine Planung.</w:t>
      </w:r>
    </w:p>
    <w:p>
      <w:pPr>
        <w:pStyle w:val="Heading3"/>
      </w:pPr>
      <w:r>
        <w:t xml:space="preserve">Was man sieht</w:t>
      </w:r>
    </w:p>
    <w:p>
      <w:r>
        <w:t xml:space="preserve">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pPr>
        <w:pStyle w:val="Heading3"/>
      </w:pPr>
      <w:r>
        <w:t xml:space="preserve">Wie gerechnet wird</w:t>
      </w:r>
    </w:p>
    <w:p>
      <w:r>
        <w:t xml:space="preserve">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verglichen. Die mittlere prozentuale Abweichung je Monat steht als „±“ Wert da. Die Rückrechnung braucht drei Jahre Daten und fehlt vorerst, wenn diese nicht vorliegen.</w:t>
      </w:r>
    </w:p>
    <w:p>
      <w:pPr>
        <w:pStyle w:val="Heading3"/>
      </w:pPr>
      <w:r>
        <w:t xml:space="preserve">Einsatz im Arbeitsalltag</w:t>
      </w:r>
    </w:p>
    <w:p>
      <w:r>
        <w:rPr>
          <w:b/>
        </w:rPr>
        <w:t xml:space="preserve">Controller:</w:t>
      </w:r>
      <w:r>
        <w:t xml:space="preserve"> Die Prognose liefert einen schnellen Richtwert für den Jahresausblick. Typische Frage: In welchen Monaten ist mit schwachem oder starkem Umsatz zu rechnen?</w:t>
      </w:r>
    </w:p>
    <w:p>
      <w:r>
        <w:rPr>
          <w:b/>
        </w:rPr>
        <w:t xml:space="preserve">Vertriebsleiter:</w:t>
      </w:r>
      <w:r>
        <w:t xml:space="preserve"> Das Saisonrad hilft bei der Ferien- und Aktionsplanung.</w:t>
      </w:r>
    </w:p>
    <w:p>
      <w:r>
        <w:rPr>
          <w:b/>
        </w:rPr>
        <w:t xml:space="preserve">Geschäftsleitung:</w:t>
      </w:r>
      <w:r>
        <w:t xml:space="preserve"> Man vergleicht die Prognose mit dem Budget, um die Zielerreichung früh einzuschätzen.</w:t>
      </w:r>
    </w:p>
    <w:p>
      <w:pPr>
        <w:pStyle w:val="Heading3"/>
      </w:pPr>
      <w:r>
        <w:t xml:space="preserve">Grenzen und Fallstricke</w:t>
      </w:r>
    </w:p>
    <w:p>
      <w:r>
        <w:t xml:space="preserve">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pPr>
        <w:pStyle w:val="Heading2"/>
      </w:pPr>
      <w:r>
        <w:t xml:space="preserve">Weltkarte</w:t>
      </w:r>
    </w:p>
    <w:p>
      <w:pPr>
        <w:pStyle w:val="Heading3"/>
      </w:pPr>
      <w:r>
        <w:t xml:space="preserve">Wozu</w:t>
      </w:r>
    </w:p>
    <w:p>
      <w:r>
        <w:t xml:space="preserve">Die Seite zeigt, in welchen Ländern die Kunden sitzen und wohin die Gesellschaften der Gruppe liefern.</w:t>
      </w:r>
    </w:p>
    <w:p>
      <w:pPr>
        <w:pStyle w:val="Heading3"/>
      </w:pPr>
      <w:r>
        <w:t xml:space="preserve">Was man sieht</w:t>
      </w:r>
    </w:p>
    <w:p>
      <w:r>
        <w:t xml:space="preserve">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pPr>
        <w:pStyle w:val="Heading3"/>
      </w:pPr>
      <w:r>
        <w:t xml:space="preserve">Wie gerechnet wird</w:t>
      </w:r>
    </w:p>
    <w:p>
      <w:r>
        <w:t xml:space="preserve">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pPr>
        <w:pStyle w:val="Heading3"/>
      </w:pPr>
      <w:r>
        <w:t xml:space="preserve">Einsatz im Arbeitsalltag</w:t>
      </w:r>
    </w:p>
    <w:p>
      <w:r>
        <w:rPr>
          <w:b/>
        </w:rPr>
        <w:t xml:space="preserve">Vertriebsleiter:</w:t>
      </w:r>
      <w:r>
        <w:t xml:space="preserve"> Man erkennt Schwerpunktmärkte und Länder, in denen die Gruppe Potenzial hat. Typische Frage: Welche Gesellschaft bedient welche Märkte?</w:t>
      </w:r>
    </w:p>
    <w:p>
      <w:r>
        <w:rPr>
          <w:b/>
        </w:rPr>
        <w:t xml:space="preserve">Geschäftsleitung:</w:t>
      </w:r>
      <w:r>
        <w:t xml:space="preserve"> Die Karte eignet sich als anschauliche Übersicht für Gespräche über Marktstrategie.</w:t>
      </w:r>
    </w:p>
    <w:p>
      <w:r>
        <w:rPr>
          <w:b/>
        </w:rPr>
        <w:t xml:space="preserve">Controller:</w:t>
      </w:r>
      <w:r>
        <w:t xml:space="preserve"> Der Umsatz ohne Kundenland zeigt die Datenqualität.</w:t>
      </w:r>
    </w:p>
    <w:p>
      <w:pPr>
        <w:pStyle w:val="Heading3"/>
      </w:pPr>
      <w:r>
        <w:t xml:space="preserve">Grenzen und Fallstricke</w:t>
      </w:r>
    </w:p>
    <w:p>
      <w:r>
        <w:t xml:space="preserve">Das Kundenland fehlt bei rund 8 Prozent der Zeilen (Stichprobe aus einer früheren Auswertung). Dieser Umsatz erscheint nur in der Zeile „ohne Kundenland“. Die Karte ist eine Skizze, Grenzen sind nur angedeutet, Kleinstaaten sind kaum sichtbar.</w:t>
      </w:r>
    </w:p>
    <w:p>
      <w:pPr>
        <w:pStyle w:val="Heading2"/>
      </w:pPr>
      <w:r>
        <w:t xml:space="preserve">Interaktiv</w:t>
      </w:r>
    </w:p>
    <w:p>
      <w:pPr>
        <w:pStyle w:val="Heading3"/>
      </w:pPr>
      <w:r>
        <w:t xml:space="preserve">Wozu</w:t>
      </w:r>
    </w:p>
    <w:p>
      <w:r>
        <w:t xml:space="preserve">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pPr>
        <w:pStyle w:val="Heading3"/>
      </w:pPr>
      <w:r>
        <w:t xml:space="preserve">Was man sieht</w:t>
      </w:r>
    </w:p>
    <w:p>
      <w:r>
        <w:t xml:space="preserve">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pPr>
        <w:pStyle w:val="Heading3"/>
      </w:pPr>
      <w:r>
        <w:t xml:space="preserve">Wie gerechnet wird</w:t>
      </w:r>
    </w:p>
    <w:p>
      <w:r>
        <w:t xml:space="preserve">Die Rechnung steht bei jeder Ansicht einzeln. Gemeinsam ist der Stichtag: Zeitfenster enden mit dem letzten vollständigen Monat, und die Animationen laufen ab dem Datenbeginn (Januar 2025).</w:t>
      </w:r>
    </w:p>
    <w:p>
      <w:pPr>
        <w:pStyle w:val="Heading3"/>
      </w:pPr>
      <w:r>
        <w:t xml:space="preserve">Einsatz im Arbeitsalltag</w:t>
      </w:r>
    </w:p>
    <w:p>
      <w:r>
        <w:rPr>
          <w:b/>
        </w:rPr>
        <w:t xml:space="preserve">Vertriebsleiter und Geschäftsleitung:</w:t>
      </w:r>
      <w:r>
        <w:t xml:space="preserve"> Die Ansichten eignen sich für Besprechungen, weil sie sich vorführen und anklicken lassen.</w:t>
      </w:r>
    </w:p>
    <w:p>
      <w:r>
        <w:rPr>
          <w:b/>
        </w:rPr>
        <w:t xml:space="preserve">Controller:</w:t>
      </w:r>
      <w:r>
        <w:t xml:space="preserve"> Die Zahlen hinter den Grafiken erscheinen beim Darüberfahren mit der Maus.</w:t>
      </w:r>
    </w:p>
    <w:p>
      <w:pPr>
        <w:pStyle w:val="Heading3"/>
      </w:pPr>
      <w:r>
        <w:t xml:space="preserve">Grenzen und Fallstricke</w:t>
      </w:r>
    </w:p>
    <w:p>
      <w:r>
        <w:t xml:space="preserve">Einige Ansichten brauchen Daten über mehrere Quartale (Galaxie, Rhythmus). Die Animationen sind für den Bildschirm gedacht, für Berichte sind die klassischen Seiten mit Excel-Export besser geeignet.</w:t>
      </w:r>
    </w:p>
    <w:p>
      <w:pPr>
        <w:pStyle w:val="Heading2"/>
      </w:pPr>
      <w:r>
        <w:t xml:space="preserve">Kunden-Galaxie</w:t>
      </w:r>
    </w:p>
    <w:p>
      <w:pPr>
        <w:pStyle w:val="Heading3"/>
      </w:pPr>
      <w:r>
        <w:t xml:space="preserve">Wozu</w:t>
      </w:r>
    </w:p>
    <w:p>
      <w:r>
        <w:t xml:space="preserve">Die Ansicht zeigt für die 60 grössten Kunden, wie sich Umsatz und Wachstum von Quartal zu Quartal verändern. Man sieht, welche Kunden aufsteigen und welche absteigen.</w:t>
      </w:r>
    </w:p>
    <w:p>
      <w:pPr>
        <w:pStyle w:val="Heading3"/>
      </w:pPr>
      <w:r>
        <w:t xml:space="preserve">Was man sieht</w:t>
      </w:r>
    </w:p>
    <w:p>
      <w:r>
        <w:t xml:space="preserve">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pPr>
        <w:pStyle w:val="Heading3"/>
      </w:pPr>
      <w:r>
        <w:t xml:space="preserve">Wie gerechnet wird</w:t>
      </w:r>
    </w:p>
    <w:p>
      <w:r>
        <w:t xml:space="preserve">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pPr>
        <w:pStyle w:val="Heading3"/>
      </w:pPr>
      <w:r>
        <w:t xml:space="preserve">Einsatz im Arbeitsalltag</w:t>
      </w:r>
    </w:p>
    <w:p>
      <w:r>
        <w:rPr>
          <w:b/>
        </w:rPr>
        <w:t xml:space="preserve">Vertriebsleiter:</w:t>
      </w:r>
      <w:r>
        <w:t xml:space="preserve"> Typische Frage: Welche Grosskunden wachsen stark, welche schrumpfen? Blasen weit oben und rechts sind Wachstumskunden, Blasen unten Kunden mit Einbruch.</w:t>
      </w:r>
    </w:p>
    <w:p>
      <w:r>
        <w:rPr>
          <w:b/>
        </w:rPr>
        <w:t xml:space="preserve">Verkäufer:</w:t>
      </w:r>
      <w:r>
        <w:t xml:space="preserve"> Mit den Spuren sieht man, ob ein Kunde nur ein schwaches Quartal hatte oder langfristig abwandert.</w:t>
      </w:r>
    </w:p>
    <w:p>
      <w:pPr>
        <w:pStyle w:val="Heading3"/>
      </w:pPr>
      <w:r>
        <w:t xml:space="preserve">Grenzen und Fallstricke</w:t>
      </w:r>
    </w:p>
    <w:p>
      <w:r>
        <w:t xml:space="preserve">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pPr>
        <w:pStyle w:val="Heading2"/>
      </w:pPr>
      <w:r>
        <w:t xml:space="preserve">Rennen</w:t>
      </w:r>
    </w:p>
    <w:p>
      <w:pPr>
        <w:pStyle w:val="Heading3"/>
      </w:pPr>
      <w:r>
        <w:t xml:space="preserve">Wozu</w:t>
      </w:r>
    </w:p>
    <w:p>
      <w:r>
        <w:t xml:space="preserve">Die Ansicht zeigt als „Bar Chart Race“, wie sich die Rangfolge der grössten Kunden, Artikel oder Länder über die Zeit verändert.</w:t>
      </w:r>
    </w:p>
    <w:p>
      <w:pPr>
        <w:pStyle w:val="Heading3"/>
      </w:pPr>
      <w:r>
        <w:t xml:space="preserve">Was man sieht</w:t>
      </w:r>
    </w:p>
    <w:p>
      <w:r>
        <w:t xml:space="preserve">Die 15 grössten Einträge erscheinen als Balken, die beim Abspielen mit ▶ im Monatstakt auf ihre neue Rangposition gleiten und sich überholen. Über eine Auswahl wechselt man zwischen Kunden, Artikeln und Ländern. Ein Regler wählt einen bestimmten Monat.</w:t>
      </w:r>
    </w:p>
    <w:p>
      <w:pPr>
        <w:pStyle w:val="Heading3"/>
      </w:pPr>
      <w:r>
        <w:t xml:space="preserve">Wie gerechnet wird</w:t>
      </w:r>
    </w:p>
    <w:p>
      <w:r>
        <w:t xml:space="preserve">Für jeden Monat ab dem dritten Datenmonat wird die Summe der letzten drei Monate berechnet (gleitende 3-Monats-Summe). Daraus werden die 15 grössten Werte gezeigt. Die Glättung über drei Monate verhindert, dass ein einzelner Grossauftrag die Rangfolge allein bestimmt.</w:t>
      </w:r>
    </w:p>
    <w:p>
      <w:pPr>
        <w:pStyle w:val="Heading3"/>
      </w:pPr>
      <w:r>
        <w:t xml:space="preserve">Einsatz im Arbeitsalltag</w:t>
      </w:r>
    </w:p>
    <w:p>
      <w:r>
        <w:rPr>
          <w:b/>
        </w:rPr>
        <w:t xml:space="preserve">Geschäftsleitung:</w:t>
      </w:r>
      <w:r>
        <w:t xml:space="preserve"> Die Ansicht eignet sich für Präsentationen, um zu zeigen, wie sich das Kundenportfolio verschoben hat.</w:t>
      </w:r>
    </w:p>
    <w:p>
      <w:r>
        <w:rPr>
          <w:b/>
        </w:rPr>
        <w:t xml:space="preserve">Vertriebsleiter:</w:t>
      </w:r>
      <w:r>
        <w:t xml:space="preserve"> Typische Frage: Seit wann ist Kunde X unter den Grössten, und wer ist abgestiegen?</w:t>
      </w:r>
    </w:p>
    <w:p>
      <w:pPr>
        <w:pStyle w:val="Heading3"/>
      </w:pPr>
      <w:r>
        <w:t xml:space="preserve">Grenzen und Fallstricke</w:t>
      </w:r>
    </w:p>
    <w:p>
      <w:r>
        <w:t xml:space="preserve">Das Rennen zeigt Rangfolgen, keine Anteile: Ein Balken auf Platz 3 kann sehr nah oder weit hinter Platz 1 liegen, das zeigt nur die Balkenlänge. Bei den Artikeln gelten dieselben Namen wie in den Rechnungen, ohne Bereinigung von Leistungen.</w:t>
      </w:r>
    </w:p>
    <w:p>
      <w:pPr>
        <w:pStyle w:val="Heading2"/>
      </w:pPr>
      <w:r>
        <w:t xml:space="preserve">Umsatzfluss</w:t>
      </w:r>
    </w:p>
    <w:p>
      <w:pPr>
        <w:pStyle w:val="Heading3"/>
      </w:pPr>
      <w:r>
        <w:t xml:space="preserve">Wozu</w:t>
      </w:r>
    </w:p>
    <w:p>
      <w:r>
        <w:t xml:space="preserve">Die Ansicht zeigt als Sankey-Diagramm, wie der Umsatz von den Gesellschaften über die Sparten zu den Kundenländern fliesst.</w:t>
      </w:r>
    </w:p>
    <w:p>
      <w:pPr>
        <w:pStyle w:val="Heading3"/>
      </w:pPr>
      <w:r>
        <w:t xml:space="preserve">Was man sieht</w:t>
      </w:r>
    </w:p>
    <w:p>
      <w:r>
        <w:t xml:space="preserve">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pPr>
        <w:pStyle w:val="Heading3"/>
      </w:pPr>
      <w:r>
        <w:t xml:space="preserve">Wie gerechnet wird</w:t>
      </w:r>
    </w:p>
    <w:p>
      <w:r>
        <w:t xml:space="preserve">Es zählen nur Zeilen mit positivem Umsatz der letzten 12 Monate. Die Ströme summieren den Umsatz je Gesellschaft und Sparte sowie je Sparte und Kundenland. Zeilen ohne Sparte erscheinen als „Nicht zugeordnet“, Zeilen ohne Kundenland nur bei den „Übrigen“ bzw. mit „–“.</w:t>
      </w:r>
    </w:p>
    <w:p>
      <w:pPr>
        <w:pStyle w:val="Heading3"/>
      </w:pPr>
      <w:r>
        <w:t xml:space="preserve">Einsatz im Arbeitsalltag</w:t>
      </w:r>
    </w:p>
    <w:p>
      <w:r>
        <w:rPr>
          <w:b/>
        </w:rPr>
        <w:t xml:space="preserve">Vertriebsleiter:</w:t>
      </w:r>
      <w:r>
        <w:t xml:space="preserve"> Typische Frage: Welche Sparte einer Gesellschaft liefert in welche Länder? Ein Klick auf eine Gesellschaft zeigt ihr Produktmix und ihre Märkte.</w:t>
      </w:r>
    </w:p>
    <w:p>
      <w:r>
        <w:rPr>
          <w:b/>
        </w:rPr>
        <w:t xml:space="preserve">Controller:</w:t>
      </w:r>
      <w:r>
        <w:t xml:space="preserve"> Der grosse Block „Nicht zugeordnet“ zeigt, wie unvollständig die Sparten in den Quelldaten gepflegt sind.</w:t>
      </w:r>
    </w:p>
    <w:p>
      <w:pPr>
        <w:pStyle w:val="Heading3"/>
      </w:pPr>
      <w:r>
        <w:t xml:space="preserve">Grenzen und Fallstricke</w:t>
      </w:r>
    </w:p>
    <w:p>
      <w:r>
        <w:t xml:space="preserve">Gutschriften sind ausgeblendet, die Summen können deshalb unter dem Nettoumsatz der anderen Seiten liegen. Die Sparte fehlt bei vielen Zeilen ausserhalb der Schweiz.</w:t>
      </w:r>
    </w:p>
    <w:p>
      <w:pPr>
        <w:pStyle w:val="Heading2"/>
      </w:pPr>
      <w:r>
        <w:t xml:space="preserve">Sonnenstrahl</w:t>
      </w:r>
    </w:p>
    <w:p>
      <w:pPr>
        <w:pStyle w:val="Heading3"/>
      </w:pPr>
      <w:r>
        <w:t xml:space="preserve">Wozu</w:t>
      </w:r>
    </w:p>
    <w:p>
      <w:r>
        <w:t xml:space="preserve">Die Ansicht zeigt den Umsatz als kreisförmige Hierarchie von der Gesellschaft über die Sparte bis zum einzelnen Kunden. Man kann stufenweise hineinzoomen.</w:t>
      </w:r>
    </w:p>
    <w:p>
      <w:pPr>
        <w:pStyle w:val="Heading3"/>
      </w:pPr>
      <w:r>
        <w:t xml:space="preserve">Was man sieht</w:t>
      </w:r>
    </w:p>
    <w:p>
      <w:r>
        <w:t xml:space="preserve">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pPr>
        <w:pStyle w:val="Heading3"/>
      </w:pPr>
      <w:r>
        <w:t xml:space="preserve">Wie gerechnet wird</w:t>
      </w:r>
    </w:p>
    <w:p>
      <w:r>
        <w:t xml:space="preserve">Der Umsatz der letzten 12 Monate wird für jede Ebene summiert, nur Zeilen mit positivem Umsatz. Der Anteil vom Total ist der Wert des Stücks geteilt durch den Gesamtumsatz.</w:t>
      </w:r>
    </w:p>
    <w:p>
      <w:pPr>
        <w:pStyle w:val="Heading3"/>
      </w:pPr>
      <w:r>
        <w:t xml:space="preserve">Einsatz im Arbeitsalltag</w:t>
      </w:r>
    </w:p>
    <w:p>
      <w:r>
        <w:rPr>
          <w:b/>
        </w:rPr>
        <w:t xml:space="preserve">Vertriebsleiter:</w:t>
      </w:r>
      <w:r>
        <w:t xml:space="preserve"> Typische Frage: Welche Kunden tragen die Sparte X der Gesellschaft Y? Man zoomt von der Gesellschaft bis zum Kunden.</w:t>
      </w:r>
    </w:p>
    <w:p>
      <w:r>
        <w:rPr>
          <w:b/>
        </w:rPr>
        <w:t xml:space="preserve">Controller:</w:t>
      </w:r>
      <w:r>
        <w:t xml:space="preserve"> Ein schneller Weg, um Umsätze nach drei Ebenen zu prüfen, ohne Excel-Tabellen zu filtern.</w:t>
      </w:r>
    </w:p>
    <w:p>
      <w:pPr>
        <w:pStyle w:val="Heading3"/>
      </w:pPr>
      <w:r>
        <w:t xml:space="preserve">Grenzen und Fallstricke</w:t>
      </w:r>
    </w:p>
    <w:p>
      <w:r>
        <w:t xml:space="preserve">Ein Kunde, der bei mehreren Gesellschaften kauft, erscheint mehrfach. Dieselbe Firma wird in jeder Gesellschaft und Sparte eigens ausgewiesen. Gutschriften sind ausgeblendet.</w:t>
      </w:r>
    </w:p>
    <w:p>
      <w:pPr>
        <w:pStyle w:val="Heading2"/>
      </w:pPr>
      <w:r>
        <w:t xml:space="preserve">Was wäre wenn</w:t>
      </w:r>
    </w:p>
    <w:p>
      <w:pPr>
        <w:pStyle w:val="Heading3"/>
      </w:pPr>
      <w:r>
        <w:t xml:space="preserve">Wozu</w:t>
      </w:r>
    </w:p>
    <w:p>
      <w:r>
        <w:t xml:space="preserve">Die Ansicht ist ein Simulator. Man verändert Preis, Menge und Wechselkurs und sieht sofort, wie sich die Jahreshochrechnung verschiebt. Sie ist eine Spielwiese und keine Planung.</w:t>
      </w:r>
    </w:p>
    <w:p>
      <w:pPr>
        <w:pStyle w:val="Heading3"/>
      </w:pPr>
      <w:r>
        <w:t xml:space="preserve">Was man sieht</w:t>
      </w:r>
    </w:p>
    <w:p>
      <w:r>
        <w:t xml:space="preserve">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ohne Hebel und Rest mit Hebeln. Eine Tabelle listet die Wirkung je Sparte und den Währungseffekt.</w:t>
      </w:r>
    </w:p>
    <w:p>
      <w:pPr>
        <w:pStyle w:val="Heading3"/>
      </w:pPr>
      <w:r>
        <w:t xml:space="preserve">Wie gerechnet wird</w:t>
      </w:r>
    </w:p>
    <w:p>
      <w:r>
        <w:t xml:space="preserve">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unverändert.</w:t>
      </w:r>
    </w:p>
    <w:p>
      <w:pPr>
        <w:pStyle w:val="Heading3"/>
      </w:pPr>
      <w:r>
        <w:t xml:space="preserve">Einsatz im Arbeitsalltag</w:t>
      </w:r>
    </w:p>
    <w:p>
      <w:r>
        <w:rPr>
          <w:b/>
        </w:rPr>
        <w:t xml:space="preserve">Controller:</w:t>
      </w:r>
      <w:r>
        <w:t xml:space="preserve"> Man schätzt ab, was eine Preiserhöhung von 2 Prozent oder ein schwächerer Euro für das Jahresergebnis bedeutet. Typische Frage: Wie viel Umsatz bringt ein Prozentpunkt Preis in der grössten Sparte?</w:t>
      </w:r>
    </w:p>
    <w:p>
      <w:r>
        <w:rPr>
          <w:b/>
        </w:rPr>
        <w:t xml:space="preserve">Vertriebsleiter:</w:t>
      </w:r>
      <w:r>
        <w:t xml:space="preserve"> Vor Preisrunden lässt sich die Wirkung gegen einen möglichen Mengenverlust abwägen.</w:t>
      </w:r>
    </w:p>
    <w:p>
      <w:r>
        <w:rPr>
          <w:b/>
        </w:rPr>
        <w:t xml:space="preserve">Geschäftsleitung:</w:t>
      </w:r>
      <w:r>
        <w:t xml:space="preserve"> Der Simulator zeigt die Empfindlichkeit des Jahresumsatzes auf Preis, Menge und Währung.</w:t>
      </w:r>
    </w:p>
    <w:p>
      <w:pPr>
        <w:pStyle w:val="Heading3"/>
      </w:pPr>
      <w:r>
        <w:t xml:space="preserve">Grenzen und Fallstricke</w:t>
      </w:r>
    </w:p>
    <w:p>
      <w:r>
        <w:t xml:space="preserve">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pPr>
        <w:pStyle w:val="Heading2"/>
      </w:pPr>
      <w:r>
        <w:t xml:space="preserve">Bestellrhythmus</w:t>
      </w:r>
    </w:p>
    <w:p>
      <w:pPr>
        <w:pStyle w:val="Heading3"/>
      </w:pPr>
      <w:r>
        <w:t xml:space="preserve">Wozu</w:t>
      </w:r>
    </w:p>
    <w:p>
      <w:r>
        <w:t xml:space="preserve">Die Ansicht erkennt, welche Kunden nach ihrem üblichen Rhythmus eigentlich schon wieder hätten bestellen sollen. Das ist ein Frühwarnsystem für ausbleibende Folgeaufträge.</w:t>
      </w:r>
    </w:p>
    <w:p>
      <w:pPr>
        <w:pStyle w:val="Heading3"/>
      </w:pPr>
      <w:r>
        <w:t xml:space="preserve">Was man sieht</w:t>
      </w:r>
    </w:p>
    <w:p>
      <w:r>
        <w:t xml:space="preserve">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 Dazu stehen Land, üblicher Abstand, letzte Bestellung und erwartetes Datum.</w:t>
      </w:r>
    </w:p>
    <w:p>
      <w:pPr>
        <w:pStyle w:val="Heading3"/>
      </w:pPr>
      <w:r>
        <w:t xml:space="preserve">Wie gerechnet wird</w:t>
      </w:r>
    </w:p>
    <w:p>
      <w:r>
        <w:t xml:space="preserve">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pPr>
        <w:pStyle w:val="Heading3"/>
      </w:pPr>
      <w:r>
        <w:t xml:space="preserve">Einsatz im Arbeitsalltag</w:t>
      </w:r>
    </w:p>
    <w:p>
      <w:r>
        <w:rPr>
          <w:b/>
        </w:rPr>
        <w:t xml:space="preserve">Verkäufer:</w:t>
      </w:r>
      <w:r>
        <w:t xml:space="preserve"> Die Liste ist eine tägliche Anrufliste. Typische Frage: Welcher regelmässige Kunde hat sich länger als üblich nicht gemeldet?</w:t>
      </w:r>
    </w:p>
    <w:p>
      <w:r>
        <w:rPr>
          <w:b/>
        </w:rPr>
        <w:t xml:space="preserve">Vertriebsleiter:</w:t>
      </w:r>
      <w:r>
        <w:t xml:space="preserve"> Eine Häufung roter Einträge bei einer Gesellschaft kann auf ein Lieferproblem oder einen Marktwechsel deuten.</w:t>
      </w:r>
    </w:p>
    <w:p>
      <w:pPr>
        <w:pStyle w:val="Heading3"/>
      </w:pPr>
      <w:r>
        <w:t xml:space="preserve">Grenzen und Fallstricke</w:t>
      </w:r>
    </w:p>
    <w:p>
      <w:r>
        <w:t xml:space="preserve">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pPr>
        <w:pStyle w:val="Heading2"/>
      </w:pPr>
      <w:r>
        <w:t xml:space="preserve">Kalender</w:t>
      </w:r>
    </w:p>
    <w:p>
      <w:pPr>
        <w:pStyle w:val="Heading3"/>
      </w:pPr>
      <w:r>
        <w:t xml:space="preserve">Wozu</w:t>
      </w:r>
    </w:p>
    <w:p>
      <w:r>
        <w:t xml:space="preserve">Die Ansicht zeigt den Umsatz je Tag eines Jahres als Wärmebild. Man erkennt Wochenmuster, Monatsenden und Ausreisser auf einen Blick.</w:t>
      </w:r>
    </w:p>
    <w:p>
      <w:pPr>
        <w:pStyle w:val="Heading3"/>
      </w:pPr>
      <w:r>
        <w:t xml:space="preserve">Was man sieht</w:t>
      </w:r>
    </w:p>
    <w:p>
      <w:r>
        <w:t xml:space="preserve">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pPr>
        <w:pStyle w:val="Heading3"/>
      </w:pPr>
      <w:r>
        <w:t xml:space="preserve">Wie gerechnet wird</w:t>
      </w:r>
    </w:p>
    <w:p>
      <w:r>
        <w:t xml:space="preserve">Je Tag wird der Nettoumsatz in CHF aller Rechnungen mit diesem Belegdatum summiert, dazu die Zahl der verschiedenen Rechnungen. Die Farbskala endet beim 95-Prozent-Wert aller Tage, damit einzelne Rekordtage die Farben nicht flach drücken.</w:t>
      </w:r>
    </w:p>
    <w:p>
      <w:pPr>
        <w:pStyle w:val="Heading3"/>
      </w:pPr>
      <w:r>
        <w:t xml:space="preserve">Einsatz im Arbeitsalltag</w:t>
      </w:r>
    </w:p>
    <w:p>
      <w:r>
        <w:rPr>
          <w:b/>
        </w:rPr>
        <w:t xml:space="preserve">Controller:</w:t>
      </w:r>
      <w:r>
        <w:t xml:space="preserve"> Typische Frage: Wann fallen die grossen Rechnungen an, und gibt es ein Muster zum Monatsende? Ein Monatsende-Stau kann für die Abschlussplanung wichtig sein.</w:t>
      </w:r>
    </w:p>
    <w:p>
      <w:r>
        <w:rPr>
          <w:b/>
        </w:rPr>
        <w:t xml:space="preserve">Vertriebsleiter:</w:t>
      </w:r>
      <w:r>
        <w:t xml:space="preserve"> Der Kalender zeigt Lücken ohne Fakturierung und Spitzentage.</w:t>
      </w:r>
    </w:p>
    <w:p>
      <w:pPr>
        <w:pStyle w:val="Heading3"/>
      </w:pPr>
      <w:r>
        <w:t xml:space="preserve">Grenzen und Fallstricke</w:t>
      </w:r>
    </w:p>
    <w:p>
      <w:r>
        <w:t xml:space="preserve">Das Datum richtet sich nach den Finance-Regeln, bei Spanien ist es das Rechnungsdatum. Es entspricht nicht dem Bestelleingang. Im laufenden, noch nicht vollständigen Monat zeigt der Kalender die bisher vorhandenen Tage, die letzten Tage können fehlen.</w:t>
      </w:r>
    </w:p>
    <w:p>
      <w:pPr>
        <w:pStyle w:val="Heading2"/>
      </w:pPr>
      <w:r>
        <w:t xml:space="preserve">Artikel-Netzwerk</w:t>
      </w:r>
    </w:p>
    <w:p>
      <w:pPr>
        <w:pStyle w:val="Heading3"/>
      </w:pPr>
      <w:r>
        <w:t xml:space="preserve">Wozu</w:t>
      </w:r>
    </w:p>
    <w:p>
      <w:r>
        <w:t xml:space="preserve">Die Ansicht zeigt, welche Artikel von denselben Kunden gekauft werden. So lassen sich Produktfamilien und Zusatzverkäufe auf Artikelebene erkennen.</w:t>
      </w:r>
    </w:p>
    <w:p>
      <w:pPr>
        <w:pStyle w:val="Heading3"/>
      </w:pPr>
      <w:r>
        <w:t xml:space="preserve">Was man sieht</w:t>
      </w:r>
    </w:p>
    <w:p>
      <w:r>
        <w:t xml:space="preserve">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gekauft werden.</w:t>
      </w:r>
    </w:p>
    <w:p>
      <w:pPr>
        <w:pStyle w:val="Heading3"/>
      </w:pPr>
      <w:r>
        <w:t xml:space="preserve">Wie gerechnet wird</w:t>
      </w:r>
    </w:p>
    <w:p>
      <w:r>
        <w:t xml:space="preserve">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pPr>
        <w:pStyle w:val="Heading3"/>
      </w:pPr>
      <w:r>
        <w:t xml:space="preserve">Einsatz im Arbeitsalltag</w:t>
      </w:r>
    </w:p>
    <w:p>
      <w:r>
        <w:rPr>
          <w:b/>
        </w:rPr>
        <w:t xml:space="preserve">Verkäufer:</w:t>
      </w:r>
      <w:r>
        <w:t xml:space="preserve"> Typische Frage: Welche Artikel verkauft man zusammen mit Artikel X? Das hilft beim Zusatzangebot.</w:t>
      </w:r>
    </w:p>
    <w:p>
      <w:r>
        <w:rPr>
          <w:b/>
        </w:rPr>
        <w:t xml:space="preserve">Vertriebsleiter:</w:t>
      </w:r>
      <w:r>
        <w:t xml:space="preserve"> Zusammenhängende Gruppen deuten auf Produktfamilien oder Branchenlösungen hin, die sich gemeinsam vermarkten lassen.</w:t>
      </w:r>
    </w:p>
    <w:p>
      <w:pPr>
        <w:pStyle w:val="Heading3"/>
      </w:pPr>
      <w:r>
        <w:t xml:space="preserve">Grenzen und Fallstricke</w:t>
      </w:r>
    </w:p>
    <w:p>
      <w:r>
        <w:t xml:space="preserve">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pPr>
        <w:pStyle w:val="Heading2"/>
      </w:pPr>
      <w:r>
        <w:t xml:space="preserve">3D-Landschaft</w:t>
      </w:r>
    </w:p>
    <w:p>
      <w:pPr>
        <w:pStyle w:val="Heading3"/>
      </w:pPr>
      <w:r>
        <w:t xml:space="preserve">Wozu</w:t>
      </w:r>
    </w:p>
    <w:p>
      <w:r>
        <w:t xml:space="preserve">Die Ansicht stellt den Umsatz nach Monat und Sparte als räumliche Säulenlandschaft dar. Man sieht Entwicklung und Verteilung auf einmal.</w:t>
      </w:r>
    </w:p>
    <w:p>
      <w:pPr>
        <w:pStyle w:val="Heading3"/>
      </w:pPr>
      <w:r>
        <w:t xml:space="preserve">Was man sieht</w:t>
      </w:r>
    </w:p>
    <w:p>
      <w:r>
        <w:t xml:space="preserve">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pPr>
        <w:pStyle w:val="Heading3"/>
      </w:pPr>
      <w:r>
        <w:t xml:space="preserve">Wie gerechnet wird</w:t>
      </w:r>
    </w:p>
    <w:p>
      <w:r>
        <w:t xml:space="preserve">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pPr>
        <w:pStyle w:val="Heading3"/>
      </w:pPr>
      <w:r>
        <w:t xml:space="preserve">Einsatz im Arbeitsalltag</w:t>
      </w:r>
    </w:p>
    <w:p>
      <w:r>
        <w:rPr>
          <w:b/>
        </w:rPr>
        <w:t xml:space="preserve">Geschäftsleitung:</w:t>
      </w:r>
      <w:r>
        <w:t xml:space="preserve"> Die Ansicht eignet sich für Präsentationen, um die Entwicklung der Sparten eindrücklich zu zeigen.</w:t>
      </w:r>
    </w:p>
    <w:p>
      <w:r>
        <w:rPr>
          <w:b/>
        </w:rPr>
        <w:t xml:space="preserve">Vertriebsleiter:</w:t>
      </w:r>
      <w:r>
        <w:t xml:space="preserve"> Typische Frage: Welche Sparte ist saisonal, welche wächst stetig? Der Klick liefert den genauen Wert.</w:t>
      </w:r>
    </w:p>
    <w:p>
      <w:pPr>
        <w:pStyle w:val="Heading3"/>
      </w:pPr>
      <w:r>
        <w:t xml:space="preserve">Grenzen und Fallstricke</w:t>
      </w:r>
    </w:p>
    <w:p>
      <w:r>
        <w:t xml:space="preserve">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Umsatz CHF, 12 Monate</w:t>
            </w:r>
          </w:p>
        </w:tc>
        <w:tc>
          <w:tcPr>
            <w:tcW w:w="3102" w:type="dxa"/>
          </w:tcPr>
          <w:p>
            <w:pPr>
              <w:pStyle w:val="TableText"/>
            </w:pPr>
            <w:r>
              <w:t xml:space="preserve">Nettoumsatz der letzten 12 vollständigen Monate</w:t>
            </w:r>
          </w:p>
        </w:tc>
        <w:tc>
          <w:tcPr>
            <w:tcW w:w="3102" w:type="dxa"/>
          </w:tcPr>
          <w:p>
            <w:pPr>
              <w:pStyle w:val="TableText"/>
            </w:pPr>
            <w:r>
              <w:t xml:space="preserve">Summe aller Rechnungszeilen nach Finance-Regeln, ohne Konzernkunden, in CHF zum Kurs des Belegdatums, Gutschriften negativ</w:t>
            </w:r>
          </w:p>
        </w:tc>
      </w:tr>
      <w:tr>
        <w:tc>
          <w:tcPr>
            <w:tcW w:w="3102" w:type="dxa"/>
          </w:tcPr>
          <w:p>
            <w:pPr>
              <w:pStyle w:val="TableText"/>
            </w:pPr>
            <w:r>
              <w:t xml:space="preserve">Vergleichszeitraum</w:t>
            </w:r>
          </w:p>
        </w:tc>
        <w:tc>
          <w:tcPr>
            <w:tcW w:w="3102" w:type="dxa"/>
          </w:tcPr>
          <w:p>
            <w:pPr>
              <w:pStyle w:val="TableText"/>
            </w:pPr>
            <w:r>
              <w:t xml:space="preserve">Zeitraum für den Vorjahresvergleich</w:t>
            </w:r>
          </w:p>
        </w:tc>
        <w:tc>
          <w:tcPr>
            <w:tcW w:w="3102" w:type="dxa"/>
          </w:tcPr>
          <w:p>
            <w:pPr>
              <w:pStyle w:val="TableText"/>
            </w:pPr>
            <w:r>
              <w:t xml:space="preserve">Höchstens 12 Monate, so gewählt, dass der Vorjahreszeitraum ganz in den Daten liegt</w:t>
            </w:r>
          </w:p>
        </w:tc>
      </w:tr>
      <w:tr>
        <w:tc>
          <w:tcPr>
            <w:tcW w:w="3102" w:type="dxa"/>
          </w:tcPr>
          <w:p>
            <w:pPr>
              <w:pStyle w:val="TableText"/>
            </w:pPr>
            <w:r>
              <w:t xml:space="preserve">Veränderung</w:t>
            </w:r>
          </w:p>
        </w:tc>
        <w:tc>
          <w:tcPr>
            <w:tcW w:w="3102" w:type="dxa"/>
          </w:tcPr>
          <w:p>
            <w:pPr>
              <w:pStyle w:val="TableText"/>
            </w:pPr>
            <w:r>
              <w:t xml:space="preserve">Wachstum gegenüber dem Vorjahr</w:t>
            </w:r>
          </w:p>
        </w:tc>
        <w:tc>
          <w:tcPr>
            <w:tcW w:w="3102" w:type="dxa"/>
          </w:tcPr>
          <w:p>
            <w:pPr>
              <w:pStyle w:val="TableText"/>
            </w:pPr>
            <w:r>
              <w:t xml:space="preserve">(aktueller Zeitraum minus gleicher Zeitraum im Vorjahr) geteilt durch den Vorjahreswert</w:t>
            </w:r>
          </w:p>
        </w:tc>
      </w:tr>
      <w:tr>
        <w:tc>
          <w:tcPr>
            <w:tcW w:w="3102" w:type="dxa"/>
          </w:tcPr>
          <w:p>
            <w:pPr>
              <w:pStyle w:val="TableText"/>
            </w:pPr>
            <w:r>
              <w:t xml:space="preserve">Eingeschlafen</w:t>
            </w:r>
          </w:p>
        </w:tc>
        <w:tc>
          <w:tcPr>
            <w:tcW w:w="3102" w:type="dxa"/>
          </w:tcPr>
          <w:p>
            <w:pPr>
              <w:pStyle w:val="TableText"/>
            </w:pPr>
            <w:r>
              <w:t xml:space="preserve">Kunde ohne Umsatz seit 6 Monaten</w:t>
            </w:r>
          </w:p>
        </w:tc>
        <w:tc>
          <w:tcPr>
            <w:tcW w:w="3102" w:type="dxa"/>
          </w:tcPr>
          <w:p>
            <w:pPr>
              <w:pStyle w:val="TableText"/>
            </w:pPr>
            <w:r>
              <w:t xml:space="preserve">Kein Umsatz in den letzten 6 Monaten und aktueller Zeitraum unter Vorjahr</w:t>
            </w:r>
          </w:p>
        </w:tc>
      </w:tr>
      <w:tr>
        <w:tc>
          <w:tcPr>
            <w:tcW w:w="3102" w:type="dxa"/>
          </w:tcPr>
          <w:p>
            <w:pPr>
              <w:pStyle w:val="TableText"/>
            </w:pPr>
            <w:r>
              <w:t xml:space="preserve">Fehlender Umsatz</w:t>
            </w:r>
          </w:p>
        </w:tc>
        <w:tc>
          <w:tcPr>
            <w:tcW w:w="3102" w:type="dxa"/>
          </w:tcPr>
          <w:p>
            <w:pPr>
              <w:pStyle w:val="TableText"/>
            </w:pPr>
            <w:r>
              <w:t xml:space="preserve">Umsatzverlust eines Kunden gegenüber dem Vorjahr</w:t>
            </w:r>
          </w:p>
        </w:tc>
        <w:tc>
          <w:tcPr>
            <w:tcW w:w="3102" w:type="dxa"/>
          </w:tcPr>
          <w:p>
            <w:pPr>
              <w:pStyle w:val="TableText"/>
            </w:pPr>
            <w:r>
              <w:t xml:space="preserve">Vorjahreswert minus aktueller Wert</w:t>
            </w:r>
          </w:p>
        </w:tc>
      </w:tr>
      <w:tr>
        <w:tc>
          <w:tcPr>
            <w:tcW w:w="3102" w:type="dxa"/>
          </w:tcPr>
          <w:p>
            <w:pPr>
              <w:pStyle w:val="TableText"/>
            </w:pPr>
            <w:r>
              <w:t xml:space="preserve">Neuer Kunde</w:t>
            </w:r>
          </w:p>
        </w:tc>
        <w:tc>
          <w:tcPr>
            <w:tcW w:w="3102" w:type="dxa"/>
          </w:tcPr>
          <w:p>
            <w:pPr>
              <w:pStyle w:val="TableText"/>
            </w:pPr>
            <w:r>
              <w:t xml:space="preserve">Kunde mit erstem Kauf im Quartal</w:t>
            </w:r>
          </w:p>
        </w:tc>
        <w:tc>
          <w:tcPr>
            <w:tcW w:w="3102" w:type="dxa"/>
          </w:tcPr>
          <w:p>
            <w:pPr>
              <w:pStyle w:val="TableText"/>
            </w:pPr>
            <w:r>
              <w:t xml:space="preserve">Erster Kauf mit positivem Umsatz im Datenbestand liegt im Quartal</w:t>
            </w:r>
          </w:p>
        </w:tc>
      </w:tr>
      <w:tr>
        <w:tc>
          <w:tcPr>
            <w:tcW w:w="3102" w:type="dxa"/>
          </w:tcPr>
          <w:p>
            <w:pPr>
              <w:pStyle w:val="TableText"/>
            </w:pPr>
            <w:r>
              <w:t xml:space="preserve">Verlorener Kunde</w:t>
            </w:r>
          </w:p>
        </w:tc>
        <w:tc>
          <w:tcPr>
            <w:tcW w:w="3102" w:type="dxa"/>
          </w:tcPr>
          <w:p>
            <w:pPr>
              <w:pStyle w:val="TableText"/>
            </w:pPr>
            <w:r>
              <w:t xml:space="preserve">Kunde ohne Kauf nach einem Quartal</w:t>
            </w:r>
          </w:p>
        </w:tc>
        <w:tc>
          <w:tcPr>
            <w:tcW w:w="3102" w:type="dxa"/>
          </w:tcPr>
          <w:p>
            <w:pPr>
              <w:pStyle w:val="TableText"/>
            </w:pPr>
            <w:r>
              <w:t xml:space="preserve">Letzter Kauf liegt im Quartal, seither nichts; angezeigt ab 6 Monaten, endgültig nach 12 Monaten</w:t>
            </w:r>
          </w:p>
        </w:tc>
      </w:tr>
      <w:tr>
        <w:tc>
          <w:tcPr>
            <w:tcW w:w="3102" w:type="dxa"/>
          </w:tcPr>
          <w:p>
            <w:pPr>
              <w:pStyle w:val="TableText"/>
            </w:pPr>
            <w:r>
              <w:t xml:space="preserve">Top-n-Anteil</w:t>
            </w:r>
          </w:p>
        </w:tc>
        <w:tc>
          <w:tcPr>
            <w:tcW w:w="3102" w:type="dxa"/>
          </w:tcPr>
          <w:p>
            <w:pPr>
              <w:pStyle w:val="TableText"/>
            </w:pPr>
            <w:r>
              <w:t xml:space="preserve">Anteil der n grössten Kunden am Umsatz</w:t>
            </w:r>
          </w:p>
        </w:tc>
        <w:tc>
          <w:tcPr>
            <w:tcW w:w="3102" w:type="dxa"/>
          </w:tcPr>
          <w:p>
            <w:pPr>
              <w:pStyle w:val="TableText"/>
            </w:pPr>
            <w:r>
              <w:t xml:space="preserve">Summe der n grössten Kundenumsätze geteilt durch den Gesamtumsatz der letzten 12 Monate</w:t>
            </w:r>
          </w:p>
        </w:tc>
      </w:tr>
      <w:tr>
        <w:tc>
          <w:tcPr>
            <w:tcW w:w="3102" w:type="dxa"/>
          </w:tcPr>
          <w:p>
            <w:pPr>
              <w:pStyle w:val="TableText"/>
            </w:pPr>
            <w:r>
              <w:t xml:space="preserve">HHI</w:t>
            </w:r>
          </w:p>
        </w:tc>
        <w:tc>
          <w:tcPr>
            <w:tcW w:w="3102" w:type="dxa"/>
          </w:tcPr>
          <w:p>
            <w:pPr>
              <w:pStyle w:val="TableText"/>
            </w:pPr>
            <w:r>
              <w:t xml:space="preserve">Mass für die Konzentration der Kundenumsätze</w:t>
            </w:r>
          </w:p>
        </w:tc>
        <w:tc>
          <w:tcPr>
            <w:tcW w:w="3102" w:type="dxa"/>
          </w:tcPr>
          <w:p>
            <w:pPr>
              <w:pStyle w:val="TableText"/>
            </w:pPr>
            <w:r>
              <w:t xml:space="preserve">Summe der quadrierten Prozentanteile aller Kunden, unter 1500 breit gestreut</w:t>
            </w:r>
          </w:p>
        </w:tc>
      </w:tr>
      <w:tr>
        <w:tc>
          <w:tcPr>
            <w:tcW w:w="3102" w:type="dxa"/>
          </w:tcPr>
          <w:p>
            <w:pPr>
              <w:pStyle w:val="TableText"/>
            </w:pPr>
            <w:r>
              <w:t xml:space="preserve">Konfidenz (Cross-Selling)</w:t>
            </w:r>
          </w:p>
        </w:tc>
        <w:tc>
          <w:tcPr>
            <w:tcW w:w="3102" w:type="dxa"/>
          </w:tcPr>
          <w:p>
            <w:pPr>
              <w:pStyle w:val="TableText"/>
            </w:pPr>
            <w:r>
              <w:t xml:space="preserve">Wahrscheinlichkeit, dass ein Kunde mit Sparte A auch B kauft</w:t>
            </w:r>
          </w:p>
        </w:tc>
        <w:tc>
          <w:tcPr>
            <w:tcW w:w="3102" w:type="dxa"/>
          </w:tcPr>
          <w:p>
            <w:pPr>
              <w:pStyle w:val="TableText"/>
            </w:pPr>
            <w:r>
              <w:t xml:space="preserve">Kunden mit A und B geteilt durch Kunden mit A, über 24 Monate</w:t>
            </w:r>
          </w:p>
        </w:tc>
      </w:tr>
      <w:tr>
        <w:tc>
          <w:tcPr>
            <w:tcW w:w="3102" w:type="dxa"/>
          </w:tcPr>
          <w:p>
            <w:pPr>
              <w:pStyle w:val="TableText"/>
            </w:pPr>
            <w:r>
              <w:t xml:space="preserve">Lift</w:t>
            </w:r>
          </w:p>
        </w:tc>
        <w:tc>
          <w:tcPr>
            <w:tcW w:w="3102" w:type="dxa"/>
          </w:tcPr>
          <w:p>
            <w:pPr>
              <w:pStyle w:val="TableText"/>
            </w:pPr>
            <w:r>
              <w:t xml:space="preserve">Verhältnis der Konfidenz zur allgemeinen Häufigkeit von B</w:t>
            </w:r>
          </w:p>
        </w:tc>
        <w:tc>
          <w:tcPr>
            <w:tcW w:w="3102" w:type="dxa"/>
          </w:tcPr>
          <w:p>
            <w:pPr>
              <w:pStyle w:val="TableText"/>
            </w:pPr>
            <w:r>
              <w:t xml:space="preserve">Konfidenz geteilt durch den Anteil aller Kunden, die B kaufen; über 1 heisst überdurchschnittlich</w:t>
            </w:r>
          </w:p>
        </w:tc>
      </w:tr>
      <w:tr>
        <w:tc>
          <w:tcPr>
            <w:tcW w:w="3102" w:type="dxa"/>
          </w:tcPr>
          <w:p>
            <w:pPr>
              <w:pStyle w:val="TableText"/>
            </w:pPr>
            <w:r>
              <w:t xml:space="preserve">Faktor (Preisstreuung)</w:t>
            </w:r>
          </w:p>
        </w:tc>
        <w:tc>
          <w:tcPr>
            <w:tcW w:w="3102" w:type="dxa"/>
          </w:tcPr>
          <w:p>
            <w:pPr>
              <w:pStyle w:val="TableText"/>
            </w:pPr>
            <w:r>
              <w:t xml:space="preserve">Breite der Preisspanne eines Artikels</w:t>
            </w:r>
          </w:p>
        </w:tc>
        <w:tc>
          <w:tcPr>
            <w:tcW w:w="3102" w:type="dxa"/>
          </w:tcPr>
          <w:p>
            <w:pPr>
              <w:pStyle w:val="TableText"/>
            </w:pPr>
            <w:r>
              <w:t xml:space="preserve">90-%-Wert des Stückpreises geteilt durch den 10-%-Wert, je Kunde</w:t>
            </w:r>
          </w:p>
        </w:tc>
      </w:tr>
      <w:tr>
        <w:tc>
          <w:tcPr>
            <w:tcW w:w="3102" w:type="dxa"/>
          </w:tcPr>
          <w:p>
            <w:pPr>
              <w:pStyle w:val="TableText"/>
            </w:pPr>
            <w:r>
              <w:t xml:space="preserve">Prognose</w:t>
            </w:r>
          </w:p>
        </w:tc>
        <w:tc>
          <w:tcPr>
            <w:tcW w:w="3102" w:type="dxa"/>
          </w:tcPr>
          <w:p>
            <w:pPr>
              <w:pStyle w:val="TableText"/>
            </w:pPr>
            <w:r>
              <w:t xml:space="preserve">Erwarteter Umsatz der nächsten 12 Monate</w:t>
            </w:r>
          </w:p>
        </w:tc>
        <w:tc>
          <w:tcPr>
            <w:tcW w:w="3102" w:type="dxa"/>
          </w:tcPr>
          <w:p>
            <w:pPr>
              <w:pStyle w:val="TableText"/>
            </w:pPr>
            <w:r>
              <w:t xml:space="preserve">Gleicher Monat im Vorjahr mal Wachstum (begrenzt auf 0.5 bis 2)</w:t>
            </w:r>
          </w:p>
        </w:tc>
      </w:tr>
      <w:tr>
        <w:tc>
          <w:tcPr>
            <w:tcW w:w="3102" w:type="dxa"/>
          </w:tcPr>
          <w:p>
            <w:pPr>
              <w:pStyle w:val="TableText"/>
            </w:pPr>
            <w:r>
              <w:t xml:space="preserve">Rückrechnung (MAPE)</w:t>
            </w:r>
          </w:p>
        </w:tc>
        <w:tc>
          <w:tcPr>
            <w:tcW w:w="3102" w:type="dxa"/>
          </w:tcPr>
          <w:p>
            <w:pPr>
              <w:pStyle w:val="TableText"/>
            </w:pPr>
            <w:r>
              <w:t xml:space="preserve">Typische Abweichung der Prognose</w:t>
            </w:r>
          </w:p>
        </w:tc>
        <w:tc>
          <w:tcPr>
            <w:tcW w:w="3102" w:type="dxa"/>
          </w:tcPr>
          <w:p>
            <w:pPr>
              <w:pStyle w:val="TableText"/>
            </w:pPr>
            <w:r>
              <w:t xml:space="preserve">Mittlere prozentuale Abweichung bei Anwendung des Verfahrens auf das letzte Jahr, erst ab drei Jahren Daten</w:t>
            </w:r>
          </w:p>
        </w:tc>
      </w:tr>
      <w:tr>
        <w:tc>
          <w:tcPr>
            <w:tcW w:w="3102" w:type="dxa"/>
          </w:tcPr>
          <w:p>
            <w:pPr>
              <w:pStyle w:val="TableText"/>
            </w:pPr>
            <w:r>
              <w:t xml:space="preserve">Saisonindex</w:t>
            </w:r>
          </w:p>
        </w:tc>
        <w:tc>
          <w:tcPr>
            <w:tcW w:w="3102" w:type="dxa"/>
          </w:tcPr>
          <w:p>
            <w:pPr>
              <w:pStyle w:val="TableText"/>
            </w:pPr>
            <w:r>
              <w:t xml:space="preserve">Stärke eines Monats gegenüber dem Durchschnitt</w:t>
            </w:r>
          </w:p>
        </w:tc>
        <w:tc>
          <w:tcPr>
            <w:tcW w:w="3102" w:type="dxa"/>
          </w:tcPr>
          <w:p>
            <w:pPr>
              <w:pStyle w:val="TableText"/>
            </w:pPr>
            <w:r>
              <w:t xml:space="preserve">Monatsumsatz geteilt durch das Monatsmittel, gemittelt über bis zu drei Jahre</w:t>
            </w:r>
          </w:p>
        </w:tc>
      </w:tr>
      <w:tr>
        <w:tc>
          <w:tcPr>
            <w:tcW w:w="3102" w:type="dxa"/>
          </w:tcPr>
          <w:p>
            <w:pPr>
              <w:pStyle w:val="TableText"/>
            </w:pPr>
            <w:r>
              <w:t xml:space="preserve">Üblicher Abstand</w:t>
            </w:r>
          </w:p>
        </w:tc>
        <w:tc>
          <w:tcPr>
            <w:tcW w:w="3102" w:type="dxa"/>
          </w:tcPr>
          <w:p>
            <w:pPr>
              <w:pStyle w:val="TableText"/>
            </w:pPr>
            <w:r>
              <w:t xml:space="preserve">Typischer Zeitraum zwischen zwei Bestellungen eines Kunden</w:t>
            </w:r>
          </w:p>
        </w:tc>
        <w:tc>
          <w:tcPr>
            <w:tcW w:w="3102" w:type="dxa"/>
          </w:tcPr>
          <w:p>
            <w:pPr>
              <w:pStyle w:val="TableText"/>
            </w:pPr>
            <w:r>
              <w:t xml:space="preserve">Median der Abstände zwischen den Bestelltagen, ab vier Bestelltagen</w:t>
            </w:r>
          </w:p>
        </w:tc>
      </w:tr>
      <w:tr>
        <w:tc>
          <w:tcPr>
            <w:tcW w:w="3102" w:type="dxa"/>
          </w:tcPr>
          <w:p>
            <w:pPr>
              <w:pStyle w:val="TableText"/>
            </w:pPr>
            <w:r>
              <w:t xml:space="preserve">Überfällig (Tage)</w:t>
            </w:r>
          </w:p>
        </w:tc>
        <w:tc>
          <w:tcPr>
            <w:tcW w:w="3102" w:type="dxa"/>
          </w:tcPr>
          <w:p>
            <w:pPr>
              <w:pStyle w:val="TableText"/>
            </w:pPr>
            <w:r>
              <w:t xml:space="preserve">Verspätung gegenüber dem Rhythmus</w:t>
            </w:r>
          </w:p>
        </w:tc>
        <w:tc>
          <w:tcPr>
            <w:tcW w:w="3102" w:type="dxa"/>
          </w:tcPr>
          <w:p>
            <w:pPr>
              <w:pStyle w:val="TableText"/>
            </w:pPr>
            <w:r>
              <w:t xml:space="preserve">Stichtag minus (letzte Bestellung plus üblicher Abstand)</w:t>
            </w:r>
          </w:p>
        </w:tc>
      </w:tr>
      <w:tr>
        <w:tc>
          <w:tcPr>
            <w:tcW w:w="3102" w:type="dxa"/>
          </w:tcPr>
          <w:p>
            <w:pPr>
              <w:pStyle w:val="TableText"/>
            </w:pPr>
            <w:r>
              <w:t xml:space="preserve">Gleitende 3-Monats-Summe</w:t>
            </w:r>
          </w:p>
        </w:tc>
        <w:tc>
          <w:tcPr>
            <w:tcW w:w="3102" w:type="dxa"/>
          </w:tcPr>
          <w:p>
            <w:pPr>
              <w:pStyle w:val="TableText"/>
            </w:pPr>
            <w:r>
              <w:t xml:space="preserve">Glättung für das Rennen</w:t>
            </w:r>
          </w:p>
        </w:tc>
        <w:tc>
          <w:tcPr>
            <w:tcW w:w="3102" w:type="dxa"/>
          </w:tcPr>
          <w:p>
            <w:pPr>
              <w:pStyle w:val="TableText"/>
            </w:pPr>
            <w:r>
              <w:t xml:space="preserve">Umsatz des Monats plus der beiden Vormonate</w:t>
            </w:r>
          </w:p>
        </w:tc>
      </w:tr>
    </w:tbl>
    <w:p>
      <w:pPr>
        <w:spacing w:before="0" w:after="80"/>
      </w:pPr>
    </w:p>
    <w:p>
      <w:r>
        <w:br w:type="page"/>
      </w:r>
    </w:p>
    <w:p>
      <w:pPr>
        <w:pStyle w:val="Heading1"/>
      </w:pPr>
      <w:r>
        <w:t xml:space="preserve">Logistik</w:t>
      </w:r>
    </w:p>
    <w:p>
      <w:r>
        <w:t xml:space="preserve">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r>
        <w:t xml:space="preserve">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pPr>
        <w:pStyle w:val="Heading2"/>
      </w:pPr>
      <w:r>
        <w:t xml:space="preserve">Stücklistenanalyse</w:t>
      </w:r>
    </w:p>
    <w:p>
      <w:pPr>
        <w:pStyle w:val="Heading3"/>
      </w:pPr>
      <w:r>
        <w:t xml:space="preserve">Wozu</w:t>
      </w:r>
    </w:p>
    <w:p>
      <w:r>
        <w:t xml:space="preserve">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pPr>
        <w:pStyle w:val="Heading3"/>
      </w:pPr>
      <w:r>
        <w:t xml:space="preserve">Was man sieht</w:t>
      </w:r>
    </w:p>
    <w:p>
      <w:r>
        <w:t xml:space="preserve">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r>
        <w:t xml:space="preserve">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der LZ-Codes und eine Detailtabelle mit Richtung, Kopfmaterial, Komponente, Bezeichnung, Menge, Exklusivität, Bestand, Endbestand, Stückkosten, Wert Endbestand, Materialstatus und LZ-Code.</w:t>
      </w:r>
    </w:p>
    <w:p>
      <w:pPr>
        <w:pStyle w:val="Heading3"/>
      </w:pPr>
      <w:r>
        <w:t xml:space="preserve">Wie gerechnet wird</w:t>
      </w:r>
    </w:p>
    <w:p>
      <w:r>
        <w:t xml:space="preserve">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beschrieben (Hinweis: nicht geprüft). Die Detailsuche arbeitet mit Teilzeichenfolgen auf Kopf- und Komponentennummer.</w:t>
      </w:r>
    </w:p>
    <w:p>
      <w:pPr>
        <w:pStyle w:val="Heading3"/>
      </w:pPr>
      <w:r>
        <w:t xml:space="preserve">Einsatz im Arbeitsalltag</w:t>
      </w:r>
    </w:p>
    <w:p>
      <w:r>
        <w:rPr>
          <w:b/>
        </w:rPr>
        <w:t xml:space="preserve">Disponent:</w:t>
      </w:r>
      <w:r>
        <w:t xml:space="preserve"> Vor einer Stücklistenänderung die Komponente Bottom-Up laden und prüfen, in wie vielen Elternmaterialien sie steckt. Hohe Balken bedeuten breite Wirkung.</w:t>
      </w:r>
    </w:p>
    <w:p>
      <w:r>
        <w:rPr>
          <w:b/>
        </w:rPr>
        <w:t xml:space="preserve">Einkäufer:</w:t>
      </w:r>
      <w:r>
        <w:t xml:space="preserve"> Vor einer Lieferantenverhandlung die Komponenten eines Produkts Top-Down ansehen. Exklusive Komponenten mit Endbestand null oder negativem Endbestand zuerst klären.</w:t>
      </w:r>
    </w:p>
    <w:p>
      <w:r>
        <w:rPr>
          <w:b/>
        </w:rPr>
        <w:t xml:space="preserve">Arbeitsvorbereitung:</w:t>
      </w:r>
      <w:r>
        <w:t xml:space="preserve"> Bei der Frage „wird dieses Teil noch irgendwo verbaut?“ Bottom-Up laden. Vor dem Schluss „nirgends verbaut“ zusätzlich „Auch gelöschte Materialien“ aktivieren.</w:t>
      </w:r>
    </w:p>
    <w:p>
      <w:pPr>
        <w:pStyle w:val="Heading3"/>
      </w:pPr>
      <w:r>
        <w:t xml:space="preserve">Grenzen und Fallstricke</w:t>
      </w:r>
    </w:p>
    <w:p>
      <w:r>
        <w:t xml:space="preserve">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aktuell im produktiven Datenstand liegen, wurde nicht geprüft; der dokumentierte Stand vom 2. September war sehr klein (Teilmenge).</w:t>
      </w:r>
    </w:p>
    <w:p>
      <w:pPr>
        <w:pStyle w:val="Heading2"/>
      </w:pPr>
      <w:r>
        <w:t xml:space="preserve">Materialdisposition &amp; Fehlteile</w:t>
      </w:r>
    </w:p>
    <w:p>
      <w:pPr>
        <w:pStyle w:val="Heading3"/>
      </w:pPr>
      <w:r>
        <w:t xml:space="preserve">Wozu</w:t>
      </w:r>
    </w:p>
    <w:p>
      <w:r>
        <w:t xml:space="preserve">Die Seite priorisiert Materialien, bei denen die Deckung nicht reicht, und zeigt, wie viele Elternmaterialien davon betroffen sind. Sie ersetzt keine Disposition in SAP, sondern liefert die Arbeitsliste für den Disponenten.</w:t>
      </w:r>
    </w:p>
    <w:p>
      <w:pPr>
        <w:pStyle w:val="Heading3"/>
      </w:pPr>
      <w:r>
        <w:t xml:space="preserve">Was man sieht</w:t>
      </w:r>
    </w:p>
    <w:p>
      <w:r>
        <w:t xml:space="preserve">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r>
        <w:t xml:space="preserve">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pPr>
        <w:pStyle w:val="Heading3"/>
      </w:pPr>
      <w:r>
        <w:t xml:space="preserve">Wie gerechnet wird</w:t>
      </w:r>
    </w:p>
    <w:p>
      <w:r>
        <w:t xml:space="preserve">Der Endbestand stammt aus der SAP-Dispositionsrechnung. Offene Bestellungen dienen nur als Beleg; sie werden nicht noch einmal zum Endbestand addiert, damit nichts doppelt zählt. Die Prioritäten:</w:t>
      </w:r>
    </w:p>
    <w:p>
      <w:pPr>
        <w:pStyle w:val="ListBullet"/>
        <w:numPr>
          <w:ilvl w:val="0"/>
          <w:numId w:val="1"/>
        </w:numPr>
      </w:pPr>
      <w:r>
        <w:t xml:space="preserve">P1: negativer Endbestand ohne festen Zugang.</w:t>
      </w:r>
    </w:p>
    <w:p>
      <w:pPr>
        <w:pStyle w:val="ListBullet"/>
        <w:numPr>
          <w:ilvl w:val="0"/>
          <w:numId w:val="1"/>
        </w:numPr>
      </w:pPr>
      <w:r>
        <w:t xml:space="preserve">P2: negativer Endbestand, aber mit festem Zugang.</w:t>
      </w:r>
    </w:p>
    <w:p>
      <w:pPr>
        <w:pStyle w:val="ListBullet"/>
        <w:numPr>
          <w:ilvl w:val="0"/>
          <w:numId w:val="1"/>
        </w:numPr>
      </w:pPr>
      <w:r>
        <w:t xml:space="preserve">P3: Endbestand unter Sicherheits- oder Meldebestand, eine exklusive Komponente ohne positive Deckung, oder ein von SAP nicht geliefertes Endbestandsfeld.</w:t>
      </w:r>
    </w:p>
    <w:p>
      <w:r>
        <w:t xml:space="preserve">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pPr>
        <w:pStyle w:val="Heading3"/>
      </w:pPr>
      <w:r>
        <w:t xml:space="preserve">Einsatz im Arbeitsalltag</w:t>
      </w:r>
    </w:p>
    <w:p>
      <w:r>
        <w:rPr>
          <w:b/>
        </w:rPr>
        <w:t xml:space="preserve">Disponent:</w:t>
      </w:r>
      <w:r>
        <w:t xml:space="preserve"> Morgens nach dem eigenen Disponentenkürzel filtern und die P1-Zeilen abarbeiten. Die Spalte „Wirkung“ zeigt, wie viele Elternmaterialien an einem Fehlteil hängen.</w:t>
      </w:r>
    </w:p>
    <w:p>
      <w:r>
        <w:rPr>
          <w:b/>
        </w:rPr>
        <w:t xml:space="preserve">Logistikleiter:</w:t>
      </w:r>
      <w:r>
        <w:t xml:space="preserve"> Die Kachel Fehlwert gibt eine Grössenordnung des Problems, sofern die Stückkosten gepflegt sind.</w:t>
      </w:r>
    </w:p>
    <w:p>
      <w:r>
        <w:rPr>
          <w:b/>
        </w:rPr>
        <w:t xml:space="preserve">Einkäufer:</w:t>
      </w:r>
      <w:r>
        <w:t xml:space="preserve"> Bei P1-Teilen im Einkauf prüfen, ob eine Bestellung unterwegs ist und wann sie fällig wird.</w:t>
      </w:r>
    </w:p>
    <w:p>
      <w:pPr>
        <w:pStyle w:val="Heading3"/>
      </w:pPr>
      <w:r>
        <w:t xml:space="preserve">Grenzen und Fallstricke</w:t>
      </w:r>
    </w:p>
    <w:p>
      <w:r>
        <w:t xml:space="preserve">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deshalb sichtbar. Die Disponentennamen stammen aus den SAP-Zuordnungen des Einkaufs; fehlt ein Name, steht „Disponent“ mit Code.</w:t>
      </w:r>
    </w:p>
    <w:p>
      <w:pPr>
        <w:pStyle w:val="Heading2"/>
      </w:pPr>
      <w:r>
        <w:t xml:space="preserve">Logistik live</w:t>
      </w:r>
    </w:p>
    <w:p>
      <w:pPr>
        <w:pStyle w:val="Heading3"/>
      </w:pPr>
      <w:r>
        <w:t xml:space="preserve">Wozu</w:t>
      </w:r>
    </w:p>
    <w:p>
      <w:r>
        <w:t xml:space="preserve">Die Seite zeigt Kommissionierung und Produktion so zeitnah wie möglich. Wer im Lager oder in der Fertigung arbeitet, sieht auf einen Blick, was erledigt ist, was offen ist und wo etwas steht. Sie entstand aus dem Wunsch der Logistik, „Echtzeit“ zu sehen.</w:t>
      </w:r>
    </w:p>
    <w:p>
      <w:pPr>
        <w:pStyle w:val="Heading3"/>
      </w:pPr>
      <w:r>
        <w:t xml:space="preserve">Was man sieht</w:t>
      </w:r>
    </w:p>
    <w:p>
      <w:r>
        <w:t xml:space="preserve">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r>
        <w:t xml:space="preserve">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pPr>
        <w:pStyle w:val="Heading3"/>
      </w:pPr>
      <w:r>
        <w:t xml:space="preserve">Wie gerechnet wird</w:t>
      </w:r>
    </w:p>
    <w:p>
      <w:r>
        <w:t xml:space="preserve">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pPr>
        <w:pStyle w:val="Heading3"/>
      </w:pPr>
      <w:r>
        <w:t xml:space="preserve">Einsatz im Arbeitsalltag</w:t>
      </w:r>
    </w:p>
    <w:p>
      <w:r>
        <w:rPr>
          <w:b/>
        </w:rPr>
        <w:t xml:space="preserve">Lagerleiter:</w:t>
      </w:r>
      <w:r>
        <w:t xml:space="preserve"> Auf dem Bildschirm im Lager die Seite offen lassen und den Fortschritt der Lieferungen verfolgen.</w:t>
      </w:r>
    </w:p>
    <w:p>
      <w:r>
        <w:rPr>
          <w:b/>
        </w:rPr>
        <w:t xml:space="preserve">Produktionsleiter:</w:t>
      </w:r>
      <w:r>
        <w:t xml:space="preserve"> Arbeitsplätze, die längere Zeit nicht zurückgemeldet haben, fallen ruhig auf.</w:t>
      </w:r>
    </w:p>
    <w:p>
      <w:r>
        <w:rPr>
          <w:b/>
        </w:rPr>
        <w:t xml:space="preserve">Controller und Geschäftsleitung:</w:t>
      </w:r>
      <w:r>
        <w:t xml:space="preserve"> Ein Blick vor Besprechungen genügt, um den Tag einzuordnen.</w:t>
      </w:r>
    </w:p>
    <w:p>
      <w:pPr>
        <w:pStyle w:val="Heading3"/>
      </w:pPr>
      <w:r>
        <w:t xml:space="preserve">Grenzen und Fallstricke</w:t>
      </w:r>
    </w:p>
    <w:p>
      <w:r>
        <w:t xml:space="preserve">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pPr>
        <w:pStyle w:val="Heading2"/>
      </w:pPr>
      <w:r>
        <w:t xml:space="preserve">Original- und Live-Übersicht</w:t>
      </w:r>
    </w:p>
    <w:p>
      <w:pPr>
        <w:pStyle w:val="Heading3"/>
      </w:pPr>
      <w:r>
        <w:t xml:space="preserve">Wozu</w:t>
      </w:r>
    </w:p>
    <w:p>
      <w:r>
        <w:t xml:space="preserve">Die Originalansicht ist die Betriebsübersicht: links Kommissionierung, rechts Produktion.</w:t>
      </w:r>
    </w:p>
    <w:p>
      <w:pPr>
        <w:pStyle w:val="Heading3"/>
      </w:pPr>
      <w:r>
        <w:t xml:space="preserve">Was man sieht</w:t>
      </w:r>
    </w:p>
    <w:p>
      <w:r>
        <w:t xml:space="preserve">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Sollmenge und ein Laufband der letzten Rückmeldungen mit Gut- und Ausschussmenge.</w:t>
      </w:r>
    </w:p>
    <w:p>
      <w:pPr>
        <w:pStyle w:val="Heading3"/>
      </w:pPr>
      <w:r>
        <w:t xml:space="preserve">Wie gerechnet wird</w:t>
      </w:r>
    </w:p>
    <w:p>
      <w:r>
        <w:t xml:space="preserve">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pPr>
        <w:pStyle w:val="Heading3"/>
      </w:pPr>
      <w:r>
        <w:t xml:space="preserve">Einsatz im Arbeitsalltag</w:t>
      </w:r>
    </w:p>
    <w:p>
      <w:r>
        <w:rPr>
          <w:b/>
        </w:rPr>
        <w:t xml:space="preserve">Schichtleiter Lager:</w:t>
      </w:r>
      <w:r>
        <w:t xml:space="preserve"> Zeigt, ob die Stunden-Spitzen abgearbeitet werden. </w:t>
      </w:r>
      <w:r>
        <w:rPr>
          <w:b/>
        </w:rPr>
        <w:t xml:space="preserve">Schichtleiter Produktion:</w:t>
      </w:r>
      <w:r>
        <w:t xml:space="preserve"> Ein dauerhaft ruhiger Arbeitsplatz mitten in der Schicht ist ein Anlass nachzufragen.</w:t>
      </w:r>
    </w:p>
    <w:p>
      <w:pPr>
        <w:pStyle w:val="Heading3"/>
      </w:pPr>
      <w:r>
        <w:t xml:space="preserve">Grenzen und Fallstricke</w:t>
      </w:r>
    </w:p>
    <w:p>
      <w:r>
        <w:t xml:space="preserve">Die Rückmeldezeit ist der Zeitpunkt der SAP-Buchung, nicht der Zeitpunkt der tatsächlichen Arbeit. Ruhig heisst nur „keine Rückmeldung“, nicht „steht still“.</w:t>
      </w:r>
    </w:p>
    <w:p>
      <w:pPr>
        <w:pStyle w:val="Heading2"/>
      </w:pPr>
      <w:r>
        <w:t xml:space="preserve">3D-Lager</w:t>
      </w:r>
    </w:p>
    <w:p>
      <w:pPr>
        <w:pStyle w:val="Heading3"/>
      </w:pPr>
      <w:r>
        <w:t xml:space="preserve">Wozu</w:t>
      </w:r>
    </w:p>
    <w:p>
      <w:r>
        <w:t xml:space="preserve">Die 3D-Ansicht zeigt die Lagerplätze so, wie man sie sich im Lager vorstellt: als Regale mit Paletten. Man sieht, wo heute Bewegung war und wo noch Positionen offen sind. Die Originalsicht bleibt jederzeit über den Umschalter erreichbar.</w:t>
      </w:r>
    </w:p>
    <w:p>
      <w:pPr>
        <w:pStyle w:val="Heading3"/>
      </w:pPr>
      <w:r>
        <w:t xml:space="preserve">Was man sieht</w:t>
      </w:r>
    </w:p>
    <w:p>
      <w:r>
        <w:t xml:space="preserve">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Schnittstellen) mit Plätzen und Bewegungen sowie die aktivsten Plätze.</w:t>
      </w:r>
    </w:p>
    <w:p>
      <w:pPr>
        <w:pStyle w:val="Heading3"/>
      </w:pPr>
      <w:r>
        <w:t xml:space="preserve">Wie gerechnet wird</w:t>
      </w:r>
    </w:p>
    <w:p>
      <w:r>
        <w:t xml:space="preserve">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pPr>
        <w:pStyle w:val="Heading3"/>
      </w:pPr>
      <w:r>
        <w:t xml:space="preserve">Einsatz im Arbeitsalltag</w:t>
      </w:r>
    </w:p>
    <w:p>
      <w:r>
        <w:rPr>
          <w:b/>
        </w:rPr>
        <w:t xml:space="preserve">Lagerleiter:</w:t>
      </w:r>
      <w:r>
        <w:t xml:space="preserve"> Ballungen und offene Positionen in einzelnen Gängen erkennen. </w:t>
      </w:r>
      <w:r>
        <w:rPr>
          <w:b/>
        </w:rPr>
        <w:t xml:space="preserve">Lagermitarbeiter:</w:t>
      </w:r>
      <w:r>
        <w:t xml:space="preserve"> Einen Platz anklicken und sehen, was dort zuletzt gebucht wurde.</w:t>
      </w:r>
    </w:p>
    <w:p>
      <w:pPr>
        <w:pStyle w:val="Heading3"/>
      </w:pPr>
      <w:r>
        <w:t xml:space="preserve">Grenzen und Fallstricke</w:t>
      </w:r>
    </w:p>
    <w:p>
      <w:r>
        <w:t xml:space="preserve">Die Lage im Regal ist eine Ableitung aus dem Platznamen und kann bei unüblichen Namen vom wirklichen Standort abweichen. Die Ansicht zeigt nur Bewegungen seit Tagesbeginn, keinen Lagerbestand.</w:t>
      </w:r>
    </w:p>
    <w:p>
      <w:pPr>
        <w:pStyle w:val="Heading2"/>
      </w:pPr>
      <w:r>
        <w:t xml:space="preserve">Produktivität</w:t>
      </w:r>
    </w:p>
    <w:p>
      <w:pPr>
        <w:pStyle w:val="Heading3"/>
      </w:pPr>
      <w:r>
        <w:t xml:space="preserve">Wozu</w:t>
      </w:r>
    </w:p>
    <w:p>
      <w:r>
        <w:t xml:space="preserve">Die Ansicht misst, wie lange das Rüsten einer Lieferung dauert und wie viel pro Stunde quittiert wird. Der Wunsch der Logistik war eine Produktivitätssicht vom Rüsten bis zum Warenausgang, ohne Personenbezug.</w:t>
      </w:r>
    </w:p>
    <w:p>
      <w:pPr>
        <w:pStyle w:val="Heading3"/>
      </w:pPr>
      <w:r>
        <w:t xml:space="preserve">Was man sieht</w:t>
      </w:r>
    </w:p>
    <w:p>
      <w:r>
        <w:t xml:space="preserve">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Rüstvorgänge.</w:t>
      </w:r>
    </w:p>
    <w:p>
      <w:pPr>
        <w:pStyle w:val="Heading3"/>
      </w:pPr>
      <w:r>
        <w:t xml:space="preserve">Wie gerechnet wird</w:t>
      </w:r>
    </w:p>
    <w:p>
      <w:r>
        <w:t xml:space="preserve">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 sind die quittierten Positionen geteilt durch die Stunden mit mindestens einer Quittierung.</w:t>
      </w:r>
    </w:p>
    <w:p>
      <w:pPr>
        <w:pStyle w:val="Heading3"/>
      </w:pPr>
      <w:r>
        <w:t xml:space="preserve">Einsatz im Arbeitsalltag</w:t>
      </w:r>
    </w:p>
    <w:p>
      <w:r>
        <w:rPr>
          <w:b/>
        </w:rPr>
        <w:t xml:space="preserve">Logistikleiter:</w:t>
      </w:r>
      <w:r>
        <w:t xml:space="preserve"> Die Mediane im Wochenvergleich beobachten und lange offene Rüstvorgänge nachverfolgen. </w:t>
      </w:r>
      <w:r>
        <w:rPr>
          <w:b/>
        </w:rPr>
        <w:t xml:space="preserve">Disponent:</w:t>
      </w:r>
      <w:r>
        <w:t xml:space="preserve"> Zeitpunkte erkennen, an denen Lieferungen zu lange im Rüsten stehen.</w:t>
      </w:r>
    </w:p>
    <w:p>
      <w:pPr>
        <w:pStyle w:val="Heading3"/>
      </w:pPr>
      <w:r>
        <w:t xml:space="preserve">Grenzen und Fallstricke</w:t>
      </w:r>
    </w:p>
    <w:p>
      <w:r>
        <w:t xml:space="preserve">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pPr>
        <w:pStyle w:val="Heading2"/>
      </w:pPr>
      <w:r>
        <w:t xml:space="preserve">Leistung je Person (nur nach Anmeldung)</w:t>
      </w:r>
    </w:p>
    <w:p>
      <w:pPr>
        <w:pStyle w:val="Heading3"/>
      </w:pPr>
      <w:r>
        <w:t xml:space="preserve">Wozu</w:t>
      </w:r>
    </w:p>
    <w:p>
      <w:r>
        <w:t xml:space="preserve">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pPr>
        <w:pStyle w:val="Heading3"/>
      </w:pPr>
      <w:r>
        <w:t xml:space="preserve">Was man sieht</w:t>
      </w:r>
    </w:p>
    <w:p>
      <w:r>
        <w:t xml:space="preserve">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pPr>
        <w:pStyle w:val="Heading3"/>
      </w:pPr>
      <w:r>
        <w:t xml:space="preserve">Wie gerechnet wird</w:t>
      </w:r>
    </w:p>
    <w:p>
      <w:r>
        <w:t xml:space="preserve">Geschätzte Stunden: Aufeinanderfolgende Quittierungen mit höchstens 15 Minuten Abstand gelten als ein Arbeitsabschnitt; eine einzelne Quittierung zählt als zwei Minuten. Positionen je Stunde sind quittierte Positionen geteilt durch diese geschätzten Stunden.</w:t>
      </w:r>
    </w:p>
    <w:p>
      <w:pPr>
        <w:pStyle w:val="Heading3"/>
      </w:pPr>
      <w:r>
        <w:t xml:space="preserve">Einsatz im Arbeitsalltag</w:t>
      </w:r>
    </w:p>
    <w:p>
      <w:r>
        <w:rPr>
          <w:b/>
        </w:rPr>
        <w:t xml:space="preserve">Logistikleiter:</w:t>
      </w:r>
      <w:r>
        <w:t xml:space="preserve"> Zur Einsatzplanung und für das Gespräch im Team, nicht für Einzelvergleiche ohne Kontext. </w:t>
      </w:r>
      <w:r>
        <w:rPr>
          <w:b/>
        </w:rPr>
        <w:t xml:space="preserve">HR:</w:t>
      </w:r>
      <w:r>
        <w:t xml:space="preserve"> Darf zur Kontrolle die Darstellung einsehen.</w:t>
      </w:r>
    </w:p>
    <w:p>
      <w:pPr>
        <w:pStyle w:val="Heading3"/>
      </w:pPr>
      <w:r>
        <w:t xml:space="preserve">Grenzen und Fallstricke</w:t>
      </w:r>
    </w:p>
    <w:p>
      <w:r>
        <w:t xml:space="preserve">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pPr>
        <w:pStyle w:val="Heading2"/>
      </w:pPr>
      <w:r>
        <w:t xml:space="preserve">Kapazität</w:t>
      </w:r>
    </w:p>
    <w:p>
      <w:pPr>
        <w:pStyle w:val="Heading3"/>
      </w:pPr>
      <w:r>
        <w:t xml:space="preserve">Wozu</w:t>
      </w:r>
    </w:p>
    <w:p>
      <w:r>
        <w:t xml:space="preserve">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pPr>
        <w:pStyle w:val="Heading3"/>
      </w:pPr>
      <w:r>
        <w:t xml:space="preserve">Was man sieht</w:t>
      </w:r>
    </w:p>
    <w:p>
      <w:r>
        <w:rPr>
          <w:b/>
        </w:rPr>
        <w:t xml:space="preserve">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r>
        <w:rPr>
          <w:b/>
        </w:rPr>
        <w:t xml:space="preserve">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r>
        <w:rPr>
          <w:b/>
        </w:rPr>
        <w:t xml:space="preserve">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pPr>
        <w:pStyle w:val="Heading3"/>
      </w:pPr>
      <w:r>
        <w:t xml:space="preserve">Wie gerechnet wird</w:t>
      </w:r>
    </w:p>
    <w:p>
      <w:r>
        <w:t xml:space="preserve">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r>
        <w:t xml:space="preserve">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Cockpit offene und quittierte Positionen selbst. Planzeiten werden vom letzten erfassten Tag übernommen.</w:t>
      </w:r>
    </w:p>
    <w:p>
      <w:pPr>
        <w:pStyle w:val="Heading3"/>
      </w:pPr>
      <w:r>
        <w:t xml:space="preserve">Einsatz im Arbeitsalltag</w:t>
      </w:r>
    </w:p>
    <w:p>
      <w:r>
        <w:rPr>
          <w:b/>
        </w:rPr>
        <w:t xml:space="preserve">Logistikleiter:</w:t>
      </w:r>
      <w:r>
        <w:t xml:space="preserve"> Mit der Warenausgangsvorschau die Schichtbesetzung für die nächsten Tage planen und überfällige Lieferungen früh erkennen. </w:t>
      </w:r>
      <w:r>
        <w:rPr>
          <w:b/>
        </w:rPr>
        <w:t xml:space="preserve">Arbeitsvorbereitung:</w:t>
      </w:r>
      <w:r>
        <w:t xml:space="preserve"> Die Produktionskapazität mit der Belastung je Tag ansehen, um Engpässe zu erkennen. </w:t>
      </w:r>
      <w:r>
        <w:rPr>
          <w:b/>
        </w:rPr>
        <w:t xml:space="preserve">Bereichsleiter:</w:t>
      </w:r>
      <w:r>
        <w:t xml:space="preserve"> Tageswerte erfassen; die Spalte „gemessen min/Einheit“ hilft, die Planzeiten aus überprüften Messungen abzuleiten.</w:t>
      </w:r>
    </w:p>
    <w:p>
      <w:pPr>
        <w:pStyle w:val="Heading3"/>
      </w:pPr>
      <w:r>
        <w:t xml:space="preserve">Grenzen und Fallstricke</w:t>
      </w:r>
    </w:p>
    <w:p>
      <w:r>
        <w:rPr>
          <w:b/>
        </w:rPr>
        <w:t xml:space="preserve">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Vorschau Warenausgang und die Bereichstabelle sind davon nicht betroffen.</w:t>
      </w:r>
    </w:p>
    <w:p>
      <w:r>
        <w:t xml:space="preserve">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pPr>
        <w:pStyle w:val="Heading2"/>
      </w:pPr>
      <w:r>
        <w:t xml:space="preserve">Verwendung &amp; Risiko</w:t>
      </w:r>
    </w:p>
    <w:p>
      <w:pPr>
        <w:pStyle w:val="Heading3"/>
      </w:pPr>
      <w:r>
        <w:t xml:space="preserve">Wozu</w:t>
      </w:r>
    </w:p>
    <w:p>
      <w:r>
        <w:t xml:space="preserve">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pPr>
        <w:pStyle w:val="Heading3"/>
      </w:pPr>
      <w:r>
        <w:t xml:space="preserve">Was man sieht</w:t>
      </w:r>
    </w:p>
    <w:p>
      <w:r>
        <w:t xml:space="preserve">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r>
        <w:t xml:space="preserve">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pPr>
        <w:pStyle w:val="Heading3"/>
      </w:pPr>
      <w:r>
        <w:t xml:space="preserve">Wie gerechnet wird</w:t>
      </w:r>
    </w:p>
    <w:p>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werden bewusst ausgeblendet. Texte kommen aus dem Einkauf, sonst aus den Schweizer Verkaufszeilen. Zirkuläre Stücklisten in den Daten werden abgefangen.</w:t>
      </w:r>
    </w:p>
    <w:p>
      <w:pPr>
        <w:pStyle w:val="Heading3"/>
      </w:pPr>
      <w:r>
        <w:t xml:space="preserve">Einsatz im Arbeitsalltag</w:t>
      </w:r>
    </w:p>
    <w:p>
      <w:r>
        <w:rPr>
          <w:b/>
        </w:rPr>
        <w:t xml:space="preserve">Einkäufer:</w:t>
      </w:r>
      <w:r>
        <w:t xml:space="preserve"> Vor der Lieferantenverhandlung nach der Spitzenreiter-Komponente suchen und sehen, wie viele Endprodukte an einem Lieferanten hängen. </w:t>
      </w:r>
      <w:r>
        <w:rPr>
          <w:b/>
        </w:rPr>
        <w:t xml:space="preserve">Disponent:</w:t>
      </w:r>
      <w:r>
        <w:t xml:space="preserve"> Bei einer Lieferverzögerung den Verwendungsbaum öffnen und betroffene Endprodukte benennen. </w:t>
      </w:r>
      <w:r>
        <w:rPr>
          <w:b/>
        </w:rPr>
        <w:t xml:space="preserve">Geschäftsleitung:</w:t>
      </w:r>
      <w:r>
        <w:t xml:space="preserve"> Die Liste der Endprodukte mit vererbtem Risiko zeigt, wo Lieferketten besonders dünn sind.</w:t>
      </w:r>
    </w:p>
    <w:p>
      <w:pPr>
        <w:pStyle w:val="Heading3"/>
      </w:pPr>
      <w:r>
        <w:t xml:space="preserve">Grenzen und Fallstricke</w:t>
      </w:r>
    </w:p>
    <w:p>
      <w:r>
        <w:t xml:space="preserve">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pPr>
        <w:pStyle w:val="Heading2"/>
      </w:pPr>
      <w:r>
        <w:t xml:space="preserve">Dispositionsprüfung</w:t>
      </w:r>
    </w:p>
    <w:p>
      <w:pPr>
        <w:pStyle w:val="Heading3"/>
      </w:pPr>
      <w:r>
        <w:t xml:space="preserve">Wozu</w:t>
      </w:r>
    </w:p>
    <w:p>
      <w:r>
        <w:t xml:space="preserve">Die Seite erzeugt aus den Dispositionsparametern in SAP konkrete Prüfaufträge. Sie findet fehlende oder auffällige Einstellungen, bevor sie zu Fehlteilen führen. Es wird nichts automatisch geändert; jede Zeile ist eine fachliche Prüfaufgabe.</w:t>
      </w:r>
    </w:p>
    <w:p>
      <w:pPr>
        <w:pStyle w:val="Heading3"/>
      </w:pPr>
      <w:r>
        <w:t xml:space="preserve">Was man sieht</w:t>
      </w:r>
    </w:p>
    <w:p>
      <w:r>
        <w:t xml:space="preserve">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pPr>
        <w:pStyle w:val="Heading3"/>
      </w:pPr>
      <w:r>
        <w:t xml:space="preserve">Wie gerechnet wird</w:t>
      </w:r>
    </w:p>
    <w:p>
      <w:r>
        <w:t xml:space="preserve">Ein Material kann mehrere Prüfaufträge auslösen. Die Regeln:</w:t>
      </w:r>
    </w:p>
    <w:p>
      <w:pPr>
        <w:pStyle w:val="ListBullet"/>
        <w:numPr>
          <w:ilvl w:val="0"/>
          <w:numId w:val="1"/>
        </w:numPr>
      </w:pPr>
      <w:r>
        <w:t xml:space="preserve">P1: negativer Endbestand ohne Sicherheitsbestand.</w:t>
      </w:r>
    </w:p>
    <w:p>
      <w:pPr>
        <w:pStyle w:val="ListBullet"/>
        <w:numPr>
          <w:ilvl w:val="0"/>
          <w:numId w:val="1"/>
        </w:numPr>
      </w:pPr>
      <w:r>
        <w:t xml:space="preserve">P1: negativer Endbestand ohne Meldebestand.</w:t>
      </w:r>
    </w:p>
    <w:p>
      <w:pPr>
        <w:pStyle w:val="ListBullet"/>
        <w:numPr>
          <w:ilvl w:val="0"/>
          <w:numId w:val="1"/>
        </w:numPr>
      </w:pPr>
      <w:r>
        <w:t xml:space="preserve">P1: Material mit Status 98 oder 99 (gesperrt oder auslaufend), das noch in Elternmaterialien verwendet wird.</w:t>
      </w:r>
    </w:p>
    <w:p>
      <w:pPr>
        <w:pStyle w:val="ListBullet"/>
        <w:numPr>
          <w:ilvl w:val="0"/>
          <w:numId w:val="1"/>
        </w:numPr>
      </w:pPr>
      <w:r>
        <w:t xml:space="preserve">P2: Dispositionsmerkmal fehlt.</w:t>
      </w:r>
    </w:p>
    <w:p>
      <w:pPr>
        <w:pStyle w:val="ListBullet"/>
        <w:numPr>
          <w:ilvl w:val="0"/>
          <w:numId w:val="1"/>
        </w:numPr>
      </w:pPr>
      <w:r>
        <w:t xml:space="preserve">P2: Beschaffungsart fehlt.</w:t>
      </w:r>
    </w:p>
    <w:p>
      <w:pPr>
        <w:pStyle w:val="ListBullet"/>
        <w:numPr>
          <w:ilvl w:val="0"/>
          <w:numId w:val="1"/>
        </w:numPr>
      </w:pPr>
      <w:r>
        <w:t xml:space="preserve">P3: Fixlosgrösse bei bestehender Deckungslücke prüfen.</w:t>
      </w:r>
    </w:p>
    <w:p>
      <w:pPr>
        <w:pStyle w:val="Heading3"/>
      </w:pPr>
      <w:r>
        <w:t xml:space="preserve">Einsatz im Arbeitsalltag</w:t>
      </w:r>
    </w:p>
    <w:p>
      <w:r>
        <w:rPr>
          <w:b/>
        </w:rPr>
        <w:t xml:space="preserve">Disponent:</w:t>
      </w:r>
      <w:r>
        <w:t xml:space="preserve"> Einmal pro Woche die P1-Aufträge durchgehen und die Parameter in SAP korrigieren. </w:t>
      </w:r>
      <w:r>
        <w:rPr>
          <w:b/>
        </w:rPr>
        <w:t xml:space="preserve">Stammdatenpflege:</w:t>
      </w:r>
      <w:r>
        <w:t xml:space="preserve"> Fehlende Dispositionsmerkmale und Beschaffungsarten bereinigen. </w:t>
      </w:r>
      <w:r>
        <w:rPr>
          <w:b/>
        </w:rPr>
        <w:t xml:space="preserve">Einkäufer:</w:t>
      </w:r>
      <w:r>
        <w:t xml:space="preserve"> Bei auslaufenden, aber noch verwendeten Materialien über Ersatz entscheiden.</w:t>
      </w:r>
    </w:p>
    <w:p>
      <w:pPr>
        <w:pStyle w:val="Heading3"/>
      </w:pPr>
      <w:r>
        <w:t xml:space="preserve">Grenzen und Fallstricke</w:t>
      </w:r>
    </w:p>
    <w:p>
      <w:r>
        <w:t xml:space="preserve">Die Seite schreibt keine Parameter nach SAP zurück. Die Regeln sind Plausibilitätsprüfungen; ein Treffer heisst nicht, dass der Wert falsch ist. Der Umfang hängt vom geladenen Datenstand ab. Wie die Tabelle zeigt, ist sie auf 1'000 Treffer begrenzt.</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Endbestand</w:t>
            </w:r>
          </w:p>
        </w:tc>
        <w:tc>
          <w:tcPr>
            <w:tcW w:w="3102" w:type="dxa"/>
          </w:tcPr>
          <w:p>
            <w:pPr>
              <w:pStyle w:val="TableText"/>
            </w:pPr>
            <w:r>
              <w:t xml:space="preserve">Bestand nach Berücksichtigung der Disposition</w:t>
            </w:r>
          </w:p>
        </w:tc>
        <w:tc>
          <w:tcPr>
            <w:tcW w:w="3102" w:type="dxa"/>
          </w:tcPr>
          <w:p>
            <w:pPr>
              <w:pStyle w:val="TableText"/>
            </w:pPr>
            <w:r>
              <w:t xml:space="preserve">Wert aus der SAP-Dispositionsrechnung; Bestellungen werden nicht nochmals addiert</w:t>
            </w:r>
          </w:p>
        </w:tc>
      </w:tr>
      <w:tr>
        <w:tc>
          <w:tcPr>
            <w:tcW w:w="3102" w:type="dxa"/>
          </w:tcPr>
          <w:p>
            <w:pPr>
              <w:pStyle w:val="TableText"/>
            </w:pPr>
            <w:r>
              <w:t xml:space="preserve">Fehlmenge</w:t>
            </w:r>
          </w:p>
        </w:tc>
        <w:tc>
          <w:tcPr>
            <w:tcW w:w="3102" w:type="dxa"/>
          </w:tcPr>
          <w:p>
            <w:pPr>
              <w:pStyle w:val="TableText"/>
            </w:pPr>
            <w:r>
              <w:t xml:space="preserve">Menge, die zur Deckung fehlt</w:t>
            </w:r>
          </w:p>
        </w:tc>
        <w:tc>
          <w:tcPr>
            <w:tcW w:w="3102" w:type="dxa"/>
          </w:tcPr>
          <w:p>
            <w:pPr>
              <w:pStyle w:val="TableText"/>
            </w:pPr>
            <w:r>
              <w:t xml:space="preserve">Negativer Endbestand als positive Zahl</w:t>
            </w:r>
          </w:p>
        </w:tc>
      </w:tr>
      <w:tr>
        <w:tc>
          <w:tcPr>
            <w:tcW w:w="3102" w:type="dxa"/>
          </w:tcPr>
          <w:p>
            <w:pPr>
              <w:pStyle w:val="TableText"/>
            </w:pPr>
            <w:r>
              <w:t xml:space="preserve">Fehlwert CHF</w:t>
            </w:r>
          </w:p>
        </w:tc>
        <w:tc>
          <w:tcPr>
            <w:tcW w:w="3102" w:type="dxa"/>
          </w:tcPr>
          <w:p>
            <w:pPr>
              <w:pStyle w:val="TableText"/>
            </w:pPr>
            <w:r>
              <w:t xml:space="preserve">Wert der fehlenden Menge</w:t>
            </w:r>
          </w:p>
        </w:tc>
        <w:tc>
          <w:tcPr>
            <w:tcW w:w="3102" w:type="dxa"/>
          </w:tcPr>
          <w:p>
            <w:pPr>
              <w:pStyle w:val="TableText"/>
            </w:pPr>
            <w:r>
              <w:t xml:space="preserve">Fehlmenge mal Stückkosten; ohne Stückkosten unbekannt</w:t>
            </w:r>
          </w:p>
        </w:tc>
      </w:tr>
      <w:tr>
        <w:tc>
          <w:tcPr>
            <w:tcW w:w="3102" w:type="dxa"/>
          </w:tcPr>
          <w:p>
            <w:pPr>
              <w:pStyle w:val="TableText"/>
            </w:pPr>
            <w:r>
              <w:t xml:space="preserve">Priorität P1/P2/P3</w:t>
            </w:r>
          </w:p>
        </w:tc>
        <w:tc>
          <w:tcPr>
            <w:tcW w:w="3102" w:type="dxa"/>
          </w:tcPr>
          <w:p>
            <w:pPr>
              <w:pStyle w:val="TableText"/>
            </w:pPr>
            <w:r>
              <w:t xml:space="preserve">Dringlichkeit eines Hinweises</w:t>
            </w:r>
          </w:p>
        </w:tc>
        <w:tc>
          <w:tcPr>
            <w:tcW w:w="3102" w:type="dxa"/>
          </w:tcPr>
          <w:p>
            <w:pPr>
              <w:pStyle w:val="TableText"/>
            </w:pPr>
            <w:r>
              <w:t xml:space="preserve">Regelbasiert, siehe die einzelnen Seiten</w:t>
            </w:r>
          </w:p>
        </w:tc>
      </w:tr>
      <w:tr>
        <w:tc>
          <w:tcPr>
            <w:tcW w:w="3102" w:type="dxa"/>
          </w:tcPr>
          <w:p>
            <w:pPr>
              <w:pStyle w:val="TableText"/>
            </w:pPr>
            <w:r>
              <w:t xml:space="preserve">Exklusive Komponente</w:t>
            </w:r>
          </w:p>
        </w:tc>
        <w:tc>
          <w:tcPr>
            <w:tcW w:w="3102" w:type="dxa"/>
          </w:tcPr>
          <w:p>
            <w:pPr>
              <w:pStyle w:val="TableText"/>
            </w:pPr>
            <w:r>
              <w:t xml:space="preserve">Kennzeichen aus dem SAP-Stücklistenbericht, Hinweis auf besondere Abhängigkeit</w:t>
            </w:r>
          </w:p>
        </w:tc>
        <w:tc>
          <w:tcPr>
            <w:tcW w:w="3102" w:type="dxa"/>
          </w:tcPr>
          <w:p>
            <w:pPr>
              <w:pStyle w:val="TableText"/>
            </w:pPr>
            <w:r>
              <w:t xml:space="preserve">Wird unverändert übernommen und gezählt; genaue Definition nicht geprüft</w:t>
            </w:r>
          </w:p>
        </w:tc>
      </w:tr>
      <w:tr>
        <w:tc>
          <w:tcPr>
            <w:tcW w:w="3102" w:type="dxa"/>
          </w:tcPr>
          <w:p>
            <w:pPr>
              <w:pStyle w:val="TableText"/>
            </w:pPr>
            <w:r>
              <w:t xml:space="preserve">LZ-Code</w:t>
            </w:r>
          </w:p>
        </w:tc>
        <w:tc>
          <w:tcPr>
            <w:tcW w:w="3102" w:type="dxa"/>
          </w:tcPr>
          <w:p>
            <w:pPr>
              <w:pStyle w:val="TableText"/>
            </w:pPr>
            <w:r>
              <w:t xml:space="preserve">Kennzeichen des Logistikberichts für Komponenten</w:t>
            </w:r>
          </w:p>
        </w:tc>
        <w:tc>
          <w:tcPr>
            <w:tcW w:w="3102" w:type="dxa"/>
          </w:tcPr>
          <w:p>
            <w:pPr>
              <w:pStyle w:val="TableText"/>
            </w:pPr>
            <w:r>
              <w:t xml:space="preserve">Wird je Komponente geführt und nur gezählt</w:t>
            </w:r>
          </w:p>
        </w:tc>
      </w:tr>
      <w:tr>
        <w:tc>
          <w:tcPr>
            <w:tcW w:w="3102" w:type="dxa"/>
          </w:tcPr>
          <w:p>
            <w:pPr>
              <w:pStyle w:val="TableText"/>
            </w:pPr>
            <w:r>
              <w:t xml:space="preserve">Wirkung (Eltern, Endprodukte)</w:t>
            </w:r>
          </w:p>
        </w:tc>
        <w:tc>
          <w:tcPr>
            <w:tcW w:w="3102" w:type="dxa"/>
          </w:tcPr>
          <w:p>
            <w:pPr>
              <w:pStyle w:val="TableText"/>
            </w:pPr>
            <w:r>
              <w:t xml:space="preserve">Wie viele übergeordnete Teile an einer Komponente hängen</w:t>
            </w:r>
          </w:p>
        </w:tc>
        <w:tc>
          <w:tcPr>
            <w:tcW w:w="3102" w:type="dxa"/>
          </w:tcPr>
          <w:p>
            <w:pPr>
              <w:pStyle w:val="TableText"/>
            </w:pPr>
            <w:r>
              <w:t xml:space="preserve">Anzahl unterschiedlicher Eltern, bei Verwendung und Risiko über alle Stufen bis zu den Endprodukten</w:t>
            </w:r>
          </w:p>
        </w:tc>
      </w:tr>
      <w:tr>
        <w:tc>
          <w:tcPr>
            <w:tcW w:w="3102" w:type="dxa"/>
          </w:tcPr>
          <w:p>
            <w:pPr>
              <w:pStyle w:val="TableText"/>
            </w:pPr>
            <w:r>
              <w:t xml:space="preserve">Eine Quelle</w:t>
            </w:r>
          </w:p>
        </w:tc>
        <w:tc>
          <w:tcPr>
            <w:tcW w:w="3102" w:type="dxa"/>
          </w:tcPr>
          <w:p>
            <w:pPr>
              <w:pStyle w:val="TableText"/>
            </w:pPr>
            <w:r>
              <w:t xml:space="preserve">Komponente mit nur einem Lieferanten</w:t>
            </w:r>
          </w:p>
        </w:tc>
        <w:tc>
          <w:tcPr>
            <w:tcW w:w="3102" w:type="dxa"/>
          </w:tcPr>
          <w:p>
            <w:pPr>
              <w:pStyle w:val="TableText"/>
            </w:pPr>
            <w:r>
              <w:t xml:space="preserve">Ein einziger Lieferant in den Normalbestellungen der letzten 24 Monate</w:t>
            </w:r>
          </w:p>
        </w:tc>
      </w:tr>
      <w:tr>
        <w:tc>
          <w:tcPr>
            <w:tcW w:w="3102" w:type="dxa"/>
          </w:tcPr>
          <w:p>
            <w:pPr>
              <w:pStyle w:val="TableText"/>
            </w:pPr>
            <w:r>
              <w:t xml:space="preserve">Überfällig (Einkauf)</w:t>
            </w:r>
          </w:p>
        </w:tc>
        <w:tc>
          <w:tcPr>
            <w:tcW w:w="3102" w:type="dxa"/>
          </w:tcPr>
          <w:p>
            <w:pPr>
              <w:pStyle w:val="TableText"/>
            </w:pPr>
            <w:r>
              <w:t xml:space="preserve">Offene Bestellmenge nach Termin</w:t>
            </w:r>
          </w:p>
        </w:tc>
        <w:tc>
          <w:tcPr>
            <w:tcW w:w="3102" w:type="dxa"/>
          </w:tcPr>
          <w:p>
            <w:pPr>
              <w:pStyle w:val="TableText"/>
            </w:pPr>
            <w:r>
              <w:t xml:space="preserve">Liefertermin in den letzten zwölf Monaten vorbei und noch nicht voll geliefert</w:t>
            </w:r>
          </w:p>
        </w:tc>
      </w:tr>
      <w:tr>
        <w:tc>
          <w:tcPr>
            <w:tcW w:w="3102" w:type="dxa"/>
          </w:tcPr>
          <w:p>
            <w:pPr>
              <w:pStyle w:val="TableText"/>
            </w:pPr>
            <w:r>
              <w:t xml:space="preserve">Durchlaufzeit je Lieferung</w:t>
            </w:r>
          </w:p>
        </w:tc>
        <w:tc>
          <w:tcPr>
            <w:tcW w:w="3102" w:type="dxa"/>
          </w:tcPr>
          <w:p>
            <w:pPr>
              <w:pStyle w:val="TableText"/>
            </w:pPr>
            <w:r>
              <w:t xml:space="preserve">Zeit vom ersten Transportauftrag bis zur letzten Quittierung</w:t>
            </w:r>
          </w:p>
        </w:tc>
        <w:tc>
          <w:tcPr>
            <w:tcW w:w="3102" w:type="dxa"/>
          </w:tcPr>
          <w:p>
            <w:pPr>
              <w:pStyle w:val="TableText"/>
            </w:pPr>
            <w:r>
              <w:t xml:space="preserve">Mediane und 80-Prozent-Grenze über alle gerüsteten Lieferungen des Tages</w:t>
            </w:r>
          </w:p>
        </w:tc>
      </w:tr>
      <w:tr>
        <w:tc>
          <w:tcPr>
            <w:tcW w:w="3102" w:type="dxa"/>
          </w:tcPr>
          <w:p>
            <w:pPr>
              <w:pStyle w:val="TableText"/>
            </w:pPr>
            <w:r>
              <w:t xml:space="preserve">Zeit bis Warenausgang</w:t>
            </w:r>
          </w:p>
        </w:tc>
        <w:tc>
          <w:tcPr>
            <w:tcW w:w="3102" w:type="dxa"/>
          </w:tcPr>
          <w:p>
            <w:pPr>
              <w:pStyle w:val="TableText"/>
            </w:pPr>
            <w:r>
              <w:t xml:space="preserve">Zeit vom ersten Transportauftrag bis zur Warenbewegung</w:t>
            </w:r>
          </w:p>
        </w:tc>
        <w:tc>
          <w:tcPr>
            <w:tcW w:w="3102" w:type="dxa"/>
          </w:tcPr>
          <w:p>
            <w:pPr>
              <w:pStyle w:val="TableText"/>
            </w:pPr>
            <w:r>
              <w:t xml:space="preserve">Nur für Lieferungen mit plausibler Warenausgangs-Uhrzeit</w:t>
            </w:r>
          </w:p>
        </w:tc>
      </w:tr>
      <w:tr>
        <w:tc>
          <w:tcPr>
            <w:tcW w:w="3102" w:type="dxa"/>
          </w:tcPr>
          <w:p>
            <w:pPr>
              <w:pStyle w:val="TableText"/>
            </w:pPr>
            <w:r>
              <w:t xml:space="preserve">Positionen je aktive Stunde</w:t>
            </w:r>
          </w:p>
        </w:tc>
        <w:tc>
          <w:tcPr>
            <w:tcW w:w="3102" w:type="dxa"/>
          </w:tcPr>
          <w:p>
            <w:pPr>
              <w:pStyle w:val="TableText"/>
            </w:pPr>
            <w:r>
              <w:t xml:space="preserve">Quittierleistung des Lagers</w:t>
            </w:r>
          </w:p>
        </w:tc>
        <w:tc>
          <w:tcPr>
            <w:tcW w:w="3102" w:type="dxa"/>
          </w:tcPr>
          <w:p>
            <w:pPr>
              <w:pStyle w:val="TableText"/>
            </w:pPr>
            <w:r>
              <w:t xml:space="preserve">Quittierte Positionen geteilt durch Stunden mit mindestens einer Quittierung</w:t>
            </w:r>
          </w:p>
        </w:tc>
      </w:tr>
      <w:tr>
        <w:tc>
          <w:tcPr>
            <w:tcW w:w="3102" w:type="dxa"/>
          </w:tcPr>
          <w:p>
            <w:pPr>
              <w:pStyle w:val="TableText"/>
            </w:pPr>
            <w:r>
              <w:t xml:space="preserve">Geschätzte Stunden (Person)</w:t>
            </w:r>
          </w:p>
        </w:tc>
        <w:tc>
          <w:tcPr>
            <w:tcW w:w="3102" w:type="dxa"/>
          </w:tcPr>
          <w:p>
            <w:pPr>
              <w:pStyle w:val="TableText"/>
            </w:pPr>
            <w:r>
              <w:t xml:space="preserve">Näherung der Arbeitszeit</w:t>
            </w:r>
          </w:p>
        </w:tc>
        <w:tc>
          <w:tcPr>
            <w:tcW w:w="3102" w:type="dxa"/>
          </w:tcPr>
          <w:p>
            <w:pPr>
              <w:pStyle w:val="TableText"/>
            </w:pPr>
            <w:r>
              <w:t xml:space="preserve">Quittierungen mit höchstens 15 Minuten Abstand bilden einen Abschnitt, Einzelquittierung zwei Minuten</w:t>
            </w:r>
          </w:p>
        </w:tc>
      </w:tr>
      <w:tr>
        <w:tc>
          <w:tcPr>
            <w:tcW w:w="3102" w:type="dxa"/>
          </w:tcPr>
          <w:p>
            <w:pPr>
              <w:pStyle w:val="TableText"/>
            </w:pPr>
            <w:r>
              <w:t xml:space="preserve">Belastung (Produktion)</w:t>
            </w:r>
          </w:p>
        </w:tc>
        <w:tc>
          <w:tcPr>
            <w:tcW w:w="3102" w:type="dxa"/>
          </w:tcPr>
          <w:p>
            <w:pPr>
              <w:pStyle w:val="TableText"/>
            </w:pPr>
            <w:r>
              <w:t xml:space="preserve">Auslastung einer Kapazität pro Tag</w:t>
            </w:r>
          </w:p>
        </w:tc>
        <w:tc>
          <w:tcPr>
            <w:tcW w:w="3102" w:type="dxa"/>
          </w:tcPr>
          <w:p>
            <w:pPr>
              <w:pStyle w:val="TableText"/>
            </w:pPr>
            <w:r>
              <w:t xml:space="preserve">Restbedarf der Fertigungsaufträge geteilt durch Standardangebot; derzeit überhöht, siehe Kapazität</w:t>
            </w:r>
          </w:p>
        </w:tc>
      </w:tr>
      <w:tr>
        <w:tc>
          <w:tcPr>
            <w:tcW w:w="3102" w:type="dxa"/>
          </w:tcPr>
          <w:p>
            <w:pPr>
              <w:pStyle w:val="TableText"/>
            </w:pPr>
            <w:r>
              <w:t xml:space="preserve">Belastung (Bereich)</w:t>
            </w:r>
          </w:p>
        </w:tc>
        <w:tc>
          <w:tcPr>
            <w:tcW w:w="3102" w:type="dxa"/>
          </w:tcPr>
          <w:p>
            <w:pPr>
              <w:pStyle w:val="TableText"/>
            </w:pPr>
            <w:r>
              <w:t xml:space="preserve">Auslastung eines Bereichs</w:t>
            </w:r>
          </w:p>
        </w:tc>
        <w:tc>
          <w:tcPr>
            <w:tcW w:w="3102" w:type="dxa"/>
          </w:tcPr>
          <w:p>
            <w:pPr>
              <w:pStyle w:val="TableText"/>
            </w:pPr>
            <w:r>
              <w:t xml:space="preserve">Bedarf (offen mal Planzeit) geteilt durch verfügbare Stunden; grün bis 85 %, orange bis 100 %, rot darüber</w:t>
            </w:r>
          </w:p>
        </w:tc>
      </w:tr>
      <w:tr>
        <w:tc>
          <w:tcPr>
            <w:tcW w:w="3102" w:type="dxa"/>
          </w:tcPr>
          <w:p>
            <w:pPr>
              <w:pStyle w:val="TableText"/>
            </w:pPr>
            <w:r>
              <w:t xml:space="preserve">Lücke (Std.)</w:t>
            </w:r>
          </w:p>
        </w:tc>
        <w:tc>
          <w:tcPr>
            <w:tcW w:w="3102" w:type="dxa"/>
          </w:tcPr>
          <w:p>
            <w:pPr>
              <w:pStyle w:val="TableText"/>
            </w:pPr>
            <w:r>
              <w:t xml:space="preserve">Fehlende Personenstunden</w:t>
            </w:r>
          </w:p>
        </w:tc>
        <w:tc>
          <w:tcPr>
            <w:tcW w:w="3102" w:type="dxa"/>
          </w:tcPr>
          <w:p>
            <w:pPr>
              <w:pStyle w:val="TableText"/>
            </w:pPr>
            <w:r>
              <w:t xml:space="preserve">Bedarf minus verfügbare Stunden</w:t>
            </w:r>
          </w:p>
        </w:tc>
      </w:tr>
    </w:tbl>
    <w:p>
      <w:pPr>
        <w:spacing w:before="0" w:after="80"/>
      </w:pPr>
    </w:p>
    <w:p>
      <w:r>
        <w:br w:type="page"/>
      </w:r>
    </w:p>
    <w:p>
      <w:pPr>
        <w:pStyle w:val="Heading1"/>
      </w:pPr>
      <w:r>
        <w:t xml:space="preserve">HR</w:t>
      </w:r>
    </w:p>
    <w:p>
      <w:r>
        <w:t xml:space="preserve">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r>
        <w:t xml:space="preserve">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pPr>
        <w:pStyle w:val="Heading2"/>
      </w:pPr>
      <w:r>
        <w:t xml:space="preserve">HR Dashboard</w:t>
      </w:r>
    </w:p>
    <w:p>
      <w:pPr>
        <w:pStyle w:val="Heading3"/>
      </w:pPr>
      <w:r>
        <w:t xml:space="preserve">Wozu</w:t>
      </w:r>
    </w:p>
    <w:p>
      <w:r>
        <w:t xml:space="preserve">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pPr>
        <w:pStyle w:val="Heading3"/>
      </w:pPr>
      <w:r>
        <w:t xml:space="preserve">Was man sieht</w:t>
      </w:r>
    </w:p>
    <w:p>
      <w:r>
        <w:t xml:space="preserve">Vor dem Zugriff steht die Anmeldung mit Name und Passwort. Das Passwort lässt sich dort auch ändern (mindestens acht Zeichen). Nach der Anmeldung folgt der Filterbereich:</w:t>
      </w:r>
    </w:p>
    <w:p>
      <w:pPr>
        <w:pStyle w:val="ListBullet"/>
        <w:numPr>
          <w:ilvl w:val="0"/>
          <w:numId w:val="1"/>
        </w:numPr>
      </w:pPr>
      <w:r>
        <w:t xml:space="preserve">Datenordner für die Rexx- und SAP-Dateien, mit Möglichkeit, neue Excel-Dateien hochzuladen oder den Serverordner zu verwenden.</w:t>
      </w:r>
    </w:p>
    <w:p>
      <w:pPr>
        <w:pStyle w:val="ListBullet"/>
        <w:numPr>
          <w:ilvl w:val="0"/>
          <w:numId w:val="1"/>
        </w:numPr>
      </w:pPr>
      <w:r>
        <w:t xml:space="preserve">Fluktuationsjahr, Von-Datum und Bis-Datum (Austritt), Organisation, Eintrittsjahr, Suche nach Name oder Personalnummer, Kostenstelle, Mitarbeitertyp.</w:t>
      </w:r>
    </w:p>
    <w:p>
      <w:pPr>
        <w:pStyle w:val="ListBullet"/>
        <w:numPr>
          <w:ilvl w:val="0"/>
          <w:numId w:val="1"/>
        </w:numPr>
      </w:pPr>
      <w:r>
        <w:t xml:space="preserve">Fluktuationsfilter (Auswahlliste, die Optionen wurden nicht einzeln geprüft), GLZ-Ampel und Restferien-Ampel.</w:t>
      </w:r>
    </w:p>
    <w:p>
      <w:pPr>
        <w:pStyle w:val="ListBullet"/>
        <w:numPr>
          <w:ilvl w:val="0"/>
          <w:numId w:val="1"/>
        </w:numPr>
      </w:pPr>
      <w:r>
        <w:t xml:space="preserve">Schalter „Managementsicht“, Schaltflächen Laden, Sperren und Drucken/PDF.</w:t>
      </w:r>
    </w:p>
    <w:p>
      <w:pPr>
        <w:pStyle w:val="ListBullet"/>
        <w:numPr>
          <w:ilvl w:val="0"/>
          <w:numId w:val="1"/>
        </w:numPr>
      </w:pPr>
      <w:r>
        <w:t xml:space="preserve">Varianten: Eine Filtereinstellung lässt sich unter einem Namen speichern, laden, umbenennen, überschreiben und löschen.</w:t>
      </w:r>
    </w:p>
    <w:p>
      <w:r>
        <w:t xml:space="preserve">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pPr>
        <w:pStyle w:val="Heading3"/>
      </w:pPr>
      <w:r>
        <w:t xml:space="preserve">Wie gerechnet wird</w:t>
      </w:r>
    </w:p>
    <w:p>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wird in Köpfen gezählt; die Krankenquote rechnet mit FTE (Vollzeitäquivalenten).</w:t>
      </w:r>
    </w:p>
    <w:p>
      <w:r>
        <w:t xml:space="preserve">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r>
        <w:t xml:space="preserve">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pPr>
        <w:pStyle w:val="Heading3"/>
      </w:pPr>
      <w:r>
        <w:t xml:space="preserve">Einsatz im Arbeitsalltag</w:t>
      </w:r>
    </w:p>
    <w:p>
      <w:r>
        <w:rPr>
          <w:b/>
        </w:rPr>
        <w:t xml:space="preserve">HR-Keyuser:</w:t>
      </w:r>
      <w:r>
        <w:t xml:space="preserve"> Zuerst den Reiter Datenstatus prüfen, dann laden, filtern und die Kennzahlen ablesen. Die Anleitung (Reiter und Schulungsseite) beschreibt die Reihenfolge.</w:t>
      </w:r>
    </w:p>
    <w:p>
      <w:r>
        <w:rPr>
          <w:b/>
        </w:rPr>
        <w:t xml:space="preserve">HR-Leitung:</w:t>
      </w:r>
      <w:r>
        <w:t xml:space="preserve"> Ampel und Überblick für das Gespräch mit der Geschäftsleitung; zur Weitergabe die Managementsicht einschalten und die PDF-Funktion nutzen.</w:t>
      </w:r>
    </w:p>
    <w:p>
      <w:r>
        <w:rPr>
          <w:b/>
        </w:rPr>
        <w:t xml:space="preserve">Geschäftsleitung:</w:t>
      </w:r>
      <w:r>
        <w:t xml:space="preserve"> Über die Managementsicht die Kennzahlen Fluktuation, Krankenquote und Headcount einsehen.</w:t>
      </w:r>
    </w:p>
    <w:p>
      <w:r>
        <w:rPr>
          <w:b/>
        </w:rPr>
        <w:t xml:space="preserve">Controller:</w:t>
      </w:r>
      <w:r>
        <w:t xml:space="preserve"> Die Fluktuations- und Headcount-Zahlen für Personalplanung und Kostenprognosen heranziehen.</w:t>
      </w:r>
    </w:p>
    <w:p>
      <w:pPr>
        <w:pStyle w:val="Heading3"/>
      </w:pPr>
      <w:r>
        <w:t xml:space="preserve">Grenzen und Fallstricke</w:t>
      </w:r>
    </w:p>
    <w:p>
      <w:r>
        <w:t xml:space="preserve">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Kachelbeschreibungen sichtbar. Ältere Rexx-Dateien führen zu älteren Zahlen. Wer nach dem Datenstand der Dateien eingetreten ist, fehlt in Nenner und Absenzen.</w:t>
      </w:r>
    </w:p>
    <w:p>
      <w:pPr>
        <w:pStyle w:val="Heading2"/>
      </w:pPr>
      <w:r>
        <w:t xml:space="preserve">Überblick</w:t>
      </w:r>
    </w:p>
    <w:p>
      <w:pPr>
        <w:pStyle w:val="Heading3"/>
      </w:pPr>
      <w:r>
        <w:t xml:space="preserve">Wozu</w:t>
      </w:r>
    </w:p>
    <w:p>
      <w:r>
        <w:t xml:space="preserve">Der Reiter gibt die Gesamtlage in einer Minute: Personalstand, Krankheit, Fluktuation und Gleitzeit auf einen Blick, mit einer Ampel und dem Vergleich zum Vorjahr.</w:t>
      </w:r>
    </w:p>
    <w:p>
      <w:pPr>
        <w:pStyle w:val="Heading3"/>
      </w:pPr>
      <w:r>
        <w:t xml:space="preserve">Was man sieht</w:t>
      </w:r>
    </w:p>
    <w:p>
      <w:r>
        <w:t xml:space="preserve">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pPr>
        <w:pStyle w:val="Heading3"/>
      </w:pPr>
      <w:r>
        <w:t xml:space="preserve">Wie gerechnet wird</w:t>
      </w:r>
    </w:p>
    <w:p>
      <w:r>
        <w:t xml:space="preserve">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pPr>
        <w:pStyle w:val="Heading3"/>
      </w:pPr>
      <w:r>
        <w:t xml:space="preserve">Einsatz im Arbeitsalltag</w:t>
      </w:r>
    </w:p>
    <w:p>
      <w:r>
        <w:rPr>
          <w:b/>
        </w:rPr>
        <w:t xml:space="preserve">HR-Leitung:</w:t>
      </w:r>
      <w:r>
        <w:t xml:space="preserve"> Als Einstieg vor Monats- und Quartalsgesprächen. </w:t>
      </w:r>
      <w:r>
        <w:rPr>
          <w:b/>
        </w:rPr>
        <w:t xml:space="preserve">Geschäftsleitung:</w:t>
      </w:r>
      <w:r>
        <w:t xml:space="preserve"> Die Frage „Wie steht es um das Personal?“ in einem Blick beantworten.</w:t>
      </w:r>
    </w:p>
    <w:p>
      <w:pPr>
        <w:pStyle w:val="Heading3"/>
      </w:pPr>
      <w:r>
        <w:t xml:space="preserve">Grenzen und Fallstricke</w:t>
      </w:r>
    </w:p>
    <w:p>
      <w:r>
        <w:t xml:space="preserve">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pPr>
        <w:pStyle w:val="Heading2"/>
      </w:pPr>
      <w:r>
        <w:t xml:space="preserve">Fluktuation</w:t>
      </w:r>
    </w:p>
    <w:p>
      <w:pPr>
        <w:pStyle w:val="Heading3"/>
      </w:pPr>
      <w:r>
        <w:t xml:space="preserve">Wozu</w:t>
      </w:r>
    </w:p>
    <w:p>
      <w:r>
        <w:t xml:space="preserve">Dieser Reiter zeigt, wie viele Mitarbeitende von sich aus gekündigt haben, im Verhältnis zum durchschnittlichen Personalbestand. Er ist die Kernkennzahl der HR-Berichterstattung.</w:t>
      </w:r>
    </w:p>
    <w:p>
      <w:pPr>
        <w:pStyle w:val="Heading3"/>
      </w:pPr>
      <w:r>
        <w:t xml:space="preserve">Was man sieht</w:t>
      </w:r>
    </w:p>
    <w:p>
      <w:r>
        <w:t xml:space="preserve">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 Fluktuation Vorjahr, HC Jahr bis Stichtag, Austritte YTD und Fluktuation YTD.</w:t>
      </w:r>
    </w:p>
    <w:p>
      <w:r>
        <w:t xml:space="preserve">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pPr>
        <w:pStyle w:val="Heading3"/>
      </w:pPr>
      <w:r>
        <w:t xml:space="preserve">Wie gerechnet wird</w:t>
      </w:r>
    </w:p>
    <w:p>
      <w:r>
        <w:t xml:space="preserve">Der Nenner ist immer der Personalbestand der Festangestellten in Köpfen, nicht FTE.</w:t>
      </w:r>
    </w:p>
    <w:p>
      <w:pPr>
        <w:pStyle w:val="ListBullet"/>
        <w:numPr>
          <w:ilvl w:val="0"/>
          <w:numId w:val="1"/>
        </w:numPr>
      </w:pPr>
      <w:r>
        <w:t xml:space="preserve">Fluktuation Monat: relevante Austritte des Monats geteilt durch den durchschnittlichen Personalbestand des Monats (Bestand Monatsanfang plus Monatsende, geteilt durch zwei).</w:t>
      </w:r>
    </w:p>
    <w:p>
      <w:pPr>
        <w:pStyle w:val="ListBullet"/>
        <w:numPr>
          <w:ilvl w:val="0"/>
          <w:numId w:val="1"/>
        </w:numPr>
      </w:pPr>
      <w:r>
        <w:t xml:space="preserve">Fluktuation Quartal: relevante Austritte des Quartals geteilt durch den durchschnittlichen Personalbestand des Quartals.</w:t>
      </w:r>
    </w:p>
    <w:p>
      <w:pPr>
        <w:pStyle w:val="ListBullet"/>
        <w:numPr>
          <w:ilvl w:val="0"/>
          <w:numId w:val="1"/>
        </w:numPr>
      </w:pPr>
      <w:r>
        <w:t xml:space="preserve">Fluktuation YTD: relevante Austritte seit 1. Januar bis zum Stichtag, geteilt durch den durchschnittlichen Personalbestand im selben Zeitraum. Bei einem vergangenen Jahr ist der Stichtag der 31. Dezember.</w:t>
      </w:r>
    </w:p>
    <w:p>
      <w:pPr>
        <w:pStyle w:val="ListBullet"/>
        <w:numPr>
          <w:ilvl w:val="0"/>
          <w:numId w:val="1"/>
        </w:numPr>
      </w:pPr>
      <w:r>
        <w:t xml:space="preserve">Fluktuation Prognose: aktuelle Quartalsrate mal vier. Das ist eine grobe Schätzung und kein tatsächlicher Wert.</w:t>
      </w:r>
    </w:p>
    <w:p>
      <w:pPr>
        <w:pStyle w:val="ListBullet"/>
        <w:numPr>
          <w:ilvl w:val="0"/>
          <w:numId w:val="1"/>
        </w:numPr>
      </w:pPr>
      <w:r>
        <w:t xml:space="preserve">Fluktuation Prognose gleitend: relevante Austritte der letzten zwölf Monate bis zum Stichtag, geteilt durch den durchschnittlichen Personalbestand dieser zwölf Monate. Der Datumsfilter wird dafür bewusst nicht angewendet.</w:t>
      </w:r>
    </w:p>
    <w:p>
      <w:pPr>
        <w:pStyle w:val="ListBullet"/>
        <w:numPr>
          <w:ilvl w:val="0"/>
          <w:numId w:val="1"/>
        </w:numPr>
      </w:pPr>
      <w:r>
        <w:t xml:space="preserve">Fluktuation Vorjahr: die tatsächliche Rate des ganzen Vorjahres als Vergleich, mit dem Abstand der beiden Prognosen in Prozentpunkten.</w:t>
      </w:r>
    </w:p>
    <w:p>
      <w:r>
        <w:t xml:space="preserve">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r>
        <w:t xml:space="preserve">Kacheln werden gelb markiert, wenn die Rate bei Monat über 3, bei Quartal über 8 und bei Auswahl, YTD und Prognosen über 12 Prozent liegt. Die Kachel „Austritte nicht relevant“ ist gelb, wenn sie grösser ist als die relevanten Austritte.</w:t>
      </w:r>
    </w:p>
    <w:p>
      <w:pPr>
        <w:pStyle w:val="Heading3"/>
      </w:pPr>
      <w:r>
        <w:t xml:space="preserve">Einsatz im Arbeitsalltag</w:t>
      </w:r>
    </w:p>
    <w:p>
      <w:r>
        <w:rPr>
          <w:b/>
        </w:rPr>
        <w:t xml:space="preserve">HR-Leitung:</w:t>
      </w:r>
      <w:r>
        <w:t xml:space="preserve"> Quartals- und Jahresrate für die Geschäftsleitung; Austritte nach Organisation, um Abteilungen mit auffälliger Fluktuation zu finden. </w:t>
      </w:r>
      <w:r>
        <w:rPr>
          <w:b/>
        </w:rPr>
        <w:t xml:space="preserve">Geschäftsleitung:</w:t>
      </w:r>
      <w:r>
        <w:t xml:space="preserve"> Die Prognose gleitend ist stabiler als die Quartalsprognose und eignet sich für die Jahreseinschätzung. </w:t>
      </w:r>
      <w:r>
        <w:rPr>
          <w:b/>
        </w:rPr>
        <w:t xml:space="preserve">Controller:</w:t>
      </w:r>
      <w:r>
        <w:t xml:space="preserve"> Den Vorjahreswert gegen Plan und Prognose halten.</w:t>
      </w:r>
    </w:p>
    <w:p>
      <w:pPr>
        <w:pStyle w:val="Heading3"/>
      </w:pPr>
      <w:r>
        <w:t xml:space="preserve">Grenzen und Fallstricke</w:t>
      </w:r>
    </w:p>
    <w:p>
      <w:r>
        <w:t xml:space="preserve">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pPr>
        <w:pStyle w:val="Heading2"/>
      </w:pPr>
      <w:r>
        <w:t xml:space="preserve">Ampel</w:t>
      </w:r>
    </w:p>
    <w:p>
      <w:pPr>
        <w:pStyle w:val="Heading3"/>
      </w:pPr>
      <w:r>
        <w:t xml:space="preserve">Wozu</w:t>
      </w:r>
    </w:p>
    <w:p>
      <w:r>
        <w:t xml:space="preserve">Die Ampel fasst fünf Bereiche zu einem Status zusammen und eignet sich für den ersten Blick und den PDF-Ausdruck an die Leitung.</w:t>
      </w:r>
    </w:p>
    <w:p>
      <w:pPr>
        <w:pStyle w:val="Heading3"/>
      </w:pPr>
      <w:r>
        <w:t xml:space="preserve">Was man sieht</w:t>
      </w:r>
    </w:p>
    <w:p>
      <w:r>
        <w:t xml:space="preserve">Fünf Statusfelder: Fluktuation (Jahreswert YTD), Krankenquote, GLZ-Saldi, Restferien und Datenqualität. Jedes Feld zeigt Farbe, Wert und eine Detailzeile. Darunter der Periodenvergleich wie im Überblick.</w:t>
      </w:r>
    </w:p>
    <w:p>
      <w:pPr>
        <w:pStyle w:val="Heading3"/>
      </w:pPr>
      <w:r>
        <w:t xml:space="preserve">Wie gerechnet wird</w:t>
      </w:r>
    </w:p>
    <w:p>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Datenqualität ist rot, sobald erwartete Dateien fehlen.</w:t>
      </w:r>
    </w:p>
    <w:p>
      <w:pPr>
        <w:pStyle w:val="Heading3"/>
      </w:pPr>
      <w:r>
        <w:t xml:space="preserve">Einsatz im Arbeitsalltag</w:t>
      </w:r>
    </w:p>
    <w:p>
      <w:r>
        <w:rPr>
          <w:b/>
        </w:rPr>
        <w:t xml:space="preserve">HR-Leitung:</w:t>
      </w:r>
      <w:r>
        <w:t xml:space="preserve"> Als Monatsübersicht für die Geschäftsleitung. </w:t>
      </w:r>
      <w:r>
        <w:rPr>
          <w:b/>
        </w:rPr>
        <w:t xml:space="preserve">Geschäftsleitung:</w:t>
      </w:r>
      <w:r>
        <w:t xml:space="preserve"> Rot bedeutet Klärungsbedarf, Gelb Beobachtung.</w:t>
      </w:r>
    </w:p>
    <w:p>
      <w:pPr>
        <w:pStyle w:val="Heading3"/>
      </w:pPr>
      <w:r>
        <w:t xml:space="preserve">Grenzen und Fallstricke</w:t>
      </w:r>
    </w:p>
    <w:p>
      <w:r>
        <w:t xml:space="preserve">Die Ampel ist grob. Sie zeigt nicht, wer betroffen ist; dafür dienen die Detailreiter. Bei nicht bestimmbarem Zeitraum steht die Krankenquote auf gelb statt auf einer scheinbar genauen Farbe (siehe Absenzen).</w:t>
      </w:r>
    </w:p>
    <w:p>
      <w:pPr>
        <w:pStyle w:val="Heading2"/>
      </w:pPr>
      <w:r>
        <w:t xml:space="preserve">Absenzen</w:t>
      </w:r>
    </w:p>
    <w:p>
      <w:pPr>
        <w:pStyle w:val="Heading3"/>
      </w:pPr>
      <w:r>
        <w:t xml:space="preserve">Wozu</w:t>
      </w:r>
    </w:p>
    <w:p>
      <w:r>
        <w:t xml:space="preserve">Der Reiter zeigt Krankheitstage und die Krankenquote, aufgeteilt nach Organisation und Person, und hilft, auffällige Häufungen zu erkennen.</w:t>
      </w:r>
    </w:p>
    <w:p>
      <w:pPr>
        <w:pStyle w:val="Heading3"/>
      </w:pPr>
      <w:r>
        <w:t xml:space="preserve">Was man sieht</w:t>
      </w:r>
    </w:p>
    <w:p>
      <w:r>
        <w:t xml:space="preserve">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pPr>
        <w:pStyle w:val="Heading3"/>
      </w:pPr>
      <w:r>
        <w:t xml:space="preserve">Wie gerechnet wird</w:t>
      </w:r>
    </w:p>
    <w:p>
      <w:r>
        <w:t xml:space="preserve">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r>
        <w:t xml:space="preserve">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r>
        <w:t xml:space="preserve">BU und NBU (Berufs- und Nichtberufsunfall) stammen aus SAP und zeigen ausschliesslich den laufenden Monat bis heute, unabhängig vom Zeitraumfilter.</w:t>
      </w:r>
    </w:p>
    <w:p>
      <w:pPr>
        <w:pStyle w:val="Heading3"/>
      </w:pPr>
      <w:r>
        <w:t xml:space="preserve">Einsatz im Arbeitsalltag</w:t>
      </w:r>
    </w:p>
    <w:p>
      <w:r>
        <w:rPr>
          <w:b/>
        </w:rPr>
        <w:t xml:space="preserve">HR-Keyuser:</w:t>
      </w:r>
      <w:r>
        <w:t xml:space="preserve"> Abteilungen mit hoher Krankenquote erkennen, Langzeitkranke zählen und die höchsten Absenzen als Prüfliste nutzen. </w:t>
      </w:r>
      <w:r>
        <w:rPr>
          <w:b/>
        </w:rPr>
        <w:t xml:space="preserve">HR-Leitung:</w:t>
      </w:r>
      <w:r>
        <w:t xml:space="preserve"> Die Quote gegen die Ampelgrenzen (3 und 5 Prozent) beurteilen. </w:t>
      </w:r>
      <w:r>
        <w:rPr>
          <w:b/>
        </w:rPr>
        <w:t xml:space="preserve">Linienvorgesetzte</w:t>
      </w:r>
      <w:r>
        <w:t xml:space="preserve"> erhalten Einzelwerte nur über HR.</w:t>
      </w:r>
    </w:p>
    <w:p>
      <w:pPr>
        <w:pStyle w:val="Heading3"/>
      </w:pPr>
      <w:r>
        <w:t xml:space="preserve">Grenzen und Fallstricke</w:t>
      </w:r>
    </w:p>
    <w:p>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noch zu bestätigen (Hinweis: Stand Dokumentation). Die höchsten Absenzen sind eine Prüfliste für HR und nicht zur Weitergabe gedacht.</w:t>
      </w:r>
    </w:p>
    <w:p>
      <w:pPr>
        <w:pStyle w:val="Heading2"/>
      </w:pPr>
      <w:r>
        <w:t xml:space="preserve">Zeit / Ferien</w:t>
      </w:r>
    </w:p>
    <w:p>
      <w:pPr>
        <w:pStyle w:val="Heading3"/>
      </w:pPr>
      <w:r>
        <w:t xml:space="preserve">Wozu</w:t>
      </w:r>
    </w:p>
    <w:p>
      <w:r>
        <w:t xml:space="preserve">Der Reiter zeigt, wo Gleitzeitsaldi und Restferien auffällig sind, damit HR und Vorgesetzte rechtzeitig reagieren können.</w:t>
      </w:r>
    </w:p>
    <w:p>
      <w:pPr>
        <w:pStyle w:val="Heading3"/>
      </w:pPr>
      <w:r>
        <w:t xml:space="preserve">Was man sieht</w:t>
      </w:r>
    </w:p>
    <w:p>
      <w:r>
        <w:t xml:space="preserve">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pPr>
        <w:pStyle w:val="Heading3"/>
      </w:pPr>
      <w:r>
        <w:t xml:space="preserve">Wie gerechnet wird</w:t>
      </w:r>
    </w:p>
    <w:p>
      <w:r>
        <w:t xml:space="preserve">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pPr>
        <w:pStyle w:val="Heading3"/>
      </w:pPr>
      <w:r>
        <w:t xml:space="preserve">Einsatz im Arbeitsalltag</w:t>
      </w:r>
    </w:p>
    <w:p>
      <w:r>
        <w:rPr>
          <w:b/>
        </w:rPr>
        <w:t xml:space="preserve">HR-Keyuser:</w:t>
      </w:r>
      <w:r>
        <w:t xml:space="preserve"> Im ersten Halbjahr Mitarbeitende mit hohem Resturlaub ansprechen und mit Vorgesetzten Bezug planen. </w:t>
      </w:r>
      <w:r>
        <w:rPr>
          <w:b/>
        </w:rPr>
        <w:t xml:space="preserve">Vorgesetzte:</w:t>
      </w:r>
      <w:r>
        <w:t xml:space="preserve"> Über HR erfahren, wessen Gleitzeitsaldo im roten Bereich liegt. </w:t>
      </w:r>
      <w:r>
        <w:rPr>
          <w:b/>
        </w:rPr>
        <w:t xml:space="preserve">HR-Leitung:</w:t>
      </w:r>
      <w:r>
        <w:t xml:space="preserve"> Gesetzliche und betriebliche Risiken erkennen.</w:t>
      </w:r>
    </w:p>
    <w:p>
      <w:pPr>
        <w:pStyle w:val="Heading3"/>
      </w:pPr>
      <w:r>
        <w:t xml:space="preserve">Grenzen und Fallstricke</w:t>
      </w:r>
    </w:p>
    <w:p>
      <w:r>
        <w:t xml:space="preserve">Die Saldidatei ist ein Stichtagsstand; wenn die Datei alt ist, sind auch die Saldi alt. Die Wünsche nach „Ferien am Stück“ (mindestens zwei Wochen) und nach der Auswertung des Übertrags sind nach Dokumentation noch nicht umgesetzt.</w:t>
      </w:r>
    </w:p>
    <w:p>
      <w:pPr>
        <w:pStyle w:val="Heading2"/>
      </w:pPr>
      <w:r>
        <w:t xml:space="preserve">Mitarbeitende</w:t>
      </w:r>
    </w:p>
    <w:p>
      <w:pPr>
        <w:pStyle w:val="Heading3"/>
      </w:pPr>
      <w:r>
        <w:t xml:space="preserve">Wozu</w:t>
      </w:r>
    </w:p>
    <w:p>
      <w:r>
        <w:t xml:space="preserve">Der Reiter ist die Personenliste hinter den Kennzahlen. Sie dient der Prüfung, wer in welche Zahl eingeflossen ist.</w:t>
      </w:r>
    </w:p>
    <w:p>
      <w:pPr>
        <w:pStyle w:val="Heading3"/>
      </w:pPr>
      <w:r>
        <w:t xml:space="preserve">Was man sieht</w:t>
      </w:r>
    </w:p>
    <w:p>
      <w:r>
        <w:t xml:space="preserve">Eine blätterbare Tabelle mit Personalnummer, Name, Organisation, Kostenstelle, FTE, Alter, Dienstjahre und Typ (Festangestellt, Praktikant, Werkstudent, Aushilfe, Lehrling). Ist die Managementsicht eingeschaltet, erscheint anstelle des Namens die Personalnummer.</w:t>
      </w:r>
    </w:p>
    <w:p>
      <w:pPr>
        <w:pStyle w:val="Heading3"/>
      </w:pPr>
      <w:r>
        <w:t xml:space="preserve">Wie gerechnet wird</w:t>
      </w:r>
    </w:p>
    <w:p>
      <w:r>
        <w:t xml:space="preserve">Die Liste folgt den gesetzten Filtern. Der Typ wird aus der Stellenbezeichnung abgeleitet. Die Zeilenzahl ist durch die Filter bestimmt und nicht mehr gekappt.</w:t>
      </w:r>
    </w:p>
    <w:p>
      <w:pPr>
        <w:pStyle w:val="Heading3"/>
      </w:pPr>
      <w:r>
        <w:t xml:space="preserve">Einsatz im Arbeitsalltag</w:t>
      </w:r>
    </w:p>
    <w:p>
      <w:r>
        <w:rPr>
          <w:b/>
        </w:rPr>
        <w:t xml:space="preserve">HR-Keyuser:</w:t>
      </w:r>
      <w:r>
        <w:t xml:space="preserve"> Einen Ausreisser im Headcount zurückverfolgen, Daten prüfen, nach Personalnummer suchen. </w:t>
      </w:r>
      <w:r>
        <w:rPr>
          <w:b/>
        </w:rPr>
        <w:t xml:space="preserve">HR-Leitung:</w:t>
      </w:r>
      <w:r>
        <w:t xml:space="preserve"> Plausibilisieren, ob die Filterwirkung stimmt.</w:t>
      </w:r>
    </w:p>
    <w:p>
      <w:pPr>
        <w:pStyle w:val="Heading3"/>
      </w:pPr>
      <w:r>
        <w:t xml:space="preserve">Grenzen und Fallstricke</w:t>
      </w:r>
    </w:p>
    <w:p>
      <w:r>
        <w:t xml:space="preserve">Die Liste enthält personenbezogene Angaben und gehört nicht in E-Mails oder ungeschützte Ablagen. Für die Weitergabe ist die Managementsicht zu verwenden. Auch dort bleibt der Personenbezug über die Personalnummer.</w:t>
      </w:r>
    </w:p>
    <w:p>
      <w:pPr>
        <w:pStyle w:val="Heading2"/>
      </w:pPr>
      <w:r>
        <w:t xml:space="preserve">Datenstatus</w:t>
      </w:r>
    </w:p>
    <w:p>
      <w:pPr>
        <w:pStyle w:val="Heading3"/>
      </w:pPr>
      <w:r>
        <w:t xml:space="preserve">Wozu</w:t>
      </w:r>
    </w:p>
    <w:p>
      <w:r>
        <w:t xml:space="preserve">Der Reiter ist die Eintrittskontrolle: Er zeigt, welche Dateien gefunden wurden, wie alt sie sind und welche Datenqualitätsprobleme es gibt. Er ist vor jeder Weitergabe von Zahlen zu öffnen.</w:t>
      </w:r>
    </w:p>
    <w:p>
      <w:pPr>
        <w:pStyle w:val="Heading3"/>
      </w:pPr>
      <w:r>
        <w:t xml:space="preserve">Was man sieht</w:t>
      </w:r>
    </w:p>
    <w:p>
      <w:r>
        <w:t xml:space="preserve">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pPr>
        <w:pStyle w:val="Heading3"/>
      </w:pPr>
      <w:r>
        <w:t xml:space="preserve">Wie gerechnet wird</w:t>
      </w:r>
    </w:p>
    <w:p>
      <w:r>
        <w:t xml:space="preserve">Die Prüfungen vergleichen Dateien und Personenlisten untereinander (zum Beispiel Personalnummern in Rexx und SAP). Fehlt eine erwartete Datei, wird die Ampel Datenqualität rot. Bei doppelten SAP-Personalnummern gilt die erste Zeile; BU und NBU der übrigen gehen verloren.</w:t>
      </w:r>
    </w:p>
    <w:p>
      <w:pPr>
        <w:pStyle w:val="Heading3"/>
      </w:pPr>
      <w:r>
        <w:t xml:space="preserve">Einsatz im Arbeitsalltag</w:t>
      </w:r>
    </w:p>
    <w:p>
      <w:r>
        <w:rPr>
          <w:b/>
        </w:rPr>
        <w:t xml:space="preserve">HR-Keyuser:</w:t>
      </w:r>
      <w:r>
        <w:t xml:space="preserve"> Nach jedem Export prüfen, ob alle Dateien grün und aktuell sind. </w:t>
      </w:r>
      <w:r>
        <w:rPr>
          <w:b/>
        </w:rPr>
        <w:t xml:space="preserve">HR-Leitung:</w:t>
      </w:r>
      <w:r>
        <w:t xml:space="preserve"> Auf rote Meldungen achten, bevor Zahlen weitergegeben werden.</w:t>
      </w:r>
    </w:p>
    <w:p>
      <w:pPr>
        <w:pStyle w:val="Heading3"/>
      </w:pPr>
      <w:r>
        <w:t xml:space="preserve">Grenzen und Fallstricke</w:t>
      </w:r>
    </w:p>
    <w:p>
      <w:r>
        <w:t xml:space="preserve">Ein grüner Dateistatus heisst nur, dass die Datei vorhanden und lesbar ist; er sagt nichts über die fachliche Vollständigkeit der Daten. Die Rexx-Dateien erneuert derzeit niemand automatisch (Stand Dokumentation).</w:t>
      </w:r>
    </w:p>
    <w:p>
      <w:pPr>
        <w:pStyle w:val="Heading2"/>
      </w:pPr>
      <w:r>
        <w:t xml:space="preserve">Anleitung</w:t>
      </w:r>
    </w:p>
    <w:p>
      <w:pPr>
        <w:pStyle w:val="Heading3"/>
      </w:pPr>
      <w:r>
        <w:t xml:space="preserve">Wozu</w:t>
      </w:r>
    </w:p>
    <w:p>
      <w:r>
        <w:t xml:space="preserve">Die Anleitung im Dashboard führt HR durch den Ablauf von der Datenbereitstellung bis zur Kontrolle.</w:t>
      </w:r>
    </w:p>
    <w:p>
      <w:pPr>
        <w:pStyle w:val="Heading3"/>
      </w:pPr>
      <w:r>
        <w:t xml:space="preserve">Was man sieht</w:t>
      </w:r>
    </w:p>
    <w:p>
      <w:r>
        <w:t xml:space="preserve">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Planstelle), Abwesenheitinstunden (Krankheit in Stunden) und Personalausgeschieden (Austritte mit Art und Datum).</w:t>
      </w:r>
    </w:p>
    <w:p>
      <w:pPr>
        <w:pStyle w:val="Heading3"/>
      </w:pPr>
      <w:r>
        <w:t xml:space="preserve">Wie gerechnet wird</w:t>
      </w:r>
    </w:p>
    <w:p>
      <w:r>
        <w:t xml:space="preserve">Hier wird nichts gerechnet; die Seite erklärt nur den Ablauf.</w:t>
      </w:r>
    </w:p>
    <w:p>
      <w:pPr>
        <w:pStyle w:val="Heading3"/>
      </w:pPr>
      <w:r>
        <w:t xml:space="preserve">Einsatz im Arbeitsalltag</w:t>
      </w:r>
    </w:p>
    <w:p>
      <w:r>
        <w:rPr>
          <w:b/>
        </w:rPr>
        <w:t xml:space="preserve">Neue HR-Mitarbeitende und Stellvertretungen:</w:t>
      </w:r>
      <w:r>
        <w:t xml:space="preserve"> Als Erstorientierung. </w:t>
      </w:r>
      <w:r>
        <w:rPr>
          <w:b/>
        </w:rPr>
        <w:t xml:space="preserve">HR-Keyuser:</w:t>
      </w:r>
      <w:r>
        <w:t xml:space="preserve"> Als Checkliste vor dem Monatsabschluss.</w:t>
      </w:r>
    </w:p>
    <w:p>
      <w:pPr>
        <w:pStyle w:val="Heading3"/>
      </w:pPr>
      <w:r>
        <w:t xml:space="preserve">Grenzen und Fallstricke</w:t>
      </w:r>
    </w:p>
    <w:p>
      <w:r>
        <w:t xml:space="preserve">PDF-Dateien sind nicht geeignet; es braucht strukturierte Excel-Dateien mit den genannten Dateinamen. Wer eine Datei ersetzt, sollte keine Kopien an ungeschützten Orten liegen lassen.</w:t>
      </w:r>
    </w:p>
    <w:p>
      <w:pPr>
        <w:pStyle w:val="Heading2"/>
      </w:pPr>
      <w:r>
        <w:t xml:space="preserve">HR KPI Schulung</w:t>
      </w:r>
    </w:p>
    <w:p>
      <w:pPr>
        <w:pStyle w:val="Heading3"/>
      </w:pPr>
      <w:r>
        <w:t xml:space="preserve">Wozu</w:t>
      </w:r>
    </w:p>
    <w:p>
      <w:r>
        <w:t xml:space="preserve">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pPr>
        <w:pStyle w:val="Heading3"/>
      </w:pPr>
      <w:r>
        <w:t xml:space="preserve">Was man sieht</w:t>
      </w:r>
    </w:p>
    <w:p>
      <w:r>
        <w:t xml:space="preserve">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pPr>
        <w:pStyle w:val="Heading3"/>
      </w:pPr>
      <w:r>
        <w:t xml:space="preserve">Wie gerechnet wird</w:t>
      </w:r>
    </w:p>
    <w:p>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ab dem 61. Tag, Kader mit 8,1 Stunden) sind im Dashboard beschrieben, in der Schulung jedoch nicht alle erwähnt (Hinweis: Textvergleich ohne Anspruch auf Vollständigkeit).</w:t>
      </w:r>
    </w:p>
    <w:p>
      <w:pPr>
        <w:pStyle w:val="Heading3"/>
      </w:pPr>
      <w:r>
        <w:t xml:space="preserve">Einsatz im Arbeitsalltag</w:t>
      </w:r>
    </w:p>
    <w:p>
      <w:r>
        <w:rPr>
          <w:b/>
        </w:rPr>
        <w:t xml:space="preserve">HR-Keyuser:</w:t>
      </w:r>
      <w:r>
        <w:t xml:space="preserve"> Als Handbuch beim Monatsabschluss; die Checkliste Punkt für Punkt abarbeiten. </w:t>
      </w:r>
      <w:r>
        <w:rPr>
          <w:b/>
        </w:rPr>
        <w:t xml:space="preserve">HR-Leitung:</w:t>
      </w:r>
      <w:r>
        <w:t xml:space="preserve"> Die Regeln zur Managementsicht vor jeder Weitergabe lesen. </w:t>
      </w:r>
      <w:r>
        <w:rPr>
          <w:b/>
        </w:rPr>
        <w:t xml:space="preserve">IT/Admin:</w:t>
      </w:r>
      <w:r>
        <w:t xml:space="preserve"> Die Fehlerbilder bei Störungen als Ausgangspunkt für die Suche verwenden.</w:t>
      </w:r>
    </w:p>
    <w:p>
      <w:pPr>
        <w:pStyle w:val="Heading3"/>
      </w:pPr>
      <w:r>
        <w:t xml:space="preserve">Grenzen und Fallstricke</w:t>
      </w:r>
    </w:p>
    <w:p>
      <w:r>
        <w:t xml:space="preserve">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Headcount aktiv</w:t>
            </w:r>
          </w:p>
        </w:tc>
        <w:tc>
          <w:tcPr>
            <w:tcW w:w="3102" w:type="dxa"/>
          </w:tcPr>
          <w:p>
            <w:pPr>
              <w:pStyle w:val="TableText"/>
            </w:pPr>
            <w:r>
              <w:t xml:space="preserve">Zahl der aktiven Mitarbeitenden</w:t>
            </w:r>
          </w:p>
        </w:tc>
        <w:tc>
          <w:tcPr>
            <w:tcW w:w="3102" w:type="dxa"/>
          </w:tcPr>
          <w:p>
            <w:pPr>
              <w:pStyle w:val="TableText"/>
            </w:pPr>
            <w:r>
              <w:t xml:space="preserve">Eindeutige Personalnummern, ohne Hilfs- und Testprofile</w:t>
            </w:r>
          </w:p>
        </w:tc>
      </w:tr>
      <w:tr>
        <w:tc>
          <w:tcPr>
            <w:tcW w:w="3102" w:type="dxa"/>
          </w:tcPr>
          <w:p>
            <w:pPr>
              <w:pStyle w:val="TableText"/>
            </w:pPr>
            <w:r>
              <w:t xml:space="preserve">FTE</w:t>
            </w:r>
          </w:p>
        </w:tc>
        <w:tc>
          <w:tcPr>
            <w:tcW w:w="3102" w:type="dxa"/>
          </w:tcPr>
          <w:p>
            <w:pPr>
              <w:pStyle w:val="TableText"/>
            </w:pPr>
            <w:r>
              <w:t xml:space="preserve">Vollzeitäquivalente</w:t>
            </w:r>
          </w:p>
        </w:tc>
        <w:tc>
          <w:tcPr>
            <w:tcW w:w="3102" w:type="dxa"/>
          </w:tcPr>
          <w:p>
            <w:pPr>
              <w:pStyle w:val="TableText"/>
            </w:pPr>
            <w:r>
              <w:t xml:space="preserve">Summe der Beschäftigungsgrade aus SAP, ersatzweise Sollzeit durch Arbeitstagstunden</w:t>
            </w:r>
          </w:p>
        </w:tc>
      </w:tr>
      <w:tr>
        <w:tc>
          <w:tcPr>
            <w:tcW w:w="3102" w:type="dxa"/>
          </w:tcPr>
          <w:p>
            <w:pPr>
              <w:pStyle w:val="TableText"/>
            </w:pPr>
            <w:r>
              <w:t xml:space="preserve">HC Basis</w:t>
            </w:r>
          </w:p>
        </w:tc>
        <w:tc>
          <w:tcPr>
            <w:tcW w:w="3102" w:type="dxa"/>
          </w:tcPr>
          <w:p>
            <w:pPr>
              <w:pStyle w:val="TableText"/>
            </w:pPr>
            <w:r>
              <w:t xml:space="preserve">Personalzahl als Nenner der Fluktuation</w:t>
            </w:r>
          </w:p>
        </w:tc>
        <w:tc>
          <w:tcPr>
            <w:tcW w:w="3102" w:type="dxa"/>
          </w:tcPr>
          <w:p>
            <w:pPr>
              <w:pStyle w:val="TableText"/>
            </w:pPr>
            <w:r>
              <w:t xml:space="preserve">Festangestellte in Köpfen, im Zeitraum gemittelt</w:t>
            </w:r>
          </w:p>
        </w:tc>
      </w:tr>
      <w:tr>
        <w:tc>
          <w:tcPr>
            <w:tcW w:w="3102" w:type="dxa"/>
          </w:tcPr>
          <w:p>
            <w:pPr>
              <w:pStyle w:val="TableText"/>
            </w:pPr>
            <w:r>
              <w:t xml:space="preserve">Austritte relevant</w:t>
            </w:r>
          </w:p>
        </w:tc>
        <w:tc>
          <w:tcPr>
            <w:tcW w:w="3102" w:type="dxa"/>
          </w:tcPr>
          <w:p>
            <w:pPr>
              <w:pStyle w:val="TableText"/>
            </w:pPr>
            <w:r>
              <w:t xml:space="preserve">Austritte, die zur Fluktuation zählen</w:t>
            </w:r>
          </w:p>
        </w:tc>
        <w:tc>
          <w:tcPr>
            <w:tcW w:w="3102" w:type="dxa"/>
          </w:tcPr>
          <w:p>
            <w:pPr>
              <w:pStyle w:val="TableText"/>
            </w:pPr>
            <w:r>
              <w:t xml:space="preserve">Arbeitnehmerkündigungen ohne Praktikanten, Werkstudenten, Aushilfen, Lehrlinge, befristet, Pensionierung, Arbeitgeberkündigung; je Person einmal</w:t>
            </w:r>
          </w:p>
        </w:tc>
      </w:tr>
      <w:tr>
        <w:tc>
          <w:tcPr>
            <w:tcW w:w="3102" w:type="dxa"/>
          </w:tcPr>
          <w:p>
            <w:pPr>
              <w:pStyle w:val="TableText"/>
            </w:pPr>
            <w:r>
              <w:t xml:space="preserve">Fluktuation Monat/Quartal</w:t>
            </w:r>
          </w:p>
        </w:tc>
        <w:tc>
          <w:tcPr>
            <w:tcW w:w="3102" w:type="dxa"/>
          </w:tcPr>
          <w:p>
            <w:pPr>
              <w:pStyle w:val="TableText"/>
            </w:pPr>
            <w:r>
              <w:t xml:space="preserve">Austrittsrate der Periode</w:t>
            </w:r>
          </w:p>
        </w:tc>
        <w:tc>
          <w:tcPr>
            <w:tcW w:w="3102" w:type="dxa"/>
          </w:tcPr>
          <w:p>
            <w:pPr>
              <w:pStyle w:val="TableText"/>
            </w:pPr>
            <w:r>
              <w:t xml:space="preserve">Relevante Austritte durch durchschnittlichen Personalbestand der Periode</w:t>
            </w:r>
          </w:p>
        </w:tc>
      </w:tr>
      <w:tr>
        <w:tc>
          <w:tcPr>
            <w:tcW w:w="3102" w:type="dxa"/>
          </w:tcPr>
          <w:p>
            <w:pPr>
              <w:pStyle w:val="TableText"/>
            </w:pPr>
            <w:r>
              <w:t xml:space="preserve">Fluktuation YTD</w:t>
            </w:r>
          </w:p>
        </w:tc>
        <w:tc>
          <w:tcPr>
            <w:tcW w:w="3102" w:type="dxa"/>
          </w:tcPr>
          <w:p>
            <w:pPr>
              <w:pStyle w:val="TableText"/>
            </w:pPr>
            <w:r>
              <w:t xml:space="preserve">Rate seit Jahresbeginn</w:t>
            </w:r>
          </w:p>
        </w:tc>
        <w:tc>
          <w:tcPr>
            <w:tcW w:w="3102" w:type="dxa"/>
          </w:tcPr>
          <w:p>
            <w:pPr>
              <w:pStyle w:val="TableText"/>
            </w:pPr>
            <w:r>
              <w:t xml:space="preserve">Relevante Austritte seit 1. Januar durch durchschnittlichen Bestand im selben Zeitraum</w:t>
            </w:r>
          </w:p>
        </w:tc>
      </w:tr>
      <w:tr>
        <w:tc>
          <w:tcPr>
            <w:tcW w:w="3102" w:type="dxa"/>
          </w:tcPr>
          <w:p>
            <w:pPr>
              <w:pStyle w:val="TableText"/>
            </w:pPr>
            <w:r>
              <w:t xml:space="preserve">Fluktuation Prognose</w:t>
            </w:r>
          </w:p>
        </w:tc>
        <w:tc>
          <w:tcPr>
            <w:tcW w:w="3102" w:type="dxa"/>
          </w:tcPr>
          <w:p>
            <w:pPr>
              <w:pStyle w:val="TableText"/>
            </w:pPr>
            <w:r>
              <w:t xml:space="preserve">Hochrechnung aufs Jahr</w:t>
            </w:r>
          </w:p>
        </w:tc>
        <w:tc>
          <w:tcPr>
            <w:tcW w:w="3102" w:type="dxa"/>
          </w:tcPr>
          <w:p>
            <w:pPr>
              <w:pStyle w:val="TableText"/>
            </w:pPr>
            <w:r>
              <w:t xml:space="preserve">Aktuelle Quartalsrate mal vier</w:t>
            </w:r>
          </w:p>
        </w:tc>
      </w:tr>
      <w:tr>
        <w:tc>
          <w:tcPr>
            <w:tcW w:w="3102" w:type="dxa"/>
          </w:tcPr>
          <w:p>
            <w:pPr>
              <w:pStyle w:val="TableText"/>
            </w:pPr>
            <w:r>
              <w:t xml:space="preserve">Fluktuation Prognose gleitend</w:t>
            </w:r>
          </w:p>
        </w:tc>
        <w:tc>
          <w:tcPr>
            <w:tcW w:w="3102" w:type="dxa"/>
          </w:tcPr>
          <w:p>
            <w:pPr>
              <w:pStyle w:val="TableText"/>
            </w:pPr>
            <w:r>
              <w:t xml:space="preserve">Stabilere Jahresschätzung</w:t>
            </w:r>
          </w:p>
        </w:tc>
        <w:tc>
          <w:tcPr>
            <w:tcW w:w="3102" w:type="dxa"/>
          </w:tcPr>
          <w:p>
            <w:pPr>
              <w:pStyle w:val="TableText"/>
            </w:pPr>
            <w:r>
              <w:t xml:space="preserve">Relevante Austritte der letzten zwölf Monate durch durchschnittlichen Bestand dieser zwölf Monate</w:t>
            </w:r>
          </w:p>
        </w:tc>
      </w:tr>
      <w:tr>
        <w:tc>
          <w:tcPr>
            <w:tcW w:w="3102" w:type="dxa"/>
          </w:tcPr>
          <w:p>
            <w:pPr>
              <w:pStyle w:val="TableText"/>
            </w:pPr>
            <w:r>
              <w:t xml:space="preserve">Fluktuation Vorjahr</w:t>
            </w:r>
          </w:p>
        </w:tc>
        <w:tc>
          <w:tcPr>
            <w:tcW w:w="3102" w:type="dxa"/>
          </w:tcPr>
          <w:p>
            <w:pPr>
              <w:pStyle w:val="TableText"/>
            </w:pPr>
            <w:r>
              <w:t xml:space="preserve">Vergleichswert</w:t>
            </w:r>
          </w:p>
        </w:tc>
        <w:tc>
          <w:tcPr>
            <w:tcW w:w="3102" w:type="dxa"/>
          </w:tcPr>
          <w:p>
            <w:pPr>
              <w:pStyle w:val="TableText"/>
            </w:pPr>
            <w:r>
              <w:t xml:space="preserve">Rate des ganzen Vorjahres, mit Abstand zu den Prognosen in Prozentpunkten</w:t>
            </w:r>
          </w:p>
        </w:tc>
      </w:tr>
      <w:tr>
        <w:tc>
          <w:tcPr>
            <w:tcW w:w="3102" w:type="dxa"/>
          </w:tcPr>
          <w:p>
            <w:pPr>
              <w:pStyle w:val="TableText"/>
            </w:pPr>
            <w:r>
              <w:t xml:space="preserve">Krankheitstage</w:t>
            </w:r>
          </w:p>
        </w:tc>
        <w:tc>
          <w:tcPr>
            <w:tcW w:w="3102" w:type="dxa"/>
          </w:tcPr>
          <w:p>
            <w:pPr>
              <w:pStyle w:val="TableText"/>
            </w:pPr>
            <w:r>
              <w:t xml:space="preserve">Krankheit in Tagen</w:t>
            </w:r>
          </w:p>
        </w:tc>
        <w:tc>
          <w:tcPr>
            <w:tcW w:w="3102" w:type="dxa"/>
          </w:tcPr>
          <w:p>
            <w:pPr>
              <w:pStyle w:val="TableText"/>
            </w:pPr>
            <w:r>
              <w:t xml:space="preserve">Krankheitsstunden durch Stunden eines Arbeitstags (8,0, Kader 8,1)</w:t>
            </w:r>
          </w:p>
        </w:tc>
      </w:tr>
      <w:tr>
        <w:tc>
          <w:tcPr>
            <w:tcW w:w="3102" w:type="dxa"/>
          </w:tcPr>
          <w:p>
            <w:pPr>
              <w:pStyle w:val="TableText"/>
            </w:pPr>
            <w:r>
              <w:t xml:space="preserve">Langzeitkrank</w:t>
            </w:r>
          </w:p>
        </w:tc>
        <w:tc>
          <w:tcPr>
            <w:tcW w:w="3102" w:type="dxa"/>
          </w:tcPr>
          <w:p>
            <w:pPr>
              <w:pStyle w:val="TableText"/>
            </w:pPr>
            <w:r>
              <w:t xml:space="preserve">Person mit langer Krankheit</w:t>
            </w:r>
          </w:p>
        </w:tc>
        <w:tc>
          <w:tcPr>
            <w:tcW w:w="3102" w:type="dxa"/>
          </w:tcPr>
          <w:p>
            <w:pPr>
              <w:pStyle w:val="TableText"/>
            </w:pPr>
            <w:r>
              <w:t xml:space="preserve">Mindestens 61 Krankheitstage insgesamt; dann zählt die ganze Krankheit als lang</w:t>
            </w:r>
          </w:p>
        </w:tc>
      </w:tr>
      <w:tr>
        <w:tc>
          <w:tcPr>
            <w:tcW w:w="3102" w:type="dxa"/>
          </w:tcPr>
          <w:p>
            <w:pPr>
              <w:pStyle w:val="TableText"/>
            </w:pPr>
            <w:r>
              <w:t xml:space="preserve">Krankenquote</w:t>
            </w:r>
          </w:p>
        </w:tc>
        <w:tc>
          <w:tcPr>
            <w:tcW w:w="3102" w:type="dxa"/>
          </w:tcPr>
          <w:p>
            <w:pPr>
              <w:pStyle w:val="TableText"/>
            </w:pPr>
            <w:r>
              <w:t xml:space="preserve">Anteil der Ausfalltage</w:t>
            </w:r>
          </w:p>
        </w:tc>
        <w:tc>
          <w:tcPr>
            <w:tcW w:w="3102" w:type="dxa"/>
          </w:tcPr>
          <w:p>
            <w:pPr>
              <w:pStyle w:val="TableText"/>
            </w:pPr>
            <w:r>
              <w:t xml:space="preserve">Krankheitstage durch FTE mal Arbeitstage (Kanton Zürich ohne gesetzliche Feiertage); Ampel grün unter 3 %, gelb bis 5 %, rot ab 5 %</w:t>
            </w:r>
          </w:p>
        </w:tc>
      </w:tr>
      <w:tr>
        <w:tc>
          <w:tcPr>
            <w:tcW w:w="3102" w:type="dxa"/>
          </w:tcPr>
          <w:p>
            <w:pPr>
              <w:pStyle w:val="TableText"/>
            </w:pPr>
            <w:r>
              <w:t xml:space="preserve">BU / NBU-Tage</w:t>
            </w:r>
          </w:p>
        </w:tc>
        <w:tc>
          <w:tcPr>
            <w:tcW w:w="3102" w:type="dxa"/>
          </w:tcPr>
          <w:p>
            <w:pPr>
              <w:pStyle w:val="TableText"/>
            </w:pPr>
            <w:r>
              <w:t xml:space="preserve">Unfalltage</w:t>
            </w:r>
          </w:p>
        </w:tc>
        <w:tc>
          <w:tcPr>
            <w:tcW w:w="3102" w:type="dxa"/>
          </w:tcPr>
          <w:p>
            <w:pPr>
              <w:pStyle w:val="TableText"/>
            </w:pPr>
            <w:r>
              <w:t xml:space="preserve">Aus SAP, nur laufender Monat bis heute</w:t>
            </w:r>
          </w:p>
        </w:tc>
      </w:tr>
      <w:tr>
        <w:tc>
          <w:tcPr>
            <w:tcW w:w="3102" w:type="dxa"/>
          </w:tcPr>
          <w:p>
            <w:pPr>
              <w:pStyle w:val="TableText"/>
            </w:pPr>
            <w:r>
              <w:t xml:space="preserve">GLZ-Saldo</w:t>
            </w:r>
          </w:p>
        </w:tc>
        <w:tc>
          <w:tcPr>
            <w:tcW w:w="3102" w:type="dxa"/>
          </w:tcPr>
          <w:p>
            <w:pPr>
              <w:pStyle w:val="TableText"/>
            </w:pPr>
            <w:r>
              <w:t xml:space="preserve">Gleitzeitsaldo</w:t>
            </w:r>
          </w:p>
        </w:tc>
        <w:tc>
          <w:tcPr>
            <w:tcW w:w="3102" w:type="dxa"/>
          </w:tcPr>
          <w:p>
            <w:pPr>
              <w:pStyle w:val="TableText"/>
            </w:pPr>
            <w:r>
              <w:t xml:space="preserve">Stunden je Person; grün bis 50, gelb bis 100, rot über 100 Stunden absolut</w:t>
            </w:r>
          </w:p>
        </w:tc>
      </w:tr>
      <w:tr>
        <w:tc>
          <w:tcPr>
            <w:tcW w:w="3102" w:type="dxa"/>
          </w:tcPr>
          <w:p>
            <w:pPr>
              <w:pStyle w:val="TableText"/>
            </w:pPr>
            <w:r>
              <w:t xml:space="preserve">Ferienanspruch / Rest / ausstehend</w:t>
            </w:r>
          </w:p>
        </w:tc>
        <w:tc>
          <w:tcPr>
            <w:tcW w:w="3102" w:type="dxa"/>
          </w:tcPr>
          <w:p>
            <w:pPr>
              <w:pStyle w:val="TableText"/>
            </w:pPr>
            <w:r>
              <w:t xml:space="preserve">Ferienbestand</w:t>
            </w:r>
          </w:p>
        </w:tc>
        <w:tc>
          <w:tcPr>
            <w:tcW w:w="3102" w:type="dxa"/>
          </w:tcPr>
          <w:p>
            <w:pPr>
              <w:pStyle w:val="TableText"/>
            </w:pPr>
            <w:r>
              <w:t xml:space="preserve">Aus der Saldidatei; bezogen gleich Anspruch minus Rest minus ausstehend</w:t>
            </w:r>
          </w:p>
        </w:tc>
      </w:tr>
      <w:tr>
        <w:tc>
          <w:tcPr>
            <w:tcW w:w="3102" w:type="dxa"/>
          </w:tcPr>
          <w:p>
            <w:pPr>
              <w:pStyle w:val="TableText"/>
            </w:pPr>
            <w:r>
              <w:t xml:space="preserve">Restferien Rot</w:t>
            </w:r>
          </w:p>
        </w:tc>
        <w:tc>
          <w:tcPr>
            <w:tcW w:w="3102" w:type="dxa"/>
          </w:tcPr>
          <w:p>
            <w:pPr>
              <w:pStyle w:val="TableText"/>
            </w:pPr>
            <w:r>
              <w:t xml:space="preserve">Personen mit zu hohen Resttagen</w:t>
            </w:r>
          </w:p>
        </w:tc>
        <w:tc>
          <w:tcPr>
            <w:tcW w:w="3102" w:type="dxa"/>
          </w:tcPr>
          <w:p>
            <w:pPr>
              <w:pStyle w:val="TableText"/>
            </w:pPr>
            <w:r>
              <w:t xml:space="preserve">Quartal 1 mehr als 5 Tage, ab Quartal 2 jeder Resttag</w:t>
            </w:r>
          </w:p>
        </w:tc>
      </w:tr>
      <w:tr>
        <w:tc>
          <w:tcPr>
            <w:tcW w:w="3102" w:type="dxa"/>
          </w:tcPr>
          <w:p>
            <w:pPr>
              <w:pStyle w:val="TableText"/>
            </w:pPr>
            <w:r>
              <w:t xml:space="preserve">Ampel Datenqualität</w:t>
            </w:r>
          </w:p>
        </w:tc>
        <w:tc>
          <w:tcPr>
            <w:tcW w:w="3102" w:type="dxa"/>
          </w:tcPr>
          <w:p>
            <w:pPr>
              <w:pStyle w:val="TableText"/>
            </w:pPr>
            <w:r>
              <w:t xml:space="preserve">Verlässlichkeit der Basis</w:t>
            </w:r>
          </w:p>
        </w:tc>
        <w:tc>
          <w:tcPr>
            <w:tcW w:w="3102" w:type="dxa"/>
          </w:tcPr>
          <w:p>
            <w:pPr>
              <w:pStyle w:val="TableText"/>
            </w:pPr>
            <w:r>
              <w:t xml:space="preserve">Rot, sobald eine erwartete Datei fehlt</w:t>
            </w:r>
          </w:p>
        </w:tc>
      </w:tr>
    </w:tbl>
    <w:p>
      <w:pPr>
        <w:spacing w:before="0" w:after="80"/>
      </w:pPr>
    </w:p>
    <w:p>
      <w:r>
        <w:br w:type="page"/>
      </w:r>
    </w:p>
    <w:p>
      <w:pPr>
        <w:pStyle w:val="Heading1"/>
      </w:pPr>
      <w:r>
        <w:t xml:space="preserve">Weltlage</w:t>
      </w:r>
    </w:p>
    <w:p>
      <w:r>
        <w:t xml:space="preserve">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Personendaten verwendet. Es liegt im Menü unter </w:t>
      </w:r>
      <w:r>
        <w:rPr>
          <w:b/>
        </w:rPr>
        <w:t xml:space="preserve">Finance Cockpit → Weltlage</w:t>
      </w:r>
      <w:r>
        <w:t xml:space="preserve"> mit den vier Unterseiten Radar, Länder, Rohstoffe und Währungen sowie Ereignisse und ist wie die übrigen Finance-Auswertungen durch das Finance-Passwort geschützt. Auftraggeber ist Ingo Kohler (Eigeninitiative), Fragen gehen an ihn.</w:t>
      </w:r>
    </w:p>
    <w:p>
      <w:r>
        <w:t xml:space="preserve">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 dokumentierten Regeln. Es liefert eine Richtung, keine Prognose und keine Handlungsempfehlung.</w:t>
      </w:r>
    </w:p>
    <w:p>
      <w:r>
        <w:t xml:space="preserve">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Währungen.</w:t>
      </w:r>
    </w:p>
    <w:p>
      <w:pPr>
        <w:pStyle w:val="Heading2"/>
      </w:pPr>
      <w:r>
        <w:t xml:space="preserve">Radar</w:t>
      </w:r>
    </w:p>
    <w:p>
      <w:pPr>
        <w:pStyle w:val="Heading3"/>
      </w:pPr>
      <w:r>
        <w:t xml:space="preserve">Wozu</w:t>
      </w:r>
    </w:p>
    <w:p>
      <w:r>
        <w:t xml:space="preserve">Das Radar gibt auf einen Blick Antwort auf die Frage, in welcher Abteilung die Weltlage uns gerade am meisten Gegenwind oder Rückenwind bringt. Es ist als Übersicht für Geschäftsleitung und Abteilungsleiter gedacht, bevor man in die Detailseiten geht.</w:t>
      </w:r>
    </w:p>
    <w:p>
      <w:pPr>
        <w:pStyle w:val="Heading3"/>
      </w:pPr>
      <w:r>
        <w:t xml:space="preserve">Was man sieht</w:t>
      </w:r>
    </w:p>
    <w:p>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Anteil, also wie wichtig das Thema für uns ist. Neben jedem Sektor steht die Punktezahl der Abteilung.</w:t>
      </w:r>
    </w:p>
    <w:p>
      <w:r>
        <w:t xml:space="preserve">Rechts daneben stehen die stärksten Wirkungen als Liste, darunter der Zustand der Datenquellen. Ein Klick auf einen Sektor filtert auf die Abteilung, ein Klick auf einen Punkt oder eine Zeile zeigt die Begründung mit Signal, unserem Anteil und dem Betrag in CHF.</w:t>
      </w:r>
    </w:p>
    <w:p>
      <w:pPr>
        <w:pStyle w:val="Heading3"/>
      </w:pPr>
      <w:r>
        <w:t xml:space="preserve">Wie gerechnet wird</w:t>
      </w:r>
    </w:p>
    <w:p>
      <w:r>
        <w:t xml:space="preserve">Für jedes Thema wird ein Signal zwischen minus 1 (schlecht für uns) und plus 1 (gut für uns) berechnet. Die Wirkung in Punkten ist unser Anteil innerhalb der Abteilung mal Signal mal 100.</w:t>
      </w:r>
    </w:p>
    <w:p>
      <w:pPr>
        <w:pStyle w:val="ListBullet"/>
        <w:numPr>
          <w:ilvl w:val="0"/>
          <w:numId w:val="1"/>
        </w:numPr>
      </w:pPr>
      <w:r>
        <w:rPr>
          <w:b/>
        </w:rPr>
        <w:t xml:space="preserve">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pPr>
        <w:pStyle w:val="ListBullet"/>
        <w:numPr>
          <w:ilvl w:val="0"/>
          <w:numId w:val="1"/>
        </w:numPr>
      </w:pPr>
      <w:r>
        <w:rPr>
          <w:b/>
        </w:rPr>
        <w:t xml:space="preserve">Verkauf:</w:t>
      </w:r>
      <w:r>
        <w:t xml:space="preserve"> Anteil = Umsatz des Landes am Gesamtumsatz, nach den Finance-Regeln und ohne Konzernkunden.</w:t>
      </w:r>
    </w:p>
    <w:p>
      <w:pPr>
        <w:pStyle w:val="ListBullet"/>
        <w:numPr>
          <w:ilvl w:val="0"/>
          <w:numId w:val="1"/>
        </w:numPr>
      </w:pPr>
      <w:r>
        <w:rPr>
          <w:b/>
        </w:rPr>
        <w:t xml:space="preserve">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pPr>
        <w:pStyle w:val="ListBullet"/>
        <w:numPr>
          <w:ilvl w:val="0"/>
          <w:numId w:val="1"/>
        </w:numPr>
      </w:pPr>
      <w:r>
        <w:rPr>
          <w:b/>
        </w:rPr>
        <w:t xml:space="preserve">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pPr>
        <w:pStyle w:val="ListBullet"/>
        <w:numPr>
          <w:ilvl w:val="0"/>
          <w:numId w:val="1"/>
        </w:numPr>
      </w:pPr>
      <w:r>
        <w:rPr>
          <w:b/>
        </w:rPr>
        <w:t xml:space="preserve">Finance:</w:t>
      </w:r>
      <w:r>
        <w:t xml:space="preserve"> je Fremdwährung die Nettoposition (Verkauf minus Einkauf in dieser Währung) und die Kursbewegung gegen CHF in 90 Tagen; dazu der Finanzstress-Index mit festem Gewicht.</w:t>
      </w:r>
    </w:p>
    <w:p>
      <w:pPr>
        <w:pStyle w:val="ListBullet"/>
        <w:numPr>
          <w:ilvl w:val="0"/>
          <w:numId w:val="1"/>
        </w:numPr>
      </w:pPr>
      <w:r>
        <w:rPr>
          <w:b/>
        </w:rPr>
        <w:t xml:space="preserve">HR:</w:t>
      </w:r>
      <w:r>
        <w:t xml:space="preserve"> Umsatzanteil der Gesellschaft im Standortland als Grössenmass.</w:t>
      </w:r>
    </w:p>
    <w:p>
      <w:r>
        <w:t xml:space="preserve">Die Zahl je Abteilung fasst die Punkte der Themen der Abteilung zusammen: Je Thema (Land, Rohstoff, Währung) werden die Wirkungen summiert, anschliessend wird über die Themen der Abteilung gemittelt. So entsteht ein Wert zwischen minus 100 und plus 100.</w:t>
      </w:r>
    </w:p>
    <w:p>
      <w:pPr>
        <w:pStyle w:val="Heading3"/>
      </w:pPr>
      <w:r>
        <w:t xml:space="preserve">Einsatz im Arbeitsalltag</w:t>
      </w:r>
    </w:p>
    <w:p>
      <w:pPr>
        <w:pStyle w:val="ListBullet"/>
        <w:numPr>
          <w:ilvl w:val="0"/>
          <w:numId w:val="1"/>
        </w:numPr>
      </w:pPr>
      <w:r>
        <w:rPr>
          <w:b/>
        </w:rPr>
        <w:t xml:space="preserve">Geschäftsleitung:</w:t>
      </w:r>
      <w:r>
        <w:t xml:space="preserve"> Vor der Quartalsbesprechung das Radar öffnen und fragen, welche Abteilung den grössten Gegenwind hat und warum. Ein Klick auf den roten Punkt liefert die Begründung.</w:t>
      </w:r>
    </w:p>
    <w:p>
      <w:pPr>
        <w:pStyle w:val="ListBullet"/>
        <w:numPr>
          <w:ilvl w:val="0"/>
          <w:numId w:val="1"/>
        </w:numPr>
      </w:pPr>
      <w:r>
        <w:rPr>
          <w:b/>
        </w:rPr>
        <w:t xml:space="preserve">Vertriebsleiter:</w:t>
      </w:r>
      <w:r>
        <w:t xml:space="preserve"> Prüfen, ob ein wichtiges Absatzland in der Lage kippt, bevor Planzahlen oder Preise für das Land bestätigt werden.</w:t>
      </w:r>
    </w:p>
    <w:p>
      <w:pPr>
        <w:pStyle w:val="ListBullet"/>
        <w:numPr>
          <w:ilvl w:val="0"/>
          <w:numId w:val="1"/>
        </w:numPr>
      </w:pPr>
      <w:r>
        <w:rPr>
          <w:b/>
        </w:rPr>
        <w:t xml:space="preserve">Einkäufer:</w:t>
      </w:r>
      <w:r>
        <w:t xml:space="preserve"> Vor einer Lieferantenverhandlung sehen, ob das Lieferland oder ein Rohstoff unter Druck steht.</w:t>
      </w:r>
    </w:p>
    <w:p>
      <w:pPr>
        <w:pStyle w:val="ListBullet"/>
        <w:numPr>
          <w:ilvl w:val="0"/>
          <w:numId w:val="1"/>
        </w:numPr>
      </w:pPr>
      <w:r>
        <w:rPr>
          <w:b/>
        </w:rPr>
        <w:t xml:space="preserve">Controller:</w:t>
      </w:r>
      <w:r>
        <w:t xml:space="preserve"> Die Währungs- und Finanzstresspunkte als Anlass nehmen, die Absicherung zu besprechen.</w:t>
      </w:r>
    </w:p>
    <w:p>
      <w:pPr>
        <w:pStyle w:val="Heading3"/>
      </w:pPr>
      <w:r>
        <w:t xml:space="preserve">Grenzen und Fallstricke</w:t>
      </w:r>
    </w:p>
    <w:p>
      <w:pPr>
        <w:pStyle w:val="ListBullet"/>
        <w:numPr>
          <w:ilvl w:val="0"/>
          <w:numId w:val="1"/>
        </w:numPr>
      </w:pPr>
      <w:r>
        <w:t xml:space="preserve">Das Signal aus GDELT ist ein Stimmungsmass aus maschinell erkannten Nachrichten, mit Fehlern und Doppelungen, keine Lagebeurteilung.</w:t>
      </w:r>
    </w:p>
    <w:p>
      <w:pPr>
        <w:pStyle w:val="ListBullet"/>
        <w:numPr>
          <w:ilvl w:val="0"/>
          <w:numId w:val="1"/>
        </w:numPr>
      </w:pPr>
      <w:r>
        <w:t xml:space="preserve">Eurostat deckt nur EU-Länder ab. Für die Schweiz, Grossbritannien, USA, Indien und China stützt sich das Land nur auf IMF und Ereignisse.</w:t>
      </w:r>
    </w:p>
    <w:p>
      <w:pPr>
        <w:pStyle w:val="ListBullet"/>
        <w:numPr>
          <w:ilvl w:val="0"/>
          <w:numId w:val="1"/>
        </w:numPr>
      </w:pPr>
      <w:r>
        <w:t xml:space="preserve">Die Rohstoffzuordnung über Stichworte ist grob und keine Stückliste. Die Wirkung zeigt die Richtung, nicht den Betrag.</w:t>
      </w:r>
    </w:p>
    <w:p>
      <w:pPr>
        <w:pStyle w:val="ListBullet"/>
        <w:numPr>
          <w:ilvl w:val="0"/>
          <w:numId w:val="1"/>
        </w:numPr>
      </w:pPr>
      <w:r>
        <w:t xml:space="preserve">Logistik hat keine Frachtdaten; Ersatz sind offene Bestellungen und der Ölpreis.</w:t>
      </w:r>
    </w:p>
    <w:p>
      <w:pPr>
        <w:pStyle w:val="ListBullet"/>
        <w:numPr>
          <w:ilvl w:val="0"/>
          <w:numId w:val="1"/>
        </w:numPr>
      </w:pPr>
      <w:r>
        <w:t xml:space="preserve">Ein grauer oder fehlender Punkt kann auch bedeuten, dass die Datenquelle blockiert ist oder zu wenige Ereignisse vorliegen.</w:t>
      </w:r>
    </w:p>
    <w:p>
      <w:pPr>
        <w:pStyle w:val="Heading2"/>
      </w:pPr>
      <w:r>
        <w:t xml:space="preserve">Länder</w:t>
      </w:r>
    </w:p>
    <w:p>
      <w:pPr>
        <w:pStyle w:val="Heading3"/>
      </w:pPr>
      <w:r>
        <w:t xml:space="preserve">Wozu</w:t>
      </w:r>
    </w:p>
    <w:p>
      <w:r>
        <w:t xml:space="preserve">Die Seite zeigt auf einer Weltkarte, in welchen Ländern wir Geschäft haben und wie die Lage dort aussieht. Sie beantwortet die Frage, wo viel Geschäft und schlechte Lage zusammentreffen.</w:t>
      </w:r>
    </w:p>
    <w:p>
      <w:pPr>
        <w:pStyle w:val="Heading3"/>
      </w:pPr>
      <w:r>
        <w:t xml:space="preserve">Was man sieht</w:t>
      </w:r>
    </w:p>
    <w:p>
      <w:r>
        <w:t xml:space="preserve">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 Verkauf und Einkauf in CHF und die Begründung der Lage (Ereignisse, Konfliktanteil, Industrieproduktion, Wachstumsprognose).</w:t>
      </w:r>
    </w:p>
    <w:p>
      <w:pPr>
        <w:pStyle w:val="Heading3"/>
      </w:pPr>
      <w:r>
        <w:t xml:space="preserve">Wie gerechnet wird</w:t>
      </w:r>
    </w:p>
    <w:p>
      <w:r>
        <w:t xml:space="preserve">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pPr>
        <w:pStyle w:val="Heading3"/>
      </w:pPr>
      <w:r>
        <w:t xml:space="preserve">Einsatz im Arbeitsalltag</w:t>
      </w:r>
    </w:p>
    <w:p>
      <w:pPr>
        <w:pStyle w:val="ListBullet"/>
        <w:numPr>
          <w:ilvl w:val="0"/>
          <w:numId w:val="1"/>
        </w:numPr>
      </w:pPr>
      <w:r>
        <w:rPr>
          <w:b/>
        </w:rPr>
        <w:t xml:space="preserve">Vertriebsleiter:</w:t>
      </w:r>
      <w:r>
        <w:t xml:space="preserve"> Grosse rote Kreise sind Absatzmärkte unter Druck; sie kommen zuerst in die nächste Kundenrunde.</w:t>
      </w:r>
    </w:p>
    <w:p>
      <w:pPr>
        <w:pStyle w:val="ListBullet"/>
        <w:numPr>
          <w:ilvl w:val="0"/>
          <w:numId w:val="1"/>
        </w:numPr>
      </w:pPr>
      <w:r>
        <w:rPr>
          <w:b/>
        </w:rPr>
        <w:t xml:space="preserve">Einkäufer:</w:t>
      </w:r>
      <w:r>
        <w:t xml:space="preserve"> In der Ansicht „Einkauf“ erkennen, ob viel Volumen in einem Land mit schlechter Lage liegt, und Alternativlieferanten prüfen.</w:t>
      </w:r>
    </w:p>
    <w:p>
      <w:pPr>
        <w:pStyle w:val="ListBullet"/>
        <w:numPr>
          <w:ilvl w:val="0"/>
          <w:numId w:val="1"/>
        </w:numPr>
      </w:pPr>
      <w:r>
        <w:rPr>
          <w:b/>
        </w:rPr>
        <w:t xml:space="preserve">Geschäftsleitung:</w:t>
      </w:r>
      <w:r>
        <w:t xml:space="preserve"> Klumpenrisiken sichtbar machen, etwa ein grosser Kreis in einem pulsierenden Land.</w:t>
      </w:r>
    </w:p>
    <w:p>
      <w:pPr>
        <w:pStyle w:val="Heading3"/>
      </w:pPr>
      <w:r>
        <w:t xml:space="preserve">Grenzen und Fallstricke</w:t>
      </w:r>
    </w:p>
    <w:p>
      <w:r>
        <w:t xml:space="preserve">Grau heisst „keine Daten“, nicht „sicher“. Länder mit wenig Nachrichtenereignissen erhalten kein Signal. Die Karte ist grob und zeigt nur Länder, die in den Verkaufs- oder Einkaufsdaten vorkommen. Konzernkunden sind im Verkauf nicht enthalten.</w:t>
      </w:r>
    </w:p>
    <w:p>
      <w:pPr>
        <w:pStyle w:val="Heading2"/>
      </w:pPr>
      <w:r>
        <w:t xml:space="preserve">Rohstoffe und Währungen</w:t>
      </w:r>
    </w:p>
    <w:p>
      <w:pPr>
        <w:pStyle w:val="Heading3"/>
      </w:pPr>
      <w:r>
        <w:t xml:space="preserve">Wozu</w:t>
      </w:r>
    </w:p>
    <w:p>
      <w:r>
        <w:t xml:space="preserve">Die Seite zeigt, wie sich Preise und Kurse bewegen, die unsere Kosten und Erlöse beeinflussen, und wie stark wir ihnen ausgesetzt sind.</w:t>
      </w:r>
    </w:p>
    <w:p>
      <w:pPr>
        <w:pStyle w:val="Heading3"/>
      </w:pPr>
      <w:r>
        <w:t xml:space="preserve">Was man sieht</w:t>
      </w:r>
    </w:p>
    <w:p>
      <w:r>
        <w:t xml:space="preserve">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Quelle gefunden wurde.</w:t>
      </w:r>
    </w:p>
    <w:p>
      <w:r>
        <w:t xml:space="preserve">Darunter steht die Währungstabelle mit der Nettoposition der letzten 12 Monate in CHF, der Kursbewegung gegen CHF in 90 Tagen und einer Wirkung (Gegenwind, Rückenwind, ruhig). Daneben zeigt ein Balkendiagramm den Einkauf nach Rohstoff.</w:t>
      </w:r>
    </w:p>
    <w:p>
      <w:pPr>
        <w:pStyle w:val="Heading3"/>
      </w:pPr>
      <w:r>
        <w:t xml:space="preserve">Wie gerechnet wird</w:t>
      </w:r>
    </w:p>
    <w:p>
      <w:pPr>
        <w:pStyle w:val="ListBullet"/>
        <w:numPr>
          <w:ilvl w:val="0"/>
          <w:numId w:val="1"/>
        </w:numPr>
      </w:pPr>
      <w:r>
        <w:rPr>
          <w:b/>
        </w:rPr>
        <w:t xml:space="preserve">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pPr>
        <w:pStyle w:val="ListBullet"/>
        <w:numPr>
          <w:ilvl w:val="0"/>
          <w:numId w:val="1"/>
        </w:numPr>
      </w:pPr>
      <w:r>
        <w:rPr>
          <w:b/>
        </w:rPr>
        <w:t xml:space="preserve">Kursbewegung:</w:t>
      </w:r>
      <w:r>
        <w:t xml:space="preserve"> Veränderung des EZB-Referenzkurses gegen CHF über 90 Tage.</w:t>
      </w:r>
    </w:p>
    <w:p>
      <w:pPr>
        <w:pStyle w:val="ListBullet"/>
        <w:numPr>
          <w:ilvl w:val="0"/>
          <w:numId w:val="1"/>
        </w:numPr>
      </w:pPr>
      <w:r>
        <w:rPr>
          <w:b/>
        </w:rPr>
        <w:t xml:space="preserve">Wirkung:</w:t>
      </w:r>
      <w:r>
        <w:t xml:space="preserve"> Kursbewegung mal Vorzeichen der Position. Ein schwächerer Kurs bei positiver Position ist Gegenwind.</w:t>
      </w:r>
    </w:p>
    <w:p>
      <w:pPr>
        <w:pStyle w:val="ListBullet"/>
        <w:numPr>
          <w:ilvl w:val="0"/>
          <w:numId w:val="1"/>
        </w:numPr>
      </w:pPr>
      <w:r>
        <w:rPr>
          <w:b/>
        </w:rPr>
        <w:t xml:space="preserve">Rohstoffpreis:</w:t>
      </w:r>
      <w:r>
        <w:t xml:space="preserve"> Änderung über 90 Tage. Steigende Preise gelten für den Einkauf als Gegenwind.</w:t>
      </w:r>
    </w:p>
    <w:p>
      <w:pPr>
        <w:pStyle w:val="ListBullet"/>
        <w:numPr>
          <w:ilvl w:val="0"/>
          <w:numId w:val="1"/>
        </w:numPr>
      </w:pPr>
      <w:r>
        <w:rPr>
          <w:b/>
        </w:rPr>
        <w:t xml:space="preserve">Einkauf nach Rohstoff:</w:t>
      </w:r>
      <w:r>
        <w:t xml:space="preserve"> Bestellwert, dem ein Rohstoff über Stichworte im Warengruppen- und Positionstext zugeordnet wird (zum Beispiel Edelstahl zu Nickel, Messing zu Kupfer, Kunststoff zu Erdöl).</w:t>
      </w:r>
    </w:p>
    <w:p>
      <w:pPr>
        <w:pStyle w:val="Heading3"/>
      </w:pPr>
      <w:r>
        <w:t xml:space="preserve">Einsatz im Arbeitsalltag</w:t>
      </w:r>
    </w:p>
    <w:p>
      <w:pPr>
        <w:pStyle w:val="ListBullet"/>
        <w:numPr>
          <w:ilvl w:val="0"/>
          <w:numId w:val="1"/>
        </w:numPr>
      </w:pPr>
      <w:r>
        <w:rPr>
          <w:b/>
        </w:rPr>
        <w:t xml:space="preserve">Controller:</w:t>
      </w:r>
      <w:r>
        <w:t xml:space="preserve"> Vor der Budget- oder Forecastrunde die Währungstabelle ansehen: Welche Währung hat die grösste Nettoposition und bewegt sich gegen uns?</w:t>
      </w:r>
    </w:p>
    <w:p>
      <w:pPr>
        <w:pStyle w:val="ListBullet"/>
        <w:numPr>
          <w:ilvl w:val="0"/>
          <w:numId w:val="1"/>
        </w:numPr>
      </w:pPr>
      <w:r>
        <w:rPr>
          <w:b/>
        </w:rPr>
        <w:t xml:space="preserve">Einkäufer:</w:t>
      </w:r>
      <w:r>
        <w:t xml:space="preserve"> Vor Preisverhandlungen prüfen, ob der Rohstoff zuletzt gestiegen ist, und den eigenen Einkaufsanteil daneben sehen.</w:t>
      </w:r>
    </w:p>
    <w:p>
      <w:pPr>
        <w:pStyle w:val="ListBullet"/>
        <w:numPr>
          <w:ilvl w:val="0"/>
          <w:numId w:val="1"/>
        </w:numPr>
      </w:pPr>
      <w:r>
        <w:rPr>
          <w:b/>
        </w:rPr>
        <w:t xml:space="preserve">Geschäftsleitung:</w:t>
      </w:r>
      <w:r>
        <w:t xml:space="preserve"> Mit dem Finanzstress-Index ein Gefühl für das Marktumfeld gewinnen.</w:t>
      </w:r>
    </w:p>
    <w:p>
      <w:pPr>
        <w:pStyle w:val="Heading3"/>
      </w:pPr>
      <w:r>
        <w:t xml:space="preserve">Grenzen und Fallstricke</w:t>
      </w:r>
    </w:p>
    <w:p>
      <w:pPr>
        <w:pStyle w:val="ListBullet"/>
        <w:numPr>
          <w:ilvl w:val="0"/>
          <w:numId w:val="1"/>
        </w:numPr>
      </w:pPr>
      <w:r>
        <w:t xml:space="preserve">Rohstoffzuordnung per Stichwort ist eine Annahme, keine Stückliste.</w:t>
      </w:r>
    </w:p>
    <w:p>
      <w:pPr>
        <w:pStyle w:val="ListBullet"/>
        <w:numPr>
          <w:ilvl w:val="0"/>
          <w:numId w:val="1"/>
        </w:numPr>
      </w:pPr>
      <w:r>
        <w:t xml:space="preserve">Die Preise sind Weltmarktwerte aus FRED und monatlich oder täglich aktualisiert; Rohstoffreihen können dem Monatsende hinterherhinken.</w:t>
      </w:r>
    </w:p>
    <w:p>
      <w:pPr>
        <w:pStyle w:val="ListBullet"/>
        <w:numPr>
          <w:ilvl w:val="0"/>
          <w:numId w:val="1"/>
        </w:numPr>
      </w:pPr>
      <w:r>
        <w:t xml:space="preserve">Die Nettoposition beruht auf den Zeilenwährungen der Verkaufs- und Einkaufsdaten. Hinweis: Bei EUR zeigte die Dokumentation vom 5. Oktober 2026 eine auffällige Nettoposition, die nicht geklärt war; die Zahlen sind mit Vorsicht zu lesen.</w:t>
      </w:r>
    </w:p>
    <w:p>
      <w:pPr>
        <w:pStyle w:val="ListBullet"/>
        <w:numPr>
          <w:ilvl w:val="0"/>
          <w:numId w:val="1"/>
        </w:numPr>
      </w:pPr>
      <w:r>
        <w:t xml:space="preserve">Es gibt keine Absicherungsempfehlung. Ohne Verbindung zu FRED bleiben die Rohstoffkarten leer.</w:t>
      </w:r>
    </w:p>
    <w:p>
      <w:pPr>
        <w:pStyle w:val="Heading2"/>
      </w:pPr>
      <w:r>
        <w:t xml:space="preserve">Ereignisse</w:t>
      </w:r>
    </w:p>
    <w:p>
      <w:pPr>
        <w:pStyle w:val="Heading3"/>
      </w:pPr>
      <w:r>
        <w:t xml:space="preserve">Wozu</w:t>
      </w:r>
    </w:p>
    <w:p>
      <w:r>
        <w:t xml:space="preserve">Die Seite zeigt die meistbeachteten Konflikt- und Negativmeldungen der letzten 24 Stunden in den Ländern, in denen wir Geschäft haben. Sie liefert den Nachrichtenhintergrund zu den Signalen im Radar.</w:t>
      </w:r>
    </w:p>
    <w:p>
      <w:pPr>
        <w:pStyle w:val="Heading3"/>
      </w:pPr>
      <w:r>
        <w:t xml:space="preserve">Was man sieht</w:t>
      </w:r>
    </w:p>
    <w:p>
      <w:r>
        <w:t xml:space="preserve">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pPr>
        <w:pStyle w:val="Heading3"/>
      </w:pPr>
      <w:r>
        <w:t xml:space="preserve">Wie gerechnet wird</w:t>
      </w:r>
    </w:p>
    <w:p>
      <w:r>
        <w:t xml:space="preserve">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pPr>
        <w:pStyle w:val="Heading3"/>
      </w:pPr>
      <w:r>
        <w:t xml:space="preserve">Einsatz im Arbeitsalltag</w:t>
      </w:r>
    </w:p>
    <w:p>
      <w:pPr>
        <w:pStyle w:val="ListBullet"/>
        <w:numPr>
          <w:ilvl w:val="0"/>
          <w:numId w:val="1"/>
        </w:numPr>
      </w:pPr>
      <w:r>
        <w:rPr>
          <w:b/>
        </w:rPr>
        <w:t xml:space="preserve">Einkäufer:</w:t>
      </w:r>
      <w:r>
        <w:t xml:space="preserve"> Bei rotem Signal eines Lieferlandes nachsehen, welches Ereignis dahintersteht, und gegebenenfalls beim Lieferanten nachfragen.</w:t>
      </w:r>
    </w:p>
    <w:p>
      <w:pPr>
        <w:pStyle w:val="ListBullet"/>
        <w:numPr>
          <w:ilvl w:val="0"/>
          <w:numId w:val="1"/>
        </w:numPr>
      </w:pPr>
      <w:r>
        <w:rPr>
          <w:b/>
        </w:rPr>
        <w:t xml:space="preserve">Logistiker:</w:t>
      </w:r>
      <w:r>
        <w:t xml:space="preserve"> Ereignisse in Ländern mit offenen Bestellungen beachten, etwa Proteste oder Konflikte, die Transporte verzögern könnten.</w:t>
      </w:r>
    </w:p>
    <w:p>
      <w:pPr>
        <w:pStyle w:val="ListBullet"/>
        <w:numPr>
          <w:ilvl w:val="0"/>
          <w:numId w:val="1"/>
        </w:numPr>
      </w:pPr>
      <w:r>
        <w:rPr>
          <w:b/>
        </w:rPr>
        <w:t xml:space="preserve">Vertrieb:</w:t>
      </w:r>
      <w:r>
        <w:t xml:space="preserve"> Vor Reisen oder Kundengesprächen die Lage im Land ansehen.</w:t>
      </w:r>
    </w:p>
    <w:p>
      <w:pPr>
        <w:pStyle w:val="Heading3"/>
      </w:pPr>
      <w:r>
        <w:t xml:space="preserve">Grenzen und Fallstricke</w:t>
      </w:r>
    </w:p>
    <w:p>
      <w:r>
        <w:t xml:space="preserve">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Signal</w:t>
            </w:r>
          </w:p>
        </w:tc>
        <w:tc>
          <w:tcPr>
            <w:tcW w:w="3102" w:type="dxa"/>
          </w:tcPr>
          <w:p>
            <w:pPr>
              <w:pStyle w:val="TableText"/>
            </w:pPr>
            <w:r>
              <w:t xml:space="preserve">Wirkung eines Themas auf uns, von minus 1 (schlecht) bis plus 1 (gut)</w:t>
            </w:r>
          </w:p>
        </w:tc>
        <w:tc>
          <w:tcPr>
            <w:tcW w:w="3102" w:type="dxa"/>
          </w:tcPr>
          <w:p>
            <w:pPr>
              <w:pStyle w:val="TableText"/>
            </w:pPr>
            <w:r>
              <w:t xml:space="preserve">Je nach Thema aus Ereignislage, Konjunktur, Preisänderung oder Kursänderung berechnet und auf den Bereich minus 1 bis plus 1 begrenzt</w:t>
            </w:r>
          </w:p>
        </w:tc>
      </w:tr>
      <w:tr>
        <w:tc>
          <w:tcPr>
            <w:tcW w:w="3102" w:type="dxa"/>
          </w:tcPr>
          <w:p>
            <w:pPr>
              <w:pStyle w:val="TableText"/>
            </w:pPr>
            <w:r>
              <w:t xml:space="preserve">Wirkung (Punkte)</w:t>
            </w:r>
          </w:p>
        </w:tc>
        <w:tc>
          <w:tcPr>
            <w:tcW w:w="3102" w:type="dxa"/>
          </w:tcPr>
          <w:p>
            <w:pPr>
              <w:pStyle w:val="TableText"/>
            </w:pPr>
            <w:r>
              <w:t xml:space="preserve">Gewichtete Stärke eines Themas für die Abteilung</w:t>
            </w:r>
          </w:p>
        </w:tc>
        <w:tc>
          <w:tcPr>
            <w:tcW w:w="3102" w:type="dxa"/>
          </w:tcPr>
          <w:p>
            <w:pPr>
              <w:pStyle w:val="TableText"/>
            </w:pPr>
            <w:r>
              <w:t xml:space="preserve">Unser Anteil innerhalb der Abteilung mal Signal mal 100</w:t>
            </w:r>
          </w:p>
        </w:tc>
      </w:tr>
      <w:tr>
        <w:tc>
          <w:tcPr>
            <w:tcW w:w="3102" w:type="dxa"/>
          </w:tcPr>
          <w:p>
            <w:pPr>
              <w:pStyle w:val="TableText"/>
            </w:pPr>
            <w:r>
              <w:t xml:space="preserve">Punkte je Abteilung</w:t>
            </w:r>
          </w:p>
        </w:tc>
        <w:tc>
          <w:tcPr>
            <w:tcW w:w="3102" w:type="dxa"/>
          </w:tcPr>
          <w:p>
            <w:pPr>
              <w:pStyle w:val="TableText"/>
            </w:pPr>
            <w:r>
              <w:t xml:space="preserve">Gesamtbild einer Abteilung, minus 100 bis plus 100</w:t>
            </w:r>
          </w:p>
        </w:tc>
        <w:tc>
          <w:tcPr>
            <w:tcW w:w="3102" w:type="dxa"/>
          </w:tcPr>
          <w:p>
            <w:pPr>
              <w:pStyle w:val="TableText"/>
            </w:pPr>
            <w:r>
              <w:t xml:space="preserve">Wirkungen je Thema summiert, danach über die Themen der Abteilung gemittelt</w:t>
            </w:r>
          </w:p>
        </w:tc>
      </w:tr>
      <w:tr>
        <w:tc>
          <w:tcPr>
            <w:tcW w:w="3102" w:type="dxa"/>
          </w:tcPr>
          <w:p>
            <w:pPr>
              <w:pStyle w:val="TableText"/>
            </w:pPr>
            <w:r>
              <w:t xml:space="preserve">Lage des Landes</w:t>
            </w:r>
          </w:p>
        </w:tc>
        <w:tc>
          <w:tcPr>
            <w:tcW w:w="3102" w:type="dxa"/>
          </w:tcPr>
          <w:p>
            <w:pPr>
              <w:pStyle w:val="TableText"/>
            </w:pPr>
            <w:r>
              <w:t xml:space="preserve">Zustand eines Landes</w:t>
            </w:r>
          </w:p>
        </w:tc>
        <w:tc>
          <w:tcPr>
            <w:tcW w:w="3102" w:type="dxa"/>
          </w:tcPr>
          <w:p>
            <w:pPr>
              <w:pStyle w:val="TableText"/>
            </w:pPr>
            <w:r>
              <w:t xml:space="preserve">Durchschnitt aus Ereignissignal und Konjunktursignal</w:t>
            </w:r>
          </w:p>
        </w:tc>
      </w:tr>
      <w:tr>
        <w:tc>
          <w:tcPr>
            <w:tcW w:w="3102" w:type="dxa"/>
          </w:tcPr>
          <w:p>
            <w:pPr>
              <w:pStyle w:val="TableText"/>
            </w:pPr>
            <w:r>
              <w:t xml:space="preserve">Ereignissignal</w:t>
            </w:r>
          </w:p>
        </w:tc>
        <w:tc>
          <w:tcPr>
            <w:tcW w:w="3102" w:type="dxa"/>
          </w:tcPr>
          <w:p>
            <w:pPr>
              <w:pStyle w:val="TableText"/>
            </w:pPr>
            <w:r>
              <w:t xml:space="preserve">Nachrichtenlage eines Landes</w:t>
            </w:r>
          </w:p>
        </w:tc>
        <w:tc>
          <w:tcPr>
            <w:tcW w:w="3102" w:type="dxa"/>
          </w:tcPr>
          <w:p>
            <w:pPr>
              <w:pStyle w:val="TableText"/>
            </w:pPr>
            <w:r>
              <w:t xml:space="preserve">Letzte drei Tage gegen die 27 Tage davor: Veränderung von Stimmung und Konfliktanteil, Abzug bei Konfliktanteil über 25 Prozent; erst ab 20 Ereignissen</w:t>
            </w:r>
          </w:p>
        </w:tc>
      </w:tr>
      <w:tr>
        <w:tc>
          <w:tcPr>
            <w:tcW w:w="3102" w:type="dxa"/>
          </w:tcPr>
          <w:p>
            <w:pPr>
              <w:pStyle w:val="TableText"/>
            </w:pPr>
            <w:r>
              <w:t xml:space="preserve">Konjunktursignal</w:t>
            </w:r>
          </w:p>
        </w:tc>
        <w:tc>
          <w:tcPr>
            <w:tcW w:w="3102" w:type="dxa"/>
          </w:tcPr>
          <w:p>
            <w:pPr>
              <w:pStyle w:val="TableText"/>
            </w:pPr>
            <w:r>
              <w:t xml:space="preserve">Wirtschaftslage eines Landes</w:t>
            </w:r>
          </w:p>
        </w:tc>
        <w:tc>
          <w:tcPr>
            <w:tcW w:w="3102" w:type="dxa"/>
          </w:tcPr>
          <w:p>
            <w:pPr>
              <w:pStyle w:val="TableText"/>
            </w:pPr>
            <w:r>
              <w:t xml:space="preserve">Industrieproduktion gegenüber Vorjahr und IMF-Wachstumsprognose, Durchschnitt der vorhandenen Werte</w:t>
            </w:r>
          </w:p>
        </w:tc>
      </w:tr>
      <w:tr>
        <w:tc>
          <w:tcPr>
            <w:tcW w:w="3102" w:type="dxa"/>
          </w:tcPr>
          <w:p>
            <w:pPr>
              <w:pStyle w:val="TableText"/>
            </w:pPr>
            <w:r>
              <w:t xml:space="preserve">Konfliktanteil</w:t>
            </w:r>
          </w:p>
        </w:tc>
        <w:tc>
          <w:tcPr>
            <w:tcW w:w="3102" w:type="dxa"/>
          </w:tcPr>
          <w:p>
            <w:pPr>
              <w:pStyle w:val="TableText"/>
            </w:pPr>
            <w:r>
              <w:t xml:space="preserve">Anteil Konfliktmeldungen</w:t>
            </w:r>
          </w:p>
        </w:tc>
        <w:tc>
          <w:tcPr>
            <w:tcW w:w="3102" w:type="dxa"/>
          </w:tcPr>
          <w:p>
            <w:pPr>
              <w:pStyle w:val="TableText"/>
            </w:pPr>
            <w:r>
              <w:t xml:space="preserve">Konfliktereignisse geteilt durch alle erkannten Ereignisse des Landes</w:t>
            </w:r>
          </w:p>
        </w:tc>
      </w:tr>
      <w:tr>
        <w:tc>
          <w:tcPr>
            <w:tcW w:w="3102" w:type="dxa"/>
          </w:tcPr>
          <w:p>
            <w:pPr>
              <w:pStyle w:val="TableText"/>
            </w:pPr>
            <w:r>
              <w:t xml:space="preserve">Nettoposition Währung</w:t>
            </w:r>
          </w:p>
        </w:tc>
        <w:tc>
          <w:tcPr>
            <w:tcW w:w="3102" w:type="dxa"/>
          </w:tcPr>
          <w:p>
            <w:pPr>
              <w:pStyle w:val="TableText"/>
            </w:pPr>
            <w:r>
              <w:t xml:space="preserve">Währungsrisiko in CHF</w:t>
            </w:r>
          </w:p>
        </w:tc>
        <w:tc>
          <w:tcPr>
            <w:tcW w:w="3102" w:type="dxa"/>
          </w:tcPr>
          <w:p>
            <w:pPr>
              <w:pStyle w:val="TableText"/>
            </w:pPr>
            <w:r>
              <w:t xml:space="preserve">Verkauf in der Währung minus Einkauf in der Währung, 12 Monate</w:t>
            </w:r>
          </w:p>
        </w:tc>
      </w:tr>
      <w:tr>
        <w:tc>
          <w:tcPr>
            <w:tcW w:w="3102" w:type="dxa"/>
          </w:tcPr>
          <w:p>
            <w:pPr>
              <w:pStyle w:val="TableText"/>
            </w:pPr>
            <w:r>
              <w:t xml:space="preserve">Kursbewegung 90 Tage</w:t>
            </w:r>
          </w:p>
        </w:tc>
        <w:tc>
          <w:tcPr>
            <w:tcW w:w="3102" w:type="dxa"/>
          </w:tcPr>
          <w:p>
            <w:pPr>
              <w:pStyle w:val="TableText"/>
            </w:pPr>
            <w:r>
              <w:t xml:space="preserve">Veränderung des Kurses gegen CHF</w:t>
            </w:r>
          </w:p>
        </w:tc>
        <w:tc>
          <w:tcPr>
            <w:tcW w:w="3102" w:type="dxa"/>
          </w:tcPr>
          <w:p>
            <w:pPr>
              <w:pStyle w:val="TableText"/>
            </w:pPr>
            <w:r>
              <w:t xml:space="preserve">Heutiger EZB-Referenzkurs gegen den Kurs vor 90 Tagen, in Prozent</w:t>
            </w:r>
          </w:p>
        </w:tc>
      </w:tr>
      <w:tr>
        <w:tc>
          <w:tcPr>
            <w:tcW w:w="3102" w:type="dxa"/>
          </w:tcPr>
          <w:p>
            <w:pPr>
              <w:pStyle w:val="TableText"/>
            </w:pPr>
            <w:r>
              <w:t xml:space="preserve">Finanzstress-Index</w:t>
            </w:r>
          </w:p>
        </w:tc>
        <w:tc>
          <w:tcPr>
            <w:tcW w:w="3102" w:type="dxa"/>
          </w:tcPr>
          <w:p>
            <w:pPr>
              <w:pStyle w:val="TableText"/>
            </w:pPr>
            <w:r>
              <w:t xml:space="preserve">Spannung an den Finanzmärkten</w:t>
            </w:r>
          </w:p>
        </w:tc>
        <w:tc>
          <w:tcPr>
            <w:tcW w:w="3102" w:type="dxa"/>
          </w:tcPr>
          <w:p>
            <w:pPr>
              <w:pStyle w:val="TableText"/>
            </w:pPr>
            <w:r>
              <w:t xml:space="preserve">Wöchentlicher Index der US-Notenbank St. Louis (FRED); 0 normal, über 1 angespannt</w:t>
            </w:r>
          </w:p>
        </w:tc>
      </w:tr>
      <w:tr>
        <w:tc>
          <w:tcPr>
            <w:tcW w:w="3102" w:type="dxa"/>
          </w:tcPr>
          <w:p>
            <w:pPr>
              <w:pStyle w:val="TableText"/>
            </w:pPr>
            <w:r>
              <w:t xml:space="preserve">Offene Bestellungen</w:t>
            </w:r>
          </w:p>
        </w:tc>
        <w:tc>
          <w:tcPr>
            <w:tcW w:w="3102" w:type="dxa"/>
          </w:tcPr>
          <w:p>
            <w:pPr>
              <w:pStyle w:val="TableText"/>
            </w:pPr>
            <w:r>
              <w:t xml:space="preserve">Noch nicht gelieferter Teil der Einkaufsbestellungen</w:t>
            </w:r>
          </w:p>
        </w:tc>
        <w:tc>
          <w:tcPr>
            <w:tcW w:w="3102" w:type="dxa"/>
          </w:tcPr>
          <w:p>
            <w:pPr>
              <w:pStyle w:val="TableText"/>
            </w:pPr>
            <w:r>
              <w:t xml:space="preserve">Offene Menge mal Stückpreis, ohne bereits als geliefert gekennzeichnete Positionen</w:t>
            </w:r>
          </w:p>
        </w:tc>
      </w:tr>
    </w:tbl>
    <w:p>
      <w:pPr>
        <w:spacing w:before="0" w:after="80"/>
      </w:pPr>
    </w:p>
    <w:p>
      <w:r>
        <w:br w:type="page"/>
      </w:r>
    </w:p>
    <w:p>
      <w:pPr>
        <w:pStyle w:val="Heading1"/>
      </w:pPr>
      <w:r>
        <w:t xml:space="preserve">Netzwerk und IT-Infrastruktur</w:t>
      </w:r>
    </w:p>
    <w:p>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 xml:space="preserve">Netzwerk</w:t>
      </w:r>
      <w:r>
        <w:t xml:space="preserve"> mit zwölf Unterseiten und ist für alle sichtbar. Hauptnutzer sind IT-Leitung, Netzwerktechniker und Geschäftsleitung.</w:t>
      </w:r>
    </w:p>
    <w:p>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r>
        <w:t xml:space="preserve">Für die Geschäftsleitung am wichtigsten sind die Seiten Migration, Bericht, Verfügbarkeit und Netz oder Daten. Die übrigen Seiten sind kurz beschrieben und richten sich an die IT.</w:t>
      </w:r>
    </w:p>
    <w:p>
      <w:pPr>
        <w:pStyle w:val="Heading2"/>
      </w:pPr>
      <w:r>
        <w:t xml:space="preserve">Übersicht</w:t>
      </w:r>
    </w:p>
    <w:p>
      <w:pPr>
        <w:pStyle w:val="Heading3"/>
      </w:pPr>
      <w:r>
        <w:t xml:space="preserve">Wozu</w:t>
      </w:r>
    </w:p>
    <w:p>
      <w:r>
        <w:t xml:space="preserve">Die Seite zeigt in einem Bild, ob die für das Cockpit wichtigen Systeme gerade erreichbar sind und wie schnell sie antworten. Sie ist der Einstieg, um bei einer Störungsmeldung in Sekunden zu sehen, ob das Netz oder eine Quelle betroffen ist.</w:t>
      </w:r>
    </w:p>
    <w:p>
      <w:pPr>
        <w:pStyle w:val="Heading3"/>
      </w:pPr>
      <w:r>
        <w:t xml:space="preserve">Was man sieht</w:t>
      </w:r>
    </w:p>
    <w:p>
      <w:r>
        <w:t xml:space="preserve">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Prozent. Die Seite liest jede Minute neu.</w:t>
      </w:r>
    </w:p>
    <w:p>
      <w:pPr>
        <w:pStyle w:val="Heading3"/>
      </w:pPr>
      <w:r>
        <w:t xml:space="preserve">Wie gerechnet wird</w:t>
      </w:r>
    </w:p>
    <w:p>
      <w:r>
        <w:t xml:space="preserve">Die Verfügbarkeit ist der Anteil erfolgreicher Prüfungen an allen Prüfungen der letzten 24 Stunden. Die mittlere Antwortzeit ist der Durchschnitt der Antwortzeiten aller Ziele.</w:t>
      </w:r>
    </w:p>
    <w:p>
      <w:pPr>
        <w:pStyle w:val="Heading3"/>
      </w:pPr>
      <w:r>
        <w:t xml:space="preserve">Einsatz im Arbeitsalltag</w:t>
      </w:r>
    </w:p>
    <w:p>
      <w:pPr>
        <w:pStyle w:val="ListBullet"/>
        <w:numPr>
          <w:ilvl w:val="0"/>
          <w:numId w:val="1"/>
        </w:numPr>
      </w:pPr>
      <w:r>
        <w:rPr>
          <w:b/>
        </w:rPr>
        <w:t xml:space="preserve">IT-Leitung:</w:t>
      </w:r>
      <w:r>
        <w:t xml:space="preserve"> Bei einer Meldung „SAP ist langsam“ zuerst die Karte öffnen.</w:t>
      </w:r>
    </w:p>
    <w:p>
      <w:pPr>
        <w:pStyle w:val="ListBullet"/>
        <w:numPr>
          <w:ilvl w:val="0"/>
          <w:numId w:val="1"/>
        </w:numPr>
      </w:pPr>
      <w:r>
        <w:rPr>
          <w:b/>
        </w:rPr>
        <w:t xml:space="preserve">Geschäftsleitung:</w:t>
      </w:r>
      <w:r>
        <w:t xml:space="preserve"> Ein Blick genügt, um zu sehen, ob alle Ziele grün sind.</w:t>
      </w:r>
    </w:p>
    <w:p>
      <w:pPr>
        <w:pStyle w:val="Heading3"/>
      </w:pPr>
      <w:r>
        <w:t xml:space="preserve">Grenzen und Fallstricke</w:t>
      </w:r>
    </w:p>
    <w:p>
      <w:r>
        <w:t xml:space="preserve">SAP wird nur über einen öffentlichen Ping ohne Anmeldung geprüft, HANA nur über den Verbindungsaufbau auf dem Datenbankport. Erreichbar heisst nicht, dass Anmeldung und Daten funktionieren.</w:t>
      </w:r>
    </w:p>
    <w:p>
      <w:pPr>
        <w:pStyle w:val="Heading2"/>
      </w:pPr>
      <w:r>
        <w:t xml:space="preserve">Verfügbarkeit</w:t>
      </w:r>
    </w:p>
    <w:p>
      <w:pPr>
        <w:pStyle w:val="Heading3"/>
      </w:pPr>
      <w:r>
        <w:t xml:space="preserve">Wozu</w:t>
      </w:r>
    </w:p>
    <w:p>
      <w:r>
        <w:t xml:space="preserve">Die Seite zeigt, wie zuverlässig die Systeme über die Woche waren, und warnt, wenn SAP langsam wird, bevor es ausfällt. Sie ist die Grundlage für Gespräche über Servicequalität und für die Frage, wie gross das Ausfallrisiko ist.</w:t>
      </w:r>
    </w:p>
    <w:p>
      <w:pPr>
        <w:pStyle w:val="Heading3"/>
      </w:pPr>
      <w:r>
        <w:t xml:space="preserve">Was man sieht</w:t>
      </w:r>
    </w:p>
    <w:p>
      <w:r>
        <w:t xml:space="preserve">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pPr>
        <w:pStyle w:val="Heading3"/>
      </w:pPr>
      <w:r>
        <w:t xml:space="preserve">Wie gerechnet wird</w:t>
      </w:r>
    </w:p>
    <w:p>
      <w:r>
        <w:t xml:space="preserve">Je Feld der Anteil erfolgreicher Prüfungen in dieser Stunde. Die Frühwarnung stellt Antwortzeit und Anzahl Probleme der SAP-Abrufe je Tag nebeneinander. Steigen beide, wird SAP langsam, bevor es steht.</w:t>
      </w:r>
    </w:p>
    <w:p>
      <w:pPr>
        <w:pStyle w:val="Heading3"/>
      </w:pPr>
      <w:r>
        <w:t xml:space="preserve">Einsatz im Arbeitsalltag</w:t>
      </w:r>
    </w:p>
    <w:p>
      <w:pPr>
        <w:pStyle w:val="ListBullet"/>
        <w:numPr>
          <w:ilvl w:val="0"/>
          <w:numId w:val="1"/>
        </w:numPr>
      </w:pPr>
      <w:r>
        <w:rPr>
          <w:b/>
        </w:rPr>
        <w:t xml:space="preserve">IT-Leitung:</w:t>
      </w:r>
      <w:r>
        <w:t xml:space="preserve"> Rote Streifen zur gleichen Uhrzeit an mehreren Tagen deuten auf geplante Wartungen oder wiederkehrende Probleme hin.</w:t>
      </w:r>
    </w:p>
    <w:p>
      <w:pPr>
        <w:pStyle w:val="ListBullet"/>
        <w:numPr>
          <w:ilvl w:val="0"/>
          <w:numId w:val="1"/>
        </w:numPr>
      </w:pPr>
      <w:r>
        <w:rPr>
          <w:b/>
        </w:rPr>
        <w:t xml:space="preserve">Geschäftsleitung:</w:t>
      </w:r>
      <w:r>
        <w:t xml:space="preserve"> Als Beleg gegenüber einem Dienstleister oder für Service-Level-Gespräche.</w:t>
      </w:r>
    </w:p>
    <w:p>
      <w:pPr>
        <w:pStyle w:val="ListBullet"/>
        <w:numPr>
          <w:ilvl w:val="0"/>
          <w:numId w:val="1"/>
        </w:numPr>
      </w:pPr>
      <w:r>
        <w:rPr>
          <w:b/>
        </w:rPr>
        <w:t xml:space="preserve">Controller und Einkauf:</w:t>
      </w:r>
      <w:r>
        <w:t xml:space="preserve"> Bei auffällig vielen SAP-Fehlern prüfen, ob Exportzahlen vorübergehend unvollständig sein können.</w:t>
      </w:r>
    </w:p>
    <w:p>
      <w:pPr>
        <w:pStyle w:val="Heading3"/>
      </w:pPr>
      <w:r>
        <w:t xml:space="preserve">Grenzen und Fallstricke</w:t>
      </w:r>
    </w:p>
    <w:p>
      <w:r>
        <w:t xml:space="preserve">Die Prüfung läuft alle fünf Minuten; kürzere Ausfälle werden nicht erfasst. Aussagekräftig ist die Seite erst nach einigen Tagen Laufzeit. Die Verfügbarkeit gilt für die Sicht des Cockpit-Servers, nicht für alle Arbeitsplätze.</w:t>
      </w:r>
    </w:p>
    <w:p>
      <w:pPr>
        <w:pStyle w:val="Heading2"/>
      </w:pPr>
      <w:r>
        <w:t xml:space="preserve">Netz oder Daten</w:t>
      </w:r>
    </w:p>
    <w:p>
      <w:pPr>
        <w:pStyle w:val="Heading3"/>
      </w:pPr>
      <w:r>
        <w:t xml:space="preserve">Wozu</w:t>
      </w:r>
    </w:p>
    <w:p>
      <w:r>
        <w:t xml:space="preserve">Wenn ein Datenexport eines Standorts fehlschlägt, soll die Seite zeigen, ob das Netz schuld ist oder die Daten beziehungsweise die Quelle. Sie ordnet ausserdem die Standorte nach ihrer Bedeutung für das Geschäft, damit klar wird, wo ein Ausfall am meisten kostet.</w:t>
      </w:r>
    </w:p>
    <w:p>
      <w:pPr>
        <w:pStyle w:val="Heading3"/>
      </w:pPr>
      <w:r>
        <w:t xml:space="preserve">Was man sieht</w:t>
      </w:r>
    </w:p>
    <w:p>
      <w:r>
        <w:t xml:space="preserve">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pPr>
        <w:pStyle w:val="Heading3"/>
      </w:pPr>
      <w:r>
        <w:t xml:space="preserve">Wie gerechnet wird</w:t>
      </w:r>
    </w:p>
    <w:p>
      <w:r>
        <w:t xml:space="preserve">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pPr>
        <w:pStyle w:val="Heading3"/>
      </w:pPr>
      <w:r>
        <w:t xml:space="preserve">Einsatz im Arbeitsalltag</w:t>
      </w:r>
    </w:p>
    <w:p>
      <w:pPr>
        <w:pStyle w:val="ListBullet"/>
        <w:numPr>
          <w:ilvl w:val="0"/>
          <w:numId w:val="1"/>
        </w:numPr>
      </w:pPr>
      <w:r>
        <w:rPr>
          <w:b/>
        </w:rPr>
        <w:t xml:space="preserve">Controller:</w:t>
      </w:r>
      <w:r>
        <w:t xml:space="preserve"> Fehlt die Zahl eines Standorts im Konzernbericht, sieht man, ob erneut exportiert werden muss oder die Quelle repariert werden muss.</w:t>
      </w:r>
    </w:p>
    <w:p>
      <w:pPr>
        <w:pStyle w:val="ListBullet"/>
        <w:numPr>
          <w:ilvl w:val="0"/>
          <w:numId w:val="1"/>
        </w:numPr>
      </w:pPr>
      <w:r>
        <w:rPr>
          <w:b/>
        </w:rPr>
        <w:t xml:space="preserve">IT-Leitung:</w:t>
      </w:r>
      <w:r>
        <w:t xml:space="preserve"> Wiederkehrende Netzfehler bei einem umsatzstarken Standort rechtfertigen eine bessere Anbindung.</w:t>
      </w:r>
    </w:p>
    <w:p>
      <w:pPr>
        <w:pStyle w:val="ListBullet"/>
        <w:numPr>
          <w:ilvl w:val="0"/>
          <w:numId w:val="1"/>
        </w:numPr>
      </w:pPr>
      <w:r>
        <w:rPr>
          <w:b/>
        </w:rPr>
        <w:t xml:space="preserve">Geschäftsleitung:</w:t>
      </w:r>
      <w:r>
        <w:t xml:space="preserve"> Zeigt, welche Standorte technisch am verwundbarsten und wirtschaftlich am wichtigsten sind.</w:t>
      </w:r>
    </w:p>
    <w:p>
      <w:pPr>
        <w:pStyle w:val="Heading3"/>
      </w:pPr>
      <w:r>
        <w:t xml:space="preserve">Grenzen und Fallstricke</w:t>
      </w:r>
    </w:p>
    <w:p>
      <w:r>
        <w:t xml:space="preserve">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pPr>
        <w:pStyle w:val="Heading2"/>
      </w:pPr>
      <w:r>
        <w:t xml:space="preserve">Sicherheit</w:t>
      </w:r>
    </w:p>
    <w:p>
      <w:pPr>
        <w:pStyle w:val="Heading3"/>
      </w:pPr>
      <w:r>
        <w:t xml:space="preserve">Wozu</w:t>
      </w:r>
    </w:p>
    <w:p>
      <w:r>
        <w:t xml:space="preserve">Die Seite macht Sicherheitsrisiken sichtbar, die ohne Fachwissen verständlich sind: ablaufende Zertifikate, unverschlüsselte Verbindungen und veraltete oder verwaiste Computerkonten.</w:t>
      </w:r>
    </w:p>
    <w:p>
      <w:pPr>
        <w:pStyle w:val="Heading3"/>
      </w:pPr>
      <w:r>
        <w:t xml:space="preserve">Was man sieht</w:t>
      </w:r>
    </w:p>
    <w:p>
      <w:r>
        <w:t xml:space="preserve">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pPr>
        <w:pStyle w:val="Heading3"/>
      </w:pPr>
      <w:r>
        <w:t xml:space="preserve">Wie gerechnet wird</w:t>
      </w:r>
    </w:p>
    <w:p>
      <w:r>
        <w:t xml:space="preserve">Die Restlaufzeit wird aus dem Zertifikat beim letzten Verbindungsaufbau gelesen. Die Warnung zum SAP-Gateway beruht darauf, dass die Verbindung ohne Verschlüsselung aufgebaut wird; Benutzer und Passwort der Abrufe laufen dann unverschlüsselt durch das interne Netz.</w:t>
      </w:r>
    </w:p>
    <w:p>
      <w:pPr>
        <w:pStyle w:val="Heading3"/>
      </w:pPr>
      <w:r>
        <w:t xml:space="preserve">Einsatz im Arbeitsalltag</w:t>
      </w:r>
    </w:p>
    <w:p>
      <w:pPr>
        <w:pStyle w:val="ListBullet"/>
        <w:numPr>
          <w:ilvl w:val="0"/>
          <w:numId w:val="1"/>
        </w:numPr>
      </w:pPr>
      <w:r>
        <w:rPr>
          <w:b/>
        </w:rPr>
        <w:t xml:space="preserve">IT-Leitung:</w:t>
      </w:r>
      <w:r>
        <w:t xml:space="preserve"> Zertifikate rechtzeitig erneuern lassen, die Warnung zum SAP-Gateway in die Planung aufnehmen.</w:t>
      </w:r>
    </w:p>
    <w:p>
      <w:pPr>
        <w:pStyle w:val="ListBullet"/>
        <w:numPr>
          <w:ilvl w:val="0"/>
          <w:numId w:val="1"/>
        </w:numPr>
      </w:pPr>
      <w:r>
        <w:rPr>
          <w:b/>
        </w:rPr>
        <w:t xml:space="preserve">Geschäftsleitung:</w:t>
      </w:r>
      <w:r>
        <w:t xml:space="preserve"> Als Risikoübersicht für Audits.</w:t>
      </w:r>
    </w:p>
    <w:p>
      <w:pPr>
        <w:pStyle w:val="Heading3"/>
      </w:pPr>
      <w:r>
        <w:t xml:space="preserve">Grenzen und Fallstricke</w:t>
      </w:r>
    </w:p>
    <w:p>
      <w:r>
        <w:t xml:space="preserve">HANA und eigene Ziele werden nur per Port geprüft; ob dort verschlüsselt wird, sieht die Prüfung nicht.</w:t>
      </w:r>
    </w:p>
    <w:p>
      <w:pPr>
        <w:pStyle w:val="Heading2"/>
      </w:pPr>
      <w:r>
        <w:t xml:space="preserve">Active Directory</w:t>
      </w:r>
    </w:p>
    <w:p>
      <w:pPr>
        <w:pStyle w:val="Heading3"/>
      </w:pPr>
      <w:r>
        <w:t xml:space="preserve">Wozu</w:t>
      </w:r>
    </w:p>
    <w:p>
      <w:r>
        <w:t xml:space="preserve">Das Active Directory ist das zentrale Verzeichnis, in dem alle Computer der Domäne geführt werden. Die Seite wertet nur die Computerkonten aus, keine Personen. Sie zeigt, wie viele Geräte es gibt, wie alt ihre Betriebssysteme sind und wo aufgeräumt werden sollte.</w:t>
      </w:r>
    </w:p>
    <w:p>
      <w:pPr>
        <w:pStyle w:val="Heading3"/>
      </w:pPr>
      <w:r>
        <w:t xml:space="preserve">Was man sieht</w:t>
      </w:r>
    </w:p>
    <w:p>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Excel exportieren.</w:t>
      </w:r>
    </w:p>
    <w:p>
      <w:pPr>
        <w:pStyle w:val="Heading3"/>
      </w:pPr>
      <w:r>
        <w:t xml:space="preserve">Wie gerechnet wird</w:t>
      </w:r>
    </w:p>
    <w:p>
      <w:r>
        <w:t xml:space="preserve">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pPr>
        <w:pStyle w:val="Heading3"/>
      </w:pPr>
      <w:r>
        <w:t xml:space="preserve">Einsatz im Arbeitsalltag</w:t>
      </w:r>
    </w:p>
    <w:p>
      <w:pPr>
        <w:pStyle w:val="ListBullet"/>
        <w:numPr>
          <w:ilvl w:val="0"/>
          <w:numId w:val="1"/>
        </w:numPr>
      </w:pPr>
      <w:r>
        <w:rPr>
          <w:b/>
        </w:rPr>
        <w:t xml:space="preserve">IT-Leitung:</w:t>
      </w:r>
      <w:r>
        <w:t xml:space="preserve"> Die Organisationseinheiten mit den höchsten Altlasten zuerst bereinigen.</w:t>
      </w:r>
    </w:p>
    <w:p>
      <w:pPr>
        <w:pStyle w:val="ListBullet"/>
        <w:numPr>
          <w:ilvl w:val="0"/>
          <w:numId w:val="1"/>
        </w:numPr>
      </w:pPr>
      <w:r>
        <w:rPr>
          <w:b/>
        </w:rPr>
        <w:t xml:space="preserve">Geschäftsleitung:</w:t>
      </w:r>
      <w:r>
        <w:t xml:space="preserve"> Der Lebenszyklus zeigt, wie viele Geräte ohne Herstellersupport laufen.</w:t>
      </w:r>
    </w:p>
    <w:p>
      <w:pPr>
        <w:pStyle w:val="Heading3"/>
      </w:pPr>
      <w:r>
        <w:t xml:space="preserve">Grenzen und Fallstricke</w:t>
      </w:r>
    </w:p>
    <w:p>
      <w:r>
        <w:t xml:space="preserve">Die Supportdaten stammen aus dem Microsoft-Lifecycle (Stand Oktober 2026) und müssen bei neuen Versionen im Programm nachgetragen werden. Hinweis: nicht geprüft, ob das Serverkonto alle Attribute lesen darf; nicht lesbare Teile werden als solche gezeigt.</w:t>
      </w:r>
    </w:p>
    <w:p>
      <w:pPr>
        <w:pStyle w:val="Heading2"/>
      </w:pPr>
      <w:r>
        <w:t xml:space="preserve">AD-Infrastruktur</w:t>
      </w:r>
    </w:p>
    <w:p>
      <w:pPr>
        <w:pStyle w:val="Heading3"/>
      </w:pPr>
      <w:r>
        <w:t xml:space="preserve">Wozu</w:t>
      </w:r>
    </w:p>
    <w:p>
      <w:r>
        <w:t xml:space="preserve">Die Seite zeigt den Zustand der Verzeichnisinfrastruktur selbst: Domänencontroller, ihre Synchronisation, Standorte, Domänenebene und Zertifizierungsstellen. Ein Ausfall hier würde Anmeldungen im ganzen Unternehmen betreffen.</w:t>
      </w:r>
    </w:p>
    <w:p>
      <w:pPr>
        <w:pStyle w:val="Heading3"/>
      </w:pPr>
      <w:r>
        <w:t xml:space="preserve">Was man sieht</w:t>
      </w:r>
    </w:p>
    <w:p>
      <w:r>
        <w:t xml:space="preserve">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pPr>
        <w:pStyle w:val="Heading3"/>
      </w:pPr>
      <w:r>
        <w:t xml:space="preserve">Einsatz im Arbeitsalltag</w:t>
      </w:r>
    </w:p>
    <w:p>
      <w:pPr>
        <w:pStyle w:val="ListBullet"/>
        <w:numPr>
          <w:ilvl w:val="0"/>
          <w:numId w:val="1"/>
        </w:numPr>
      </w:pPr>
      <w:r>
        <w:rPr>
          <w:b/>
        </w:rPr>
        <w:t xml:space="preserve">IT-Leitung:</w:t>
      </w:r>
      <w:r>
        <w:t xml:space="preserve"> Prüfen, ob alle Domänencontroller abgleichen und ob Standorte ohne Domänencontroller auskommen.</w:t>
      </w:r>
    </w:p>
    <w:p>
      <w:pPr>
        <w:pStyle w:val="ListBullet"/>
        <w:numPr>
          <w:ilvl w:val="0"/>
          <w:numId w:val="1"/>
        </w:numPr>
      </w:pPr>
      <w:r>
        <w:rPr>
          <w:b/>
        </w:rPr>
        <w:t xml:space="preserve">Geschäftsleitung:</w:t>
      </w:r>
      <w:r>
        <w:t xml:space="preserve"> Die Gerätelandkarte zeigt, wo die IT-Last sitzt.</w:t>
      </w:r>
    </w:p>
    <w:p>
      <w:pPr>
        <w:pStyle w:val="Heading2"/>
      </w:pPr>
      <w:r>
        <w:t xml:space="preserve">Gruppenrichtlinien</w:t>
      </w:r>
    </w:p>
    <w:p>
      <w:pPr>
        <w:pStyle w:val="Heading3"/>
      </w:pPr>
      <w:r>
        <w:t xml:space="preserve">Wozu</w:t>
      </w:r>
    </w:p>
    <w:p>
      <w:r>
        <w:t xml:space="preserve">Gruppenrichtlinien steuern zentral Einstellungen auf den Computern. Die Seite zeigt, welche Richtlinien wo wirken und welche unnötig sind.</w:t>
      </w:r>
    </w:p>
    <w:p>
      <w:pPr>
        <w:pStyle w:val="Heading3"/>
      </w:pPr>
      <w:r>
        <w:t xml:space="preserve">Was man sieht</w:t>
      </w:r>
    </w:p>
    <w:p>
      <w:r>
        <w:t xml:space="preserve">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pPr>
        <w:pStyle w:val="Heading3"/>
      </w:pPr>
      <w:r>
        <w:t xml:space="preserve">Einsatz im Arbeitsalltag</w:t>
      </w:r>
    </w:p>
    <w:p>
      <w:pPr>
        <w:pStyle w:val="ListBullet"/>
        <w:numPr>
          <w:ilvl w:val="0"/>
          <w:numId w:val="1"/>
        </w:numPr>
      </w:pPr>
      <w:r>
        <w:rPr>
          <w:b/>
        </w:rPr>
        <w:t xml:space="preserve">IT-Leitung:</w:t>
      </w:r>
      <w:r>
        <w:t xml:space="preserve"> Nicht verknüpfte Richtlinien aufräumen und Versionskonflikte beheben.</w:t>
      </w:r>
    </w:p>
    <w:p>
      <w:pPr>
        <w:pStyle w:val="ListBullet"/>
        <w:numPr>
          <w:ilvl w:val="0"/>
          <w:numId w:val="1"/>
        </w:numPr>
      </w:pPr>
      <w:r>
        <w:rPr>
          <w:b/>
        </w:rPr>
        <w:t xml:space="preserve">Geschäftsleitung:</w:t>
      </w:r>
      <w:r>
        <w:t xml:space="preserve"> Wenig Relevanz, ausser bei Revisionsfragen.</w:t>
      </w:r>
    </w:p>
    <w:p>
      <w:pPr>
        <w:pStyle w:val="Heading2"/>
      </w:pPr>
      <w:r>
        <w:t xml:space="preserve">DNS</w:t>
      </w:r>
    </w:p>
    <w:p>
      <w:pPr>
        <w:pStyle w:val="Heading3"/>
      </w:pPr>
      <w:r>
        <w:t xml:space="preserve">Wozu</w:t>
      </w:r>
    </w:p>
    <w:p>
      <w:r>
        <w:t xml:space="preserve">DNS übersetzt Rechnernamen in Adressen. Veraltete Einträge führen zu Fehlverbindungen. Die Seite zeigt, wie gepflegt die Namensauflösung ist.</w:t>
      </w:r>
    </w:p>
    <w:p>
      <w:pPr>
        <w:pStyle w:val="Heading3"/>
      </w:pPr>
      <w:r>
        <w:t xml:space="preserve">Was man sieht</w:t>
      </w:r>
    </w:p>
    <w:p>
      <w:r>
        <w:t xml:space="preserve">Die im Verzeichnis geführten Zonen, ob die automatische Alterung eingeschaltet ist, Anzahl statischer und dynamischer Einträge, veraltete Einträge und Adressen mit mehreren Namen.</w:t>
      </w:r>
    </w:p>
    <w:p>
      <w:pPr>
        <w:pStyle w:val="Heading3"/>
      </w:pPr>
      <w:r>
        <w:t xml:space="preserve">Einsatz im Arbeitsalltag</w:t>
      </w:r>
    </w:p>
    <w:p>
      <w:pPr>
        <w:pStyle w:val="ListBullet"/>
        <w:numPr>
          <w:ilvl w:val="0"/>
          <w:numId w:val="1"/>
        </w:numPr>
      </w:pPr>
      <w:r>
        <w:rPr>
          <w:b/>
        </w:rPr>
        <w:t xml:space="preserve">IT-Leitung:</w:t>
      </w:r>
      <w:r>
        <w:t xml:space="preserve"> Bei Verbindungsproblemen im Notebook-Netz auf doppelte Adressen prüfen und die Bereinigung veralteter Einträge planen.</w:t>
      </w:r>
    </w:p>
    <w:p>
      <w:pPr>
        <w:pStyle w:val="Heading2"/>
      </w:pPr>
      <w:r>
        <w:t xml:space="preserve">Verlauf</w:t>
      </w:r>
    </w:p>
    <w:p>
      <w:pPr>
        <w:pStyle w:val="Heading3"/>
      </w:pPr>
      <w:r>
        <w:t xml:space="preserve">Wozu</w:t>
      </w:r>
    </w:p>
    <w:p>
      <w:r>
        <w:t xml:space="preserve">Die Seite zeigt die Entwicklung über die Zeit: Was ändert sich im Gerätebestand, und wann läuft welcher Support aus?</w:t>
      </w:r>
    </w:p>
    <w:p>
      <w:pPr>
        <w:pStyle w:val="Heading3"/>
      </w:pPr>
      <w:r>
        <w:t xml:space="preserve">Was man sieht</w:t>
      </w:r>
    </w:p>
    <w:p>
      <w:r>
        <w:t xml:space="preserve">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pPr>
        <w:pStyle w:val="Heading3"/>
      </w:pPr>
      <w:r>
        <w:t xml:space="preserve">Wie gerechnet wird</w:t>
      </w:r>
    </w:p>
    <w:p>
      <w:r>
        <w:t xml:space="preserve">Einmal täglich wird ein Schnappschuss der Kennzahlen gespeichert; die Änderungen ergeben sich aus dem Vergleich der Schnappschüsse. Kurven erscheinen ab dem zweiten Tag.</w:t>
      </w:r>
    </w:p>
    <w:p>
      <w:pPr>
        <w:pStyle w:val="Heading3"/>
      </w:pPr>
      <w:r>
        <w:t xml:space="preserve">Einsatz im Arbeitsalltag</w:t>
      </w:r>
    </w:p>
    <w:p>
      <w:pPr>
        <w:pStyle w:val="ListBullet"/>
        <w:numPr>
          <w:ilvl w:val="0"/>
          <w:numId w:val="1"/>
        </w:numPr>
      </w:pPr>
      <w:r>
        <w:rPr>
          <w:b/>
        </w:rPr>
        <w:t xml:space="preserve">IT-Leitung:</w:t>
      </w:r>
      <w:r>
        <w:t xml:space="preserve"> Den Countdown als Terminliste für Ersatzbeschaffungen verwenden und Veränderungen im Bestand nachvollziehen.</w:t>
      </w:r>
    </w:p>
    <w:p>
      <w:pPr>
        <w:pStyle w:val="ListBullet"/>
        <w:numPr>
          <w:ilvl w:val="0"/>
          <w:numId w:val="1"/>
        </w:numPr>
      </w:pPr>
      <w:r>
        <w:rPr>
          <w:b/>
        </w:rPr>
        <w:t xml:space="preserve">Geschäftsleitung:</w:t>
      </w:r>
      <w:r>
        <w:t xml:space="preserve"> Frühwarnung für Investitionen, bevor der Support ausläuft.</w:t>
      </w:r>
    </w:p>
    <w:p>
      <w:pPr>
        <w:pStyle w:val="Heading2"/>
      </w:pPr>
      <w:r>
        <w:t xml:space="preserve">Migration</w:t>
      </w:r>
    </w:p>
    <w:p>
      <w:pPr>
        <w:pStyle w:val="Heading3"/>
      </w:pPr>
      <w:r>
        <w:t xml:space="preserve">Wozu</w:t>
      </w:r>
    </w:p>
    <w:p>
      <w:r>
        <w:t xml:space="preserve">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pPr>
        <w:pStyle w:val="Heading3"/>
      </w:pPr>
      <w:r>
        <w:t xml:space="preserve">Was man sieht</w:t>
      </w:r>
    </w:p>
    <w:p>
      <w:r>
        <w:t xml:space="preserve">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Klick zeigt die Verteilung auf die Organisationseinheiten und die einzelnen Geräte. Ohne Auswahl zeigt die rechte Seite die Wochenkurven je Welle. Eine Excel-Ausgabe der Wellen und Geräte ist vorhanden.</w:t>
      </w:r>
    </w:p>
    <w:p>
      <w:pPr>
        <w:pStyle w:val="Heading3"/>
      </w:pPr>
      <w:r>
        <w:t xml:space="preserve">Wie gerechnet wird</w:t>
      </w:r>
    </w:p>
    <w:p>
      <w:r>
        <w:t xml:space="preserve">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Microsoft-Lifecycle.</w:t>
      </w:r>
    </w:p>
    <w:p>
      <w:pPr>
        <w:pStyle w:val="Heading3"/>
      </w:pPr>
      <w:r>
        <w:t xml:space="preserve">Einsatz im Arbeitsalltag</w:t>
      </w:r>
    </w:p>
    <w:p>
      <w:pPr>
        <w:pStyle w:val="ListBullet"/>
        <w:numPr>
          <w:ilvl w:val="0"/>
          <w:numId w:val="1"/>
        </w:numPr>
      </w:pPr>
      <w:r>
        <w:rPr>
          <w:b/>
        </w:rPr>
        <w:t xml:space="preserve">IT-Leitung:</w:t>
      </w:r>
      <w:r>
        <w:t xml:space="preserve"> Wellen als Projektplan verwenden: zuerst abgelaufene und bald endende Produkte, die grössten Wellen mit den meisten Geräten früh einplanen.</w:t>
      </w:r>
    </w:p>
    <w:p>
      <w:pPr>
        <w:pStyle w:val="ListBullet"/>
        <w:numPr>
          <w:ilvl w:val="0"/>
          <w:numId w:val="1"/>
        </w:numPr>
      </w:pPr>
      <w:r>
        <w:rPr>
          <w:b/>
        </w:rPr>
        <w:t xml:space="preserve">Geschäftsleitung und Controller:</w:t>
      </w:r>
      <w:r>
        <w:t xml:space="preserve"> Die Zahl der Geräte je Welle multipliziert mit den Kosten pro Ersatz oder Upgrade ergibt das Budget der Migration. Die Seite liefert die Mengen, die Stückkosten kommen nicht aus dem Cockpit.</w:t>
      </w:r>
    </w:p>
    <w:p>
      <w:pPr>
        <w:pStyle w:val="ListBullet"/>
        <w:numPr>
          <w:ilvl w:val="0"/>
          <w:numId w:val="1"/>
        </w:numPr>
      </w:pPr>
      <w:r>
        <w:rPr>
          <w:b/>
        </w:rPr>
        <w:t xml:space="preserve">Risikoverantwortliche:</w:t>
      </w:r>
      <w:r>
        <w:t xml:space="preserve"> Geräte ohne Support in Produktionsnetzen als Risiko in die Risikoliste aufnehmen.</w:t>
      </w:r>
    </w:p>
    <w:p>
      <w:pPr>
        <w:pStyle w:val="Heading3"/>
      </w:pPr>
      <w:r>
        <w:t xml:space="preserve">Grenzen und Fallstricke</w:t>
      </w:r>
    </w:p>
    <w:p>
      <w:pPr>
        <w:pStyle w:val="ListBullet"/>
        <w:numPr>
          <w:ilvl w:val="0"/>
          <w:numId w:val="1"/>
        </w:numPr>
      </w:pPr>
      <w:r>
        <w:t xml:space="preserve">Es werden nur Geräte erfasst, die im Verzeichnis geführt sind und sich angemeldet haben; nicht verbundene Geräte und Geräte ohne Konto fehlen.</w:t>
      </w:r>
    </w:p>
    <w:p>
      <w:pPr>
        <w:pStyle w:val="ListBullet"/>
        <w:numPr>
          <w:ilvl w:val="0"/>
          <w:numId w:val="1"/>
        </w:numPr>
      </w:pPr>
      <w:r>
        <w:t xml:space="preserve">Der Fortschritt vergleicht mit dem ersten Schnappschuss; ein verschwundenes Gerät kann auch deaktiviert statt migriert sein.</w:t>
      </w:r>
    </w:p>
    <w:p>
      <w:pPr>
        <w:pStyle w:val="ListBullet"/>
        <w:numPr>
          <w:ilvl w:val="0"/>
          <w:numId w:val="1"/>
        </w:numPr>
      </w:pPr>
      <w:r>
        <w:t xml:space="preserve">Sonderfälle wie erweiterte Sicherheitsupdates oder Langzeitversionen hängen an der Pflege der Supportdaten im Programm.</w:t>
      </w:r>
    </w:p>
    <w:p>
      <w:pPr>
        <w:pStyle w:val="ListBullet"/>
        <w:numPr>
          <w:ilvl w:val="0"/>
          <w:numId w:val="1"/>
        </w:numPr>
      </w:pPr>
      <w:r>
        <w:t xml:space="preserve">Preise und Aufwand sind nicht enthalten.</w:t>
      </w:r>
    </w:p>
    <w:p>
      <w:pPr>
        <w:pStyle w:val="Heading2"/>
      </w:pPr>
      <w:r>
        <w:t xml:space="preserve">Bericht</w:t>
      </w:r>
    </w:p>
    <w:p>
      <w:pPr>
        <w:pStyle w:val="Heading3"/>
      </w:pPr>
      <w:r>
        <w:t xml:space="preserve">Wozu</w:t>
      </w:r>
    </w:p>
    <w:p>
      <w:r>
        <w:t xml:space="preserve">Der Bericht fasst Netzwerk und Active Directory auf einer Seite in Managementhöhe zusammen, als Wochenbericht mit Kalenderwoche. Er eignet sich für das Wochenmeeting, für Vorgesetzte oder die Dokumentation.</w:t>
      </w:r>
    </w:p>
    <w:p>
      <w:pPr>
        <w:pStyle w:val="Heading3"/>
      </w:pPr>
      <w:r>
        <w:t xml:space="preserve">Was man sieht</w:t>
      </w:r>
    </w:p>
    <w:p>
      <w:r>
        <w:t xml:space="preserve">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Restlaufzeit.</w:t>
      </w:r>
    </w:p>
    <w:p>
      <w:pPr>
        <w:pStyle w:val="Heading3"/>
      </w:pPr>
      <w:r>
        <w:t xml:space="preserve">Wie gerechnet wird</w:t>
      </w:r>
    </w:p>
    <w:p>
      <w:r>
        <w:t xml:space="preserve">Die Kennzahlen stammen aus den Tagesschnappschüssen; die Veränderung ist der heutige Wert minus der Wert vor sieben Tagen (ohne Vergleich, solange es noch keinen alten Schnappschuss gibt). Die Aufräum-Rangliste nutzt den Altlasten-Score. Der Bericht wird nicht versendet.</w:t>
      </w:r>
    </w:p>
    <w:p>
      <w:pPr>
        <w:pStyle w:val="Heading3"/>
      </w:pPr>
      <w:r>
        <w:t xml:space="preserve">Einsatz im Arbeitsalltag</w:t>
      </w:r>
    </w:p>
    <w:p>
      <w:pPr>
        <w:pStyle w:val="ListBullet"/>
        <w:numPr>
          <w:ilvl w:val="0"/>
          <w:numId w:val="1"/>
        </w:numPr>
      </w:pPr>
      <w:r>
        <w:rPr>
          <w:b/>
        </w:rPr>
        <w:t xml:space="preserve">IT-Leitung:</w:t>
      </w:r>
      <w:r>
        <w:t xml:space="preserve"> Jede Woche als PDF ablegen; ein Bericht nach dem anderen zeigt, ob der Bestand besser oder schlechter wird.</w:t>
      </w:r>
    </w:p>
    <w:p>
      <w:pPr>
        <w:pStyle w:val="ListBullet"/>
        <w:numPr>
          <w:ilvl w:val="0"/>
          <w:numId w:val="1"/>
        </w:numPr>
      </w:pPr>
      <w:r>
        <w:rPr>
          <w:b/>
        </w:rPr>
        <w:t xml:space="preserve">Geschäftsleitung:</w:t>
      </w:r>
      <w:r>
        <w:t xml:space="preserve"> Ein Blick auf die Veränderungen und das nahe Supportende genügt.</w:t>
      </w:r>
    </w:p>
    <w:p>
      <w:pPr>
        <w:pStyle w:val="Heading3"/>
      </w:pPr>
      <w:r>
        <w:t xml:space="preserve">Grenzen und Fallstricke</w:t>
      </w:r>
    </w:p>
    <w:p>
      <w:r>
        <w:t xml:space="preserve">Beim Öffnen werden die Domänencontroller abgefragt; das kann bis zu 15 Sekunden dauern. Ist die AD-Auswertung ausgeschaltet oder nicht lesbar, fehlt der Bericht.</w:t>
      </w:r>
    </w:p>
    <w:p>
      <w:pPr>
        <w:pStyle w:val="Heading2"/>
      </w:pPr>
      <w:r>
        <w:t xml:space="preserve">Arbeitsplätze</w:t>
      </w:r>
    </w:p>
    <w:p>
      <w:pPr>
        <w:pStyle w:val="Heading3"/>
      </w:pPr>
      <w:r>
        <w:t xml:space="preserve">Wozu</w:t>
      </w:r>
    </w:p>
    <w:p>
      <w:r>
        <w:t xml:space="preserve">Die Seite macht schwaches WLAN und Verbindungsprobleme an Arbeitsplätzen sichtbar und lässt eigene Geräte wie Rückmeldeterminals überwachen.</w:t>
      </w:r>
    </w:p>
    <w:p>
      <w:pPr>
        <w:pStyle w:val="Heading3"/>
      </w:pPr>
      <w:r>
        <w:t xml:space="preserve">Was man sieht</w:t>
      </w:r>
    </w:p>
    <w:p>
      <w:r>
        <w:t xml:space="preserve">Verbindungsabbrüche der Browser je Netzbereich (letzte 7 Tage) und nach Tageszeit, eine Tabelle eigener Prüfziele mit optionalem Arbeitsplatz und daneben die letzte Rückmeldung aus Logistik live sowie die im Verzeichnis veröffentlichten Drucker.</w:t>
      </w:r>
    </w:p>
    <w:p>
      <w:pPr>
        <w:pStyle w:val="Heading3"/>
      </w:pPr>
      <w:r>
        <w:t xml:space="preserve">Wie gerechnet wird</w:t>
      </w:r>
    </w:p>
    <w:p>
      <w:r>
        <w:t xml:space="preserve">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pPr>
        <w:pStyle w:val="Heading3"/>
      </w:pPr>
      <w:r>
        <w:t xml:space="preserve">Einsatz im Arbeitsalltag</w:t>
      </w:r>
    </w:p>
    <w:p>
      <w:pPr>
        <w:pStyle w:val="ListBullet"/>
        <w:numPr>
          <w:ilvl w:val="0"/>
          <w:numId w:val="1"/>
        </w:numPr>
      </w:pPr>
      <w:r>
        <w:rPr>
          <w:b/>
        </w:rPr>
        <w:t xml:space="preserve">IT-Leitung:</w:t>
      </w:r>
      <w:r>
        <w:t xml:space="preserve"> Bereiche mit vielen Abbrüchen für WLAN-Verbesserungen priorisieren.</w:t>
      </w:r>
    </w:p>
    <w:p>
      <w:pPr>
        <w:pStyle w:val="ListBullet"/>
        <w:numPr>
          <w:ilvl w:val="0"/>
          <w:numId w:val="1"/>
        </w:numPr>
      </w:pPr>
      <w:r>
        <w:rPr>
          <w:b/>
        </w:rPr>
        <w:t xml:space="preserve">Logistik:</w:t>
      </w:r>
      <w:r>
        <w:t xml:space="preserve"> Ist ein Terminal erreichbar, es kommt aber keine Rückmeldung, liegt eher ein Stillstand vor; ist das Terminal nicht erreichbar, eher ein Netzproblem.</w:t>
      </w:r>
    </w:p>
    <w:p>
      <w:pPr>
        <w:pStyle w:val="Heading3"/>
      </w:pPr>
      <w:r>
        <w:t xml:space="preserve">Grenzen und Fallstricke</w:t>
      </w:r>
    </w:p>
    <w:p>
      <w:r>
        <w:t xml:space="preserve">Die Zuordnung Terminal zu Arbeitsplatz ist eine eigene, von Hand geführte Liste; eine vollständige Liste der IT liegt nicht vor.</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Ziele erreichbar</w:t>
            </w:r>
          </w:p>
        </w:tc>
        <w:tc>
          <w:tcPr>
            <w:tcW w:w="3102" w:type="dxa"/>
          </w:tcPr>
          <w:p>
            <w:pPr>
              <w:pStyle w:val="TableText"/>
            </w:pPr>
            <w:r>
              <w:t xml:space="preserve">Anzahl der geprüften Ziele, die zuletzt geantwortet haben</w:t>
            </w:r>
          </w:p>
        </w:tc>
        <w:tc>
          <w:tcPr>
            <w:tcW w:w="3102" w:type="dxa"/>
          </w:tcPr>
          <w:p>
            <w:pPr>
              <w:pStyle w:val="TableText"/>
            </w:pPr>
            <w:r>
              <w:t xml:space="preserve">Ziele mit erfolgreicher letzter Prüfung geteilt durch alle Ziele</w:t>
            </w:r>
          </w:p>
        </w:tc>
      </w:tr>
      <w:tr>
        <w:tc>
          <w:tcPr>
            <w:tcW w:w="3102" w:type="dxa"/>
          </w:tcPr>
          <w:p>
            <w:pPr>
              <w:pStyle w:val="TableText"/>
            </w:pPr>
            <w:r>
              <w:t xml:space="preserve">Verfügbarkeit 24 Stunden</w:t>
            </w:r>
          </w:p>
        </w:tc>
        <w:tc>
          <w:tcPr>
            <w:tcW w:w="3102" w:type="dxa"/>
          </w:tcPr>
          <w:p>
            <w:pPr>
              <w:pStyle w:val="TableText"/>
            </w:pPr>
            <w:r>
              <w:t xml:space="preserve">Zuverlässigkeit eines Ziels</w:t>
            </w:r>
          </w:p>
        </w:tc>
        <w:tc>
          <w:tcPr>
            <w:tcW w:w="3102" w:type="dxa"/>
          </w:tcPr>
          <w:p>
            <w:pPr>
              <w:pStyle w:val="TableText"/>
            </w:pPr>
            <w:r>
              <w:t xml:space="preserve">Erfolgreiche Prüfungen geteilt durch alle Prüfungen in 24 Stunden</w:t>
            </w:r>
          </w:p>
        </w:tc>
      </w:tr>
      <w:tr>
        <w:tc>
          <w:tcPr>
            <w:tcW w:w="3102" w:type="dxa"/>
          </w:tcPr>
          <w:p>
            <w:pPr>
              <w:pStyle w:val="TableText"/>
            </w:pPr>
            <w:r>
              <w:t xml:space="preserve">Mittlere Antwortzeit</w:t>
            </w:r>
          </w:p>
        </w:tc>
        <w:tc>
          <w:tcPr>
            <w:tcW w:w="3102" w:type="dxa"/>
          </w:tcPr>
          <w:p>
            <w:pPr>
              <w:pStyle w:val="TableText"/>
            </w:pPr>
            <w:r>
              <w:t xml:space="preserve">Geschwindigkeit der Ziele</w:t>
            </w:r>
          </w:p>
        </w:tc>
        <w:tc>
          <w:tcPr>
            <w:tcW w:w="3102" w:type="dxa"/>
          </w:tcPr>
          <w:p>
            <w:pPr>
              <w:pStyle w:val="TableText"/>
            </w:pPr>
            <w:r>
              <w:t xml:space="preserve">Durchschnitt der gemessenen Antwortzeiten in Millisekunden; über 500 gilt als langsam</w:t>
            </w:r>
          </w:p>
        </w:tc>
      </w:tr>
      <w:tr>
        <w:tc>
          <w:tcPr>
            <w:tcW w:w="3102" w:type="dxa"/>
          </w:tcPr>
          <w:p>
            <w:pPr>
              <w:pStyle w:val="TableText"/>
            </w:pPr>
            <w:r>
              <w:t xml:space="preserve">Ursache Netz</w:t>
            </w:r>
          </w:p>
        </w:tc>
        <w:tc>
          <w:tcPr>
            <w:tcW w:w="3102" w:type="dxa"/>
          </w:tcPr>
          <w:p>
            <w:pPr>
              <w:pStyle w:val="TableText"/>
            </w:pPr>
            <w:r>
              <w:t xml:space="preserve">Exportfehler wegen Verbindung</w:t>
            </w:r>
          </w:p>
        </w:tc>
        <w:tc>
          <w:tcPr>
            <w:tcW w:w="3102" w:type="dxa"/>
          </w:tcPr>
          <w:p>
            <w:pPr>
              <w:pStyle w:val="TableText"/>
            </w:pPr>
            <w:r>
              <w:t xml:space="preserve">Meldung deutet auf Verbindung, SSL oder Zeitüberschreitung, oder Ziel zur selben Zeit nicht erreichbar</w:t>
            </w:r>
          </w:p>
        </w:tc>
      </w:tr>
      <w:tr>
        <w:tc>
          <w:tcPr>
            <w:tcW w:w="3102" w:type="dxa"/>
          </w:tcPr>
          <w:p>
            <w:pPr>
              <w:pStyle w:val="TableText"/>
            </w:pPr>
            <w:r>
              <w:t xml:space="preserve">Ursache Daten oder Quelle</w:t>
            </w:r>
          </w:p>
        </w:tc>
        <w:tc>
          <w:tcPr>
            <w:tcW w:w="3102" w:type="dxa"/>
          </w:tcPr>
          <w:p>
            <w:pPr>
              <w:pStyle w:val="TableText"/>
            </w:pPr>
            <w:r>
              <w:t xml:space="preserve">Exportfehler ohne Netzbezug</w:t>
            </w:r>
          </w:p>
        </w:tc>
        <w:tc>
          <w:tcPr>
            <w:tcW w:w="3102" w:type="dxa"/>
          </w:tcPr>
          <w:p>
            <w:pPr>
              <w:pStyle w:val="TableText"/>
            </w:pPr>
            <w:r>
              <w:t xml:space="preserve">Alle übrigen Fehler</w:t>
            </w:r>
          </w:p>
        </w:tc>
      </w:tr>
      <w:tr>
        <w:tc>
          <w:tcPr>
            <w:tcW w:w="3102" w:type="dxa"/>
          </w:tcPr>
          <w:p>
            <w:pPr>
              <w:pStyle w:val="TableText"/>
            </w:pPr>
            <w:r>
              <w:t xml:space="preserve">Restlaufzeit Zertifikat</w:t>
            </w:r>
          </w:p>
        </w:tc>
        <w:tc>
          <w:tcPr>
            <w:tcW w:w="3102" w:type="dxa"/>
          </w:tcPr>
          <w:p>
            <w:pPr>
              <w:pStyle w:val="TableText"/>
            </w:pPr>
            <w:r>
              <w:t xml:space="preserve">Tage bis zum Ablauf</w:t>
            </w:r>
          </w:p>
        </w:tc>
        <w:tc>
          <w:tcPr>
            <w:tcW w:w="3102" w:type="dxa"/>
          </w:tcPr>
          <w:p>
            <w:pPr>
              <w:pStyle w:val="TableText"/>
            </w:pPr>
            <w:r>
              <w:t xml:space="preserve">Ablaufdatum minus heute; rot unter 30, gelb unter 90 Tagen</w:t>
            </w:r>
          </w:p>
        </w:tc>
      </w:tr>
      <w:tr>
        <w:tc>
          <w:tcPr>
            <w:tcW w:w="3102" w:type="dxa"/>
          </w:tcPr>
          <w:p>
            <w:pPr>
              <w:pStyle w:val="TableText"/>
            </w:pPr>
            <w:r>
              <w:t xml:space="preserve">Aktiv</w:t>
            </w:r>
          </w:p>
        </w:tc>
        <w:tc>
          <w:tcPr>
            <w:tcW w:w="3102" w:type="dxa"/>
          </w:tcPr>
          <w:p>
            <w:pPr>
              <w:pStyle w:val="TableText"/>
            </w:pPr>
            <w:r>
              <w:t xml:space="preserve">Gerät hat sich kürzlich angemeldet</w:t>
            </w:r>
          </w:p>
        </w:tc>
        <w:tc>
          <w:tcPr>
            <w:tcW w:w="3102" w:type="dxa"/>
          </w:tcPr>
          <w:p>
            <w:pPr>
              <w:pStyle w:val="TableText"/>
            </w:pPr>
            <w:r>
              <w:t xml:space="preserve">Aktiviertes Konto mit Anmeldung in den letzten 44 Tagen</w:t>
            </w:r>
          </w:p>
        </w:tc>
      </w:tr>
      <w:tr>
        <w:tc>
          <w:tcPr>
            <w:tcW w:w="3102" w:type="dxa"/>
          </w:tcPr>
          <w:p>
            <w:pPr>
              <w:pStyle w:val="TableText"/>
            </w:pPr>
            <w:r>
              <w:t xml:space="preserve">Ohne Herstellersupport</w:t>
            </w:r>
          </w:p>
        </w:tc>
        <w:tc>
          <w:tcPr>
            <w:tcW w:w="3102" w:type="dxa"/>
          </w:tcPr>
          <w:p>
            <w:pPr>
              <w:pStyle w:val="TableText"/>
            </w:pPr>
            <w:r>
              <w:t xml:space="preserve">Gerät mit abgelaufenem Support</w:t>
            </w:r>
          </w:p>
        </w:tc>
        <w:tc>
          <w:tcPr>
            <w:tcW w:w="3102" w:type="dxa"/>
          </w:tcPr>
          <w:p>
            <w:pPr>
              <w:pStyle w:val="TableText"/>
            </w:pPr>
            <w:r>
              <w:t xml:space="preserve">Aktives Gerät, dessen Supportende laut Microsoft-Lifecycle vorbei ist</w:t>
            </w:r>
          </w:p>
        </w:tc>
      </w:tr>
      <w:tr>
        <w:tc>
          <w:tcPr>
            <w:tcW w:w="3102" w:type="dxa"/>
          </w:tcPr>
          <w:p>
            <w:pPr>
              <w:pStyle w:val="TableText"/>
            </w:pPr>
            <w:r>
              <w:t xml:space="preserve">Welle</w:t>
            </w:r>
          </w:p>
        </w:tc>
        <w:tc>
          <w:tcPr>
            <w:tcW w:w="3102" w:type="dxa"/>
          </w:tcPr>
          <w:p>
            <w:pPr>
              <w:pStyle w:val="TableText"/>
            </w:pPr>
            <w:r>
              <w:t xml:space="preserve">Gruppe gleichartiger Geräte für die Migration</w:t>
            </w:r>
          </w:p>
        </w:tc>
        <w:tc>
          <w:tcPr>
            <w:tcW w:w="3102" w:type="dxa"/>
          </w:tcPr>
          <w:p>
            <w:pPr>
              <w:pStyle w:val="TableText"/>
            </w:pPr>
            <w:r>
              <w:t xml:space="preserve">Aktive Geräte desselben Produkts mit demselben Supportende, Ende vorbei oder innerhalb von zwei Jahren</w:t>
            </w:r>
          </w:p>
        </w:tc>
      </w:tr>
      <w:tr>
        <w:tc>
          <w:tcPr>
            <w:tcW w:w="3102" w:type="dxa"/>
          </w:tcPr>
          <w:p>
            <w:pPr>
              <w:pStyle w:val="TableText"/>
            </w:pPr>
            <w:r>
              <w:t xml:space="preserve">Fortschritt Welle</w:t>
            </w:r>
          </w:p>
        </w:tc>
        <w:tc>
          <w:tcPr>
            <w:tcW w:w="3102" w:type="dxa"/>
          </w:tcPr>
          <w:p>
            <w:pPr>
              <w:pStyle w:val="TableText"/>
            </w:pPr>
            <w:r>
              <w:t xml:space="preserve">Wie weit die Ablösung ist</w:t>
            </w:r>
          </w:p>
        </w:tc>
        <w:tc>
          <w:tcPr>
            <w:tcW w:w="3102" w:type="dxa"/>
          </w:tcPr>
          <w:p>
            <w:pPr>
              <w:pStyle w:val="TableText"/>
            </w:pPr>
            <w:r>
              <w:t xml:space="preserve">Rückgang der Geräteanzahl gegenüber dem ersten Tagesschnappschuss, in Prozent</w:t>
            </w:r>
          </w:p>
        </w:tc>
      </w:tr>
      <w:tr>
        <w:tc>
          <w:tcPr>
            <w:tcW w:w="3102" w:type="dxa"/>
          </w:tcPr>
          <w:p>
            <w:pPr>
              <w:pStyle w:val="TableText"/>
            </w:pPr>
            <w:r>
              <w:t xml:space="preserve">Altlasten-Score</w:t>
            </w:r>
          </w:p>
        </w:tc>
        <w:tc>
          <w:tcPr>
            <w:tcW w:w="3102" w:type="dxa"/>
          </w:tcPr>
          <w:p>
            <w:pPr>
              <w:pStyle w:val="TableText"/>
            </w:pPr>
            <w:r>
              <w:t xml:space="preserve">Aufräumbedarf je Organisationseinheit</w:t>
            </w:r>
          </w:p>
        </w:tc>
        <w:tc>
          <w:tcPr>
            <w:tcW w:w="3102" w:type="dxa"/>
          </w:tcPr>
          <w:p>
            <w:pPr>
              <w:pStyle w:val="TableText"/>
            </w:pPr>
            <w:r>
              <w:t xml:space="preserve">Punkte je Computer (Delegation 5, ohne Support 3, Support endet in 180 Tagen 2, inaktiv 2, Passwort alt 2, nie angemeldet 1, lange deaktiviert 1), je Einheit summiert</w:t>
            </w:r>
          </w:p>
        </w:tc>
      </w:tr>
      <w:tr>
        <w:tc>
          <w:tcPr>
            <w:tcW w:w="3102" w:type="dxa"/>
          </w:tcPr>
          <w:p>
            <w:pPr>
              <w:pStyle w:val="TableText"/>
            </w:pPr>
            <w:r>
              <w:t xml:space="preserve">Abbrüche je Sitzung</w:t>
            </w:r>
          </w:p>
        </w:tc>
        <w:tc>
          <w:tcPr>
            <w:tcW w:w="3102" w:type="dxa"/>
          </w:tcPr>
          <w:p>
            <w:pPr>
              <w:pStyle w:val="TableText"/>
            </w:pPr>
            <w:r>
              <w:t xml:space="preserve">Verbindungsqualität eines Netzbereichs</w:t>
            </w:r>
          </w:p>
        </w:tc>
        <w:tc>
          <w:tcPr>
            <w:tcW w:w="3102" w:type="dxa"/>
          </w:tcPr>
          <w:p>
            <w:pPr>
              <w:pStyle w:val="TableText"/>
            </w:pPr>
            <w:r>
              <w:t xml:space="preserve">Anzahl Verbindungsabbrüche geteilt durch Anzahl Sitzungen im Netzbereich</w:t>
            </w:r>
          </w:p>
        </w:tc>
      </w:tr>
    </w:tbl>
    <w:p>
      <w:pPr>
        <w:spacing w:before="0" w:after="80"/>
      </w:pPr>
    </w:p>
    <w:p>
      <w:r>
        <w:br w:type="page"/>
      </w:r>
    </w:p>
    <w:p>
      <w:pPr>
        <w:pStyle w:val="Heading1"/>
      </w:pPr>
      <w:r>
        <w:t xml:space="preserve">Trafag Projekte</w:t>
      </w:r>
    </w:p>
    <w:p>
      <w:r>
        <w:t xml:space="preserve">Trafag Projekte ist das Projektmanagement im Cockpit. Es ersetzt seit dem 9. Oktober 2026 die frühere „Poor Man's Project Management Suite“, die nie genutzt wurde. Es verbindet drei bekannte Werkzeuge: von Trello das Board mit Listen, Karten zum Ziehen, Farben und Labels; von Jira die Schlüssel wie LOG-12, die Aufgabentypen, Epics, Backlog, Sprints mit Ziel, Story Points und Burndown; von Microsoft Planner die Buckets, Checklisten, „Meine Aufgaben“, Kalender und Diagramme. Der Menüpunkt heisst „Trafag Projekte“ und liegt auf oberster Ebene. Alle sehen alle Projekte; ändern dürfen die Mitglieder eines Projekts und Admins; Projekt, Team und Spalten verwaltet die Projektleitung. Geschrieben wird mit dem eigenen Windows-Namen. Daneben gibt es unter dem Menüpunkt „Pause“ ein kleines Spiel für die Pause, das keine Geschäftsdaten verwendet.</w:t>
      </w:r>
    </w:p>
    <w:p>
      <w:pPr>
        <w:pStyle w:val="Heading2"/>
      </w:pPr>
      <w:r>
        <w:t xml:space="preserve">Projektübersicht und Meine Aufgaben</w:t>
      </w:r>
    </w:p>
    <w:p>
      <w:pPr>
        <w:pStyle w:val="Heading3"/>
      </w:pPr>
      <w:r>
        <w:t xml:space="preserve">Wozu</w:t>
      </w:r>
    </w:p>
    <w:p>
      <w:r>
        <w:t xml:space="preserve">Die Übersicht zeigt alle Projekte auf einen Blick und, im zweiten Reiter, alle Aufgaben, die einem selbst zugewiesen sind, über alle Projekte hinweg.</w:t>
      </w:r>
    </w:p>
    <w:p>
      <w:pPr>
        <w:pStyle w:val="Heading3"/>
      </w:pPr>
      <w:r>
        <w:t xml:space="preserve">Was man sieht</w:t>
      </w:r>
    </w:p>
    <w:p>
      <w:r>
        <w:t xml:space="preserve">Oben ein Band mit Suche, der Schaltfläche „Neues Projekt“ und Zahlen zu Projekten, offenen und überfälligen Aufgaben. Jedes Projekt ist eine Kachel mit Farbe, Symbol, Schlüssel, Vorlage, Fortschrittsbalken (offen, in Arbeit, erledigt), Team, Ende und Zahl der überfälligen Aufgaben. Eigene Projekte stehen zuerst. „Meine Aufgaben“ gruppiert wie Planner nach Überfällig, Heute, Diese Woche, Später und Ohne Datum.</w:t>
      </w:r>
    </w:p>
    <w:p>
      <w:pPr>
        <w:pStyle w:val="Heading3"/>
      </w:pPr>
      <w:r>
        <w:t xml:space="preserve">Wie gerechnet wird</w:t>
      </w:r>
    </w:p>
    <w:p>
      <w:pPr>
        <w:pStyle w:val="ListBullet"/>
        <w:numPr>
          <w:ilvl w:val="0"/>
          <w:numId w:val="1"/>
        </w:numPr>
      </w:pPr>
      <w:r>
        <w:rPr>
          <w:b/>
        </w:rPr>
        <w:t xml:space="preserve">Fortschritt:</w:t>
      </w:r>
      <w:r>
        <w:t xml:space="preserve"> erledigte Aufgaben geteilt durch alle Aufgaben des Projekts, ohne Epics und ohne archivierte.</w:t>
      </w:r>
    </w:p>
    <w:p>
      <w:pPr>
        <w:pStyle w:val="ListBullet"/>
        <w:numPr>
          <w:ilvl w:val="0"/>
          <w:numId w:val="1"/>
        </w:numPr>
      </w:pPr>
      <w:r>
        <w:rPr>
          <w:b/>
        </w:rPr>
        <w:t xml:space="preserve">Erledigt, in Arbeit, offen:</w:t>
      </w:r>
      <w:r>
        <w:t xml:space="preserve"> nach der Art der Spalte, in der eine Aufgabe liegt. Jede Spalte gehört zu einer der drei Arten.</w:t>
      </w:r>
    </w:p>
    <w:p>
      <w:pPr>
        <w:pStyle w:val="ListBullet"/>
        <w:numPr>
          <w:ilvl w:val="0"/>
          <w:numId w:val="1"/>
        </w:numPr>
      </w:pPr>
      <w:r>
        <w:rPr>
          <w:b/>
        </w:rPr>
        <w:t xml:space="preserve">Überfällig:</w:t>
      </w:r>
      <w:r>
        <w:t xml:space="preserve"> Fälligkeitsdatum vor heute und nicht erledigt.</w:t>
      </w:r>
    </w:p>
    <w:p>
      <w:pPr>
        <w:pStyle w:val="Heading3"/>
      </w:pPr>
      <w:r>
        <w:t xml:space="preserve">Einsatz im Arbeitsalltag</w:t>
      </w:r>
    </w:p>
    <w:p>
      <w:pPr>
        <w:pStyle w:val="ListBullet"/>
        <w:numPr>
          <w:ilvl w:val="0"/>
          <w:numId w:val="1"/>
        </w:numPr>
      </w:pPr>
      <w:r>
        <w:rPr>
          <w:b/>
        </w:rPr>
        <w:t xml:space="preserve">Alle Mitarbeitenden:</w:t>
      </w:r>
      <w:r>
        <w:t xml:space="preserve"> Morgens „Meine Aufgaben“ öffnen; überfällige und heutige Aufgaben stehen oben.</w:t>
      </w:r>
    </w:p>
    <w:p>
      <w:pPr>
        <w:pStyle w:val="ListBullet"/>
        <w:numPr>
          <w:ilvl w:val="0"/>
          <w:numId w:val="1"/>
        </w:numPr>
      </w:pPr>
      <w:r>
        <w:rPr>
          <w:b/>
        </w:rPr>
        <w:t xml:space="preserve">Abteilungsleiter und Geschäftsleitung:</w:t>
      </w:r>
      <w:r>
        <w:t xml:space="preserve"> Die Kacheln zeigen ohne Klick, welche Projekte hinterherhinken.</w:t>
      </w:r>
    </w:p>
    <w:p>
      <w:pPr>
        <w:pStyle w:val="Heading3"/>
      </w:pPr>
      <w:r>
        <w:t xml:space="preserve">Grenzen und Fallstricke</w:t>
      </w:r>
    </w:p>
    <w:p>
      <w:r>
        <w:t xml:space="preserve">Es gibt keine Mail-Benachrichtigung; offene Seiten aktualisieren sich aber live, wenn jemand etwas ändert.</w:t>
      </w:r>
    </w:p>
    <w:p>
      <w:pPr>
        <w:pStyle w:val="Heading2"/>
      </w:pPr>
      <w:r>
        <w:t xml:space="preserve">Neues Projekt</w:t>
      </w:r>
    </w:p>
    <w:p>
      <w:pPr>
        <w:pStyle w:val="Heading3"/>
      </w:pPr>
      <w:r>
        <w:t xml:space="preserve">Wozu</w:t>
      </w:r>
    </w:p>
    <w:p>
      <w:r>
        <w:t xml:space="preserve">Ein Projekt wird mit einer Vorlage angelegt, die Spalten und Arbeitsweise vorgibt.</w:t>
      </w:r>
    </w:p>
    <w:p>
      <w:pPr>
        <w:pStyle w:val="Heading3"/>
      </w:pPr>
      <w:r>
        <w:t xml:space="preserve">Was man sieht</w:t>
      </w:r>
    </w:p>
    <w:p>
      <w:r>
        <w:t xml:space="preserve">Drei Vorlagen: </w:t>
      </w:r>
      <w:r>
        <w:rPr>
          <w:b/>
        </w:rPr>
        <w:t xml:space="preserve">Kanban-Board</w:t>
      </w:r>
      <w:r>
        <w:t xml:space="preserve"> (Trello, Spalten Zu erledigen, In Arbeit, Review, Erledigt), </w:t>
      </w:r>
      <w:r>
        <w:rPr>
          <w:b/>
        </w:rPr>
        <w:t xml:space="preserve">Scrum mit Sprints</w:t>
      </w:r>
      <w:r>
        <w:t xml:space="preserve"> (Jira, Spalten Zu erledigen, In Arbeit, Test, Erledigt und ein erster Sprint), </w:t>
      </w:r>
      <w:r>
        <w:rPr>
          <w:b/>
        </w:rPr>
        <w:t xml:space="preserve">Planner mit Buckets</w:t>
      </w:r>
      <w:r>
        <w:t xml:space="preserve"> (Ideen, Geplant, In Arbeit, Erledigt). Dazu Name, Schlüssel (2 bis 6 Grossbuchstaben, wird aus dem Namen vorgeschlagen), Beschreibung, Farbe und Symbol.</w:t>
      </w:r>
    </w:p>
    <w:p>
      <w:pPr>
        <w:pStyle w:val="Heading3"/>
      </w:pPr>
      <w:r>
        <w:t xml:space="preserve">Wie gerechnet wird</w:t>
      </w:r>
    </w:p>
    <w:p>
      <w:pPr>
        <w:pStyle w:val="ListBullet"/>
        <w:numPr>
          <w:ilvl w:val="0"/>
          <w:numId w:val="1"/>
        </w:numPr>
      </w:pPr>
      <w:r>
        <w:rPr>
          <w:b/>
        </w:rPr>
        <w:t xml:space="preserve">Schlüssel:</w:t>
      </w:r>
      <w:r>
        <w:t xml:space="preserve"> bei mehreren Wörtern die Anfangsbuchstaben, sonst die ersten vier Buchstaben. Er bleibt danach fest, damit Verweise wie LOG-12 gültig bleiben.</w:t>
      </w:r>
    </w:p>
    <w:p>
      <w:pPr>
        <w:pStyle w:val="ListBullet"/>
        <w:numPr>
          <w:ilvl w:val="0"/>
          <w:numId w:val="1"/>
        </w:numPr>
      </w:pPr>
      <w:r>
        <w:rPr>
          <w:b/>
        </w:rPr>
        <w:t xml:space="preserve">Projektleitung:</w:t>
      </w:r>
      <w:r>
        <w:t xml:space="preserve"> wer das Projekt anlegt; diese Person kann das Team zusammenstellen.</w:t>
      </w:r>
    </w:p>
    <w:p>
      <w:pPr>
        <w:pStyle w:val="Heading3"/>
      </w:pPr>
      <w:r>
        <w:t xml:space="preserve">Einsatz im Arbeitsalltag</w:t>
      </w:r>
    </w:p>
    <w:p>
      <w:pPr>
        <w:pStyle w:val="ListBullet"/>
        <w:numPr>
          <w:ilvl w:val="0"/>
          <w:numId w:val="1"/>
        </w:numPr>
      </w:pPr>
      <w:r>
        <w:rPr>
          <w:b/>
        </w:rPr>
        <w:t xml:space="preserve">Projektleiter:</w:t>
      </w:r>
      <w:r>
        <w:t xml:space="preserve"> Nach dem Anlegen unter „Einstellungen“ das Team aus dem AD suchen und aufnehmen.</w:t>
      </w:r>
    </w:p>
    <w:p>
      <w:pPr>
        <w:pStyle w:val="Heading3"/>
      </w:pPr>
      <w:r>
        <w:t xml:space="preserve">Grenzen und Fallstricke</w:t>
      </w:r>
    </w:p>
    <w:p>
      <w:r>
        <w:t xml:space="preserve">Die Vorlage legt nur den Start fest; Spalten lassen sich jederzeit umbenennen, ergänzen, verschieben oder löschen.</w:t>
      </w:r>
    </w:p>
    <w:p>
      <w:pPr>
        <w:pStyle w:val="Heading2"/>
      </w:pPr>
      <w:r>
        <w:t xml:space="preserve">Board</w:t>
      </w:r>
    </w:p>
    <w:p>
      <w:pPr>
        <w:pStyle w:val="Heading3"/>
      </w:pPr>
      <w:r>
        <w:t xml:space="preserve">Wozu</w:t>
      </w:r>
    </w:p>
    <w:p>
      <w:r>
        <w:t xml:space="preserve">Das Board ist die tägliche Arbeitsfläche: jede Aufgabe ist eine Karte, jede Spalte ein Arbeitsschritt.</w:t>
      </w:r>
    </w:p>
    <w:p>
      <w:pPr>
        <w:pStyle w:val="Heading3"/>
      </w:pPr>
      <w:r>
        <w:t xml:space="preserve">Was man sieht</w:t>
      </w:r>
    </w:p>
    <w:p>
      <w:r>
        <w:t xml:space="preserve">Spalten mit Karten. Eine Karte zeigt Farbband, Labels, Epic, Titel, Typ, Schlüssel, Priorität, Fälligkeit (orange bei bald, rot bei überfällig), Fortschritt der Checkliste und der Unteraufgaben, Kommentare, Story Points und die zugewiesene Person. Karten zieht man mit der Maus in eine andere Spalte oder an eine andere Stelle. Am Spaltenende legt „Karte hinzufügen“ eine neue Karte an. Über der Fläche stehen Filter: Suche, Personen (Klick auf die Avatare), Nur meine, Überfällig, Typ, Priorität, Label, Epic, dazu Swimlanes nach Person, Epic oder Priorität. Bei Scrum zeigt das Board nur den laufenden Sprint.</w:t>
      </w:r>
    </w:p>
    <w:p>
      <w:pPr>
        <w:pStyle w:val="Heading3"/>
      </w:pPr>
      <w:r>
        <w:t xml:space="preserve">Wie gerechnet wird</w:t>
      </w:r>
    </w:p>
    <w:p>
      <w:pPr>
        <w:pStyle w:val="ListBullet"/>
        <w:numPr>
          <w:ilvl w:val="0"/>
          <w:numId w:val="1"/>
        </w:numPr>
      </w:pPr>
      <w:r>
        <w:rPr>
          <w:b/>
        </w:rPr>
        <w:t xml:space="preserve">WIP-Grenze:</w:t>
      </w:r>
      <w:r>
        <w:t xml:space="preserve"> liegt mehr als die eingestellte Zahl Karten in einer Spalte, wird sie rot (Jira Kanban).</w:t>
      </w:r>
    </w:p>
    <w:p>
      <w:pPr>
        <w:pStyle w:val="ListBullet"/>
        <w:numPr>
          <w:ilvl w:val="0"/>
          <w:numId w:val="1"/>
        </w:numPr>
      </w:pPr>
      <w:r>
        <w:rPr>
          <w:b/>
        </w:rPr>
        <w:t xml:space="preserve">Erledigt-Zeitpunkt:</w:t>
      </w:r>
      <w:r>
        <w:t xml:space="preserve"> wird gesetzt, wenn eine Karte in eine Spalte der Art „Erledigt“ kommt, und gelöscht, wenn sie zurückgeht.</w:t>
      </w:r>
    </w:p>
    <w:p>
      <w:pPr>
        <w:pStyle w:val="ListBullet"/>
        <w:numPr>
          <w:ilvl w:val="0"/>
          <w:numId w:val="1"/>
        </w:numPr>
      </w:pPr>
      <w:r>
        <w:rPr>
          <w:b/>
        </w:rPr>
        <w:t xml:space="preserve">Ausblenden:</w:t>
      </w:r>
      <w:r>
        <w:t xml:space="preserve"> Erledigte Karten älter als 14 Tage sind standardmässig ausgeblendet.</w:t>
      </w:r>
    </w:p>
    <w:p>
      <w:pPr>
        <w:pStyle w:val="ListBullet"/>
        <w:numPr>
          <w:ilvl w:val="0"/>
          <w:numId w:val="1"/>
        </w:numPr>
      </w:pPr>
      <w:r>
        <w:rPr>
          <w:b/>
        </w:rPr>
        <w:t xml:space="preserve">Swimlanes:</w:t>
      </w:r>
      <w:r>
        <w:t xml:space="preserve"> Zieht man eine Karte in eine andere Swimlane, ändert sich auch Person, Epic oder Priorität.</w:t>
      </w:r>
    </w:p>
    <w:p>
      <w:pPr>
        <w:pStyle w:val="Heading3"/>
      </w:pPr>
      <w:r>
        <w:t xml:space="preserve">Einsatz im Arbeitsalltag</w:t>
      </w:r>
    </w:p>
    <w:p>
      <w:pPr>
        <w:pStyle w:val="ListBullet"/>
        <w:numPr>
          <w:ilvl w:val="0"/>
          <w:numId w:val="1"/>
        </w:numPr>
      </w:pPr>
      <w:r>
        <w:rPr>
          <w:b/>
        </w:rPr>
        <w:t xml:space="preserve">Teams:</w:t>
      </w:r>
      <w:r>
        <w:t xml:space="preserve"> Im Stand-up das Board nach Person gruppieren und von rechts nach links durchgehen: Was ist fast fertig?</w:t>
      </w:r>
    </w:p>
    <w:p>
      <w:pPr>
        <w:pStyle w:val="ListBullet"/>
        <w:numPr>
          <w:ilvl w:val="0"/>
          <w:numId w:val="1"/>
        </w:numPr>
      </w:pPr>
      <w:r>
        <w:rPr>
          <w:b/>
        </w:rPr>
        <w:t xml:space="preserve">Projektleiter:</w:t>
      </w:r>
      <w:r>
        <w:t xml:space="preserve"> WIP-Grenzen setzen, damit nicht zu viel gleichzeitig angefangen wird.</w:t>
      </w:r>
    </w:p>
    <w:p>
      <w:pPr>
        <w:pStyle w:val="Heading3"/>
      </w:pPr>
      <w:r>
        <w:t xml:space="preserve">Grenzen und Fallstricke</w:t>
      </w:r>
    </w:p>
    <w:p>
      <w:r>
        <w:t xml:space="preserve">Ziehen braucht einen Browser mit Maus; auf dem Telefon ändert man den Status im Aufgabenpanel. Nicht-Mitglieder sehen das Board, können aber nichts ziehen.</w:t>
      </w:r>
    </w:p>
    <w:p>
      <w:pPr>
        <w:pStyle w:val="Heading2"/>
      </w:pPr>
      <w:r>
        <w:t xml:space="preserve">Aufgabe im Detail</w:t>
      </w:r>
    </w:p>
    <w:p>
      <w:pPr>
        <w:pStyle w:val="Heading3"/>
      </w:pPr>
      <w:r>
        <w:t xml:space="preserve">Wozu</w:t>
      </w:r>
    </w:p>
    <w:p>
      <w:r>
        <w:t xml:space="preserve">Ein Klick auf eine Karte öffnet rechts das Panel mit allen Angaben. Jede Aufgabe hat eine eigene Adresse und lässt sich als Link teilen.</w:t>
      </w:r>
    </w:p>
    <w:p>
      <w:pPr>
        <w:pStyle w:val="Heading3"/>
      </w:pPr>
      <w:r>
        <w:t xml:space="preserve">Was man sieht</w:t>
      </w:r>
    </w:p>
    <w:p>
      <w:r>
        <w:t xml:space="preserve">Titel, Status, zugewiesene Person (mit „Mir zuweisen“), Typ (Aufgabe, Story, Fehler, Epic, Unteraufgabe), Priorität in fünf Stufen, Start, Fälligkeit, Story Points, Epic, Sprint, Labels, Farbe, Beschreibung mit Formatierung, Checkliste mit Fortschrittsbalken, Unteraufgaben, Kommentare und der Verlauf aller Änderungen. Änderungen werden sofort gespeichert.</w:t>
      </w:r>
    </w:p>
    <w:p>
      <w:pPr>
        <w:pStyle w:val="Heading3"/>
      </w:pPr>
      <w:r>
        <w:t xml:space="preserve">Wie gerechnet wird</w:t>
      </w:r>
    </w:p>
    <w:p>
      <w:pPr>
        <w:pStyle w:val="ListBullet"/>
        <w:numPr>
          <w:ilvl w:val="0"/>
          <w:numId w:val="1"/>
        </w:numPr>
      </w:pPr>
      <w:r>
        <w:rPr>
          <w:b/>
        </w:rPr>
        <w:t xml:space="preserve">Verlauf:</w:t>
      </w:r>
      <w:r>
        <w:t xml:space="preserve"> jede Änderung mit Person und Zeit, zum Beispiel „hat LOG-12 geändert: Priorität High, fällig 20.10.2026“.</w:t>
      </w:r>
    </w:p>
    <w:p>
      <w:pPr>
        <w:pStyle w:val="ListBullet"/>
        <w:numPr>
          <w:ilvl w:val="0"/>
          <w:numId w:val="1"/>
        </w:numPr>
      </w:pPr>
      <w:r>
        <w:rPr>
          <w:b/>
        </w:rPr>
        <w:t xml:space="preserve">Unteraufgaben:</w:t>
      </w:r>
      <w:r>
        <w:t xml:space="preserve"> zählen als erledigt, wenn sie in einer Spalte der Art „Erledigt“ liegen.</w:t>
      </w:r>
    </w:p>
    <w:p>
      <w:pPr>
        <w:pStyle w:val="Heading3"/>
      </w:pPr>
      <w:r>
        <w:t xml:space="preserve">Einsatz im Arbeitsalltag</w:t>
      </w:r>
    </w:p>
    <w:p>
      <w:pPr>
        <w:pStyle w:val="ListBullet"/>
        <w:numPr>
          <w:ilvl w:val="0"/>
          <w:numId w:val="1"/>
        </w:numPr>
      </w:pPr>
      <w:r>
        <w:rPr>
          <w:b/>
        </w:rPr>
        <w:t xml:space="preserve">Alle Mitarbeitenden:</w:t>
      </w:r>
      <w:r>
        <w:t xml:space="preserve"> Grosse Aufgaben in Unteraufgaben oder eine Checkliste zerlegen; der Fortschritt erscheint auf der Karte.</w:t>
      </w:r>
    </w:p>
    <w:p>
      <w:pPr>
        <w:pStyle w:val="ListBullet"/>
        <w:numPr>
          <w:ilvl w:val="0"/>
          <w:numId w:val="1"/>
        </w:numPr>
      </w:pPr>
      <w:r>
        <w:rPr>
          <w:b/>
        </w:rPr>
        <w:t xml:space="preserve">Fachspezialisten:</w:t>
      </w:r>
      <w:r>
        <w:t xml:space="preserve"> Rückfragen als Kommentar statt per Mail; kommentieren darf jeder Angemeldete, auch ohne Mitgliedschaft.</w:t>
      </w:r>
    </w:p>
    <w:p>
      <w:pPr>
        <w:pStyle w:val="Heading3"/>
      </w:pPr>
      <w:r>
        <w:t xml:space="preserve">Grenzen und Fallstricke</w:t>
      </w:r>
    </w:p>
    <w:p>
      <w:r>
        <w:t xml:space="preserve">Archivieren statt Löschen: archivierte Aufgaben verschwinden aus allen Ansichten, bleiben aber in der Datenbank. Zuweisen kann man nur an Mitglieder des Projekts.</w:t>
      </w:r>
    </w:p>
    <w:p>
      <w:pPr>
        <w:pStyle w:val="Heading2"/>
      </w:pPr>
      <w:r>
        <w:t xml:space="preserve">Backlog und Sprints</w:t>
      </w:r>
    </w:p>
    <w:p>
      <w:pPr>
        <w:pStyle w:val="Heading3"/>
      </w:pPr>
      <w:r>
        <w:t xml:space="preserve">Wozu</w:t>
      </w:r>
    </w:p>
    <w:p>
      <w:r>
        <w:t xml:space="preserve">Wie in Jira: Aufgaben sammeln, nach Wichtigkeit ordnen und in Sprints einplanen.</w:t>
      </w:r>
    </w:p>
    <w:p>
      <w:pPr>
        <w:pStyle w:val="Heading3"/>
      </w:pPr>
      <w:r>
        <w:t xml:space="preserve">Was man sieht</w:t>
      </w:r>
    </w:p>
    <w:p>
      <w:r>
        <w:t xml:space="preserve">Oben der laufende Sprint, darunter geplante Sprints und zuunterst der Backlog. Je Abschnitt Zahl der Aufgaben und Summe der Story Points. Aufgaben zieht man zwischen den Abschnitten und innerhalb der Liste. „Sprint starten“ fragt nach Ziel und Dauer (1 bis 4 Wochen), „Sprint abschliessen“ verschiebt offene Aufgaben in den nächsten Sprint oder zurück in den Backlog.</w:t>
      </w:r>
    </w:p>
    <w:p>
      <w:pPr>
        <w:pStyle w:val="Heading3"/>
      </w:pPr>
      <w:r>
        <w:t xml:space="preserve">Wie gerechnet wird</w:t>
      </w:r>
    </w:p>
    <w:p>
      <w:pPr>
        <w:pStyle w:val="ListBullet"/>
        <w:numPr>
          <w:ilvl w:val="0"/>
          <w:numId w:val="1"/>
        </w:numPr>
      </w:pPr>
      <w:r>
        <w:rPr>
          <w:b/>
        </w:rPr>
        <w:t xml:space="preserve">Es läuft höchstens ein Sprint gleichzeitig.</w:t>
      </w:r>
    </w:p>
    <w:p>
      <w:pPr>
        <w:pStyle w:val="ListBullet"/>
        <w:numPr>
          <w:ilvl w:val="0"/>
          <w:numId w:val="1"/>
        </w:numPr>
      </w:pPr>
      <w:r>
        <w:rPr>
          <w:b/>
        </w:rPr>
        <w:t xml:space="preserve">Unteraufgaben</w:t>
      </w:r>
      <w:r>
        <w:t xml:space="preserve"> stehen nicht einzeln im Backlog; sie folgen ihrer Aufgabe.</w:t>
      </w:r>
    </w:p>
    <w:p>
      <w:pPr>
        <w:pStyle w:val="Heading3"/>
      </w:pPr>
      <w:r>
        <w:t xml:space="preserve">Einsatz im Arbeitsalltag</w:t>
      </w:r>
    </w:p>
    <w:p>
      <w:pPr>
        <w:pStyle w:val="ListBullet"/>
        <w:numPr>
          <w:ilvl w:val="0"/>
          <w:numId w:val="1"/>
        </w:numPr>
      </w:pPr>
      <w:r>
        <w:rPr>
          <w:b/>
        </w:rPr>
        <w:t xml:space="preserve">Product Owner und Projektleiter:</w:t>
      </w:r>
      <w:r>
        <w:t xml:space="preserve"> Den Backlog vor der Sprintplanung von oben nach unten ordnen.</w:t>
      </w:r>
    </w:p>
    <w:p>
      <w:pPr>
        <w:pStyle w:val="ListBullet"/>
        <w:numPr>
          <w:ilvl w:val="0"/>
          <w:numId w:val="1"/>
        </w:numPr>
      </w:pPr>
      <w:r>
        <w:rPr>
          <w:b/>
        </w:rPr>
        <w:t xml:space="preserve">Team:</w:t>
      </w:r>
      <w:r>
        <w:t xml:space="preserve"> In der Planung so viele Story Points in den Sprint ziehen, wie im letzten Sprint erledigt wurden.</w:t>
      </w:r>
    </w:p>
    <w:p>
      <w:pPr>
        <w:pStyle w:val="Heading3"/>
      </w:pPr>
      <w:r>
        <w:t xml:space="preserve">Grenzen und Fallstricke</w:t>
      </w:r>
    </w:p>
    <w:p>
      <w:r>
        <w:t xml:space="preserve">Den Backlog gibt es auch bei Kanban- und Planner-Projekten; Sprints sind dort freiwillig.</w:t>
      </w:r>
    </w:p>
    <w:p>
      <w:pPr>
        <w:pStyle w:val="Heading2"/>
      </w:pPr>
      <w:r>
        <w:t xml:space="preserve">Liste, Zeitachse und Kalender</w:t>
      </w:r>
    </w:p>
    <w:p>
      <w:pPr>
        <w:pStyle w:val="Heading3"/>
      </w:pPr>
      <w:r>
        <w:t xml:space="preserve">Wozu</w:t>
      </w:r>
    </w:p>
    <w:p>
      <w:r>
        <w:t xml:space="preserve">Dieselben Aufgaben in drei weiteren Sichten: als Tabelle, als Zeitplan und als Monatskalender.</w:t>
      </w:r>
    </w:p>
    <w:p>
      <w:pPr>
        <w:pStyle w:val="Heading3"/>
      </w:pPr>
      <w:r>
        <w:t xml:space="preserve">Was man sieht</w:t>
      </w:r>
    </w:p>
    <w:p>
      <w:r>
        <w:t xml:space="preserve">Die </w:t>
      </w:r>
      <w:r>
        <w:rPr>
          <w:b/>
        </w:rPr>
        <w:t xml:space="preserve">Liste</w:t>
      </w:r>
      <w:r>
        <w:t xml:space="preserve"> ist eine sortierbare Tabelle mit Status zum Umstellen und CSV-Export. Die </w:t>
      </w:r>
      <w:r>
        <w:rPr>
          <w:b/>
        </w:rPr>
        <w:t xml:space="preserve">Zeitachse</w:t>
      </w:r>
      <w:r>
        <w:t xml:space="preserve"> zeigt Balken von Start bis Fälligkeit, nach Epic gruppiert, mit Heute-Linie; Epics zeigen ihren Fortschritt. Der </w:t>
      </w:r>
      <w:r>
        <w:rPr>
          <w:b/>
        </w:rPr>
        <w:t xml:space="preserve">Kalender</w:t>
      </w:r>
      <w:r>
        <w:t xml:space="preserve"> zeigt die Aufgaben am Fälligkeitstag; zieht man eine Aufgabe auf einen anderen Tag, ändert sich die Fälligkeit.</w:t>
      </w:r>
    </w:p>
    <w:p>
      <w:pPr>
        <w:pStyle w:val="Heading3"/>
      </w:pPr>
      <w:r>
        <w:t xml:space="preserve">Wie gerechnet wird</w:t>
      </w:r>
    </w:p>
    <w:p>
      <w:pPr>
        <w:pStyle w:val="ListBullet"/>
        <w:numPr>
          <w:ilvl w:val="0"/>
          <w:numId w:val="1"/>
        </w:numPr>
      </w:pPr>
      <w:r>
        <w:rPr>
          <w:b/>
        </w:rPr>
        <w:t xml:space="preserve">Zeitachse:</w:t>
      </w:r>
      <w:r>
        <w:t xml:space="preserve"> ohne Startdatum gilt das Erstelldatum; ohne Fälligkeit erscheint ein Punkt.</w:t>
      </w:r>
    </w:p>
    <w:p>
      <w:pPr>
        <w:pStyle w:val="ListBullet"/>
        <w:numPr>
          <w:ilvl w:val="0"/>
          <w:numId w:val="1"/>
        </w:numPr>
      </w:pPr>
      <w:r>
        <w:rPr>
          <w:b/>
        </w:rPr>
        <w:t xml:space="preserve">Epic-Balken:</w:t>
      </w:r>
      <w:r>
        <w:t xml:space="preserve"> vom frühesten Start bis zur spätesten Fälligkeit der zugehörigen Aufgaben.</w:t>
      </w:r>
    </w:p>
    <w:p>
      <w:pPr>
        <w:pStyle w:val="Heading3"/>
      </w:pPr>
      <w:r>
        <w:t xml:space="preserve">Einsatz im Arbeitsalltag</w:t>
      </w:r>
    </w:p>
    <w:p>
      <w:pPr>
        <w:pStyle w:val="ListBullet"/>
        <w:numPr>
          <w:ilvl w:val="0"/>
          <w:numId w:val="1"/>
        </w:numPr>
      </w:pPr>
      <w:r>
        <w:rPr>
          <w:b/>
        </w:rPr>
        <w:t xml:space="preserve">Geschäftsleitung:</w:t>
      </w:r>
      <w:r>
        <w:t xml:space="preserve"> Die Zeitachse zeigt, welche Epics über das geplante Ende hinauslaufen.</w:t>
      </w:r>
    </w:p>
    <w:p>
      <w:pPr>
        <w:pStyle w:val="ListBullet"/>
        <w:numPr>
          <w:ilvl w:val="0"/>
          <w:numId w:val="1"/>
        </w:numPr>
      </w:pPr>
      <w:r>
        <w:rPr>
          <w:b/>
        </w:rPr>
        <w:t xml:space="preserve">Projektleiter:</w:t>
      </w:r>
      <w:r>
        <w:t xml:space="preserve"> Die Liste nach Fälligkeit sortieren und als CSV für Besprechungen exportieren.</w:t>
      </w:r>
    </w:p>
    <w:p>
      <w:pPr>
        <w:pStyle w:val="Heading3"/>
      </w:pPr>
      <w:r>
        <w:t xml:space="preserve">Grenzen und Fallstricke</w:t>
      </w:r>
    </w:p>
    <w:p>
      <w:r>
        <w:t xml:space="preserve">Abhängigkeiten zwischen Aufgaben werden nicht gezeichnet.</w:t>
      </w:r>
    </w:p>
    <w:p>
      <w:pPr>
        <w:pStyle w:val="Heading2"/>
      </w:pPr>
      <w:r>
        <w:t xml:space="preserve">Diagramme</w:t>
      </w:r>
    </w:p>
    <w:p>
      <w:pPr>
        <w:pStyle w:val="Heading3"/>
      </w:pPr>
      <w:r>
        <w:t xml:space="preserve">Wozu</w:t>
      </w:r>
    </w:p>
    <w:p>
      <w:r>
        <w:t xml:space="preserve">Planner-Diagramme und Jira-Berichte für den Stand des Projekts.</w:t>
      </w:r>
    </w:p>
    <w:p>
      <w:pPr>
        <w:pStyle w:val="Heading3"/>
      </w:pPr>
      <w:r>
        <w:t xml:space="preserve">Was man sieht</w:t>
      </w:r>
    </w:p>
    <w:p>
      <w:r>
        <w:t xml:space="preserve">Ring nach Status mit Anzahl und Anteil, Balken nach Person (gestapelt offen, in Arbeit, erledigt), offene Aufgaben nach Priorität, Burndown des laufenden Sprints und Durchsatz der letzten acht Wochen (angelegt und erledigt je Kalenderwoche). Die Filter oben wirken auch hier.</w:t>
      </w:r>
    </w:p>
    <w:p>
      <w:pPr>
        <w:pStyle w:val="Heading3"/>
      </w:pPr>
      <w:r>
        <w:t xml:space="preserve">Wie gerechnet wird</w:t>
      </w:r>
    </w:p>
    <w:p>
      <w:pPr>
        <w:pStyle w:val="ListBullet"/>
        <w:numPr>
          <w:ilvl w:val="0"/>
          <w:numId w:val="1"/>
        </w:numPr>
      </w:pPr>
      <w:r>
        <w:rPr>
          <w:b/>
        </w:rPr>
        <w:t xml:space="preserve">Burndown:</w:t>
      </w:r>
      <w:r>
        <w:t xml:space="preserve"> je Sprinttag die Summe der Story Points der noch nicht erledigten Aufgaben; ohne Punkte die Anzahl Aufgaben. Die gestrichelte Linie ist der ideale gleichmässige Verlauf bis null am Sprintende. Gerechnet wird mit der heutigen Sprintbelegung; später hinzugefügte Aufgaben zählen ab Sprintbeginn mit.</w:t>
      </w:r>
    </w:p>
    <w:p>
      <w:pPr>
        <w:pStyle w:val="ListBullet"/>
        <w:numPr>
          <w:ilvl w:val="0"/>
          <w:numId w:val="1"/>
        </w:numPr>
      </w:pPr>
      <w:r>
        <w:rPr>
          <w:b/>
        </w:rPr>
        <w:t xml:space="preserve">Durchsatz:</w:t>
      </w:r>
      <w:r>
        <w:t xml:space="preserve"> angelegt nach Erstelldatum, erledigt nach Erledigt-Zeitpunkt, je Kalenderwoche.</w:t>
      </w:r>
    </w:p>
    <w:p>
      <w:pPr>
        <w:pStyle w:val="Heading3"/>
      </w:pPr>
      <w:r>
        <w:t xml:space="preserve">Einsatz im Arbeitsalltag</w:t>
      </w:r>
    </w:p>
    <w:p>
      <w:pPr>
        <w:pStyle w:val="ListBullet"/>
        <w:numPr>
          <w:ilvl w:val="0"/>
          <w:numId w:val="1"/>
        </w:numPr>
      </w:pPr>
      <w:r>
        <w:rPr>
          <w:b/>
        </w:rPr>
        <w:t xml:space="preserve">Team und Scrum Master:</w:t>
      </w:r>
      <w:r>
        <w:t xml:space="preserve"> Liegt die Burndown-Linie deutlich über der Ideallinie, im Daily ansprechen, was den Sprint gefährdet.</w:t>
      </w:r>
    </w:p>
    <w:p>
      <w:pPr>
        <w:pStyle w:val="ListBullet"/>
        <w:numPr>
          <w:ilvl w:val="0"/>
          <w:numId w:val="1"/>
        </w:numPr>
      </w:pPr>
      <w:r>
        <w:rPr>
          <w:b/>
        </w:rPr>
        <w:t xml:space="preserve">Abteilungsleiter:</w:t>
      </w:r>
      <w:r>
        <w:t xml:space="preserve"> Mehr angelegt als erledigt über mehrere Wochen heisst: das Team nimmt mehr an, als es abschliessen kann.</w:t>
      </w:r>
    </w:p>
    <w:p>
      <w:pPr>
        <w:pStyle w:val="Heading3"/>
      </w:pPr>
      <w:r>
        <w:t xml:space="preserve">Grenzen und Fallstricke</w:t>
      </w:r>
    </w:p>
    <w:p>
      <w:r>
        <w:t xml:space="preserve">Statusfarben: Bernstein = offen, Blau = in Arbeit, Grün = erledigt; die Zahl steht immer daneben.</w:t>
      </w:r>
    </w:p>
    <w:p>
      <w:pPr>
        <w:pStyle w:val="Heading2"/>
      </w:pPr>
      <w:r>
        <w:t xml:space="preserve">Aktivität und Einstellungen</w:t>
      </w:r>
    </w:p>
    <w:p>
      <w:pPr>
        <w:pStyle w:val="Heading3"/>
      </w:pPr>
      <w:r>
        <w:t xml:space="preserve">Wozu</w:t>
      </w:r>
    </w:p>
    <w:p>
      <w:r>
        <w:t xml:space="preserve">Die Aktivität zeigt alles, was im Projekt passiert ist. Die Einstellungen verwalten Projekt, Team und Spalten.</w:t>
      </w:r>
    </w:p>
    <w:p>
      <w:pPr>
        <w:pStyle w:val="Heading3"/>
      </w:pPr>
      <w:r>
        <w:t xml:space="preserve">Was man sieht</w:t>
      </w:r>
    </w:p>
    <w:p>
      <w:r>
        <w:rPr>
          <w:b/>
        </w:rPr>
        <w:t xml:space="preserve">Aktivität:</w:t>
      </w:r>
      <w:r>
        <w:t xml:space="preserve"> die letzten 80 Änderungen mit Person, Text, Aufgabe und Zeit. </w:t>
      </w:r>
      <w:r>
        <w:rPr>
          <w:b/>
        </w:rPr>
        <w:t xml:space="preserve">Einstellungen:</w:t>
      </w:r>
      <w:r>
        <w:t xml:space="preserve"> Name, Beschreibung, Start, Ende, Farbe, Symbol, Archivieren; Team mit Personensuche im AD (Name oder Kürzel); Spalten mit Name, Art (offen, in Arbeit, erledigt), WIP-Grenze, Verschieben und Löschen.</w:t>
      </w:r>
    </w:p>
    <w:p>
      <w:pPr>
        <w:pStyle w:val="Heading3"/>
      </w:pPr>
      <w:r>
        <w:t xml:space="preserve">Wie gerechnet wird</w:t>
      </w:r>
    </w:p>
    <w:p>
      <w:pPr>
        <w:pStyle w:val="ListBullet"/>
        <w:numPr>
          <w:ilvl w:val="0"/>
          <w:numId w:val="1"/>
        </w:numPr>
      </w:pPr>
      <w:r>
        <w:rPr>
          <w:b/>
        </w:rPr>
        <w:t xml:space="preserve">Spalte löschen:</w:t>
      </w:r>
      <w:r>
        <w:t xml:space="preserve"> Karten wandern in die erste Spalte derselben Art, sonst in die erste Spalte.</w:t>
      </w:r>
    </w:p>
    <w:p>
      <w:pPr>
        <w:pStyle w:val="Heading3"/>
      </w:pPr>
      <w:r>
        <w:t xml:space="preserve">Einsatz im Arbeitsalltag</w:t>
      </w:r>
    </w:p>
    <w:p>
      <w:pPr>
        <w:pStyle w:val="ListBullet"/>
        <w:numPr>
          <w:ilvl w:val="0"/>
          <w:numId w:val="1"/>
        </w:numPr>
      </w:pPr>
      <w:r>
        <w:rPr>
          <w:b/>
        </w:rPr>
        <w:t xml:space="preserve">Projektleiter:</w:t>
      </w:r>
      <w:r>
        <w:t xml:space="preserve"> Zum Projektstart Team aufnehmen und die Spalten an den eigenen Ablauf anpassen, zum Beispiel eine Spalte „Freigabe“.</w:t>
      </w:r>
    </w:p>
    <w:p>
      <w:pPr>
        <w:pStyle w:val="Heading3"/>
      </w:pPr>
      <w:r>
        <w:t xml:space="preserve">Grenzen und Fallstricke</w:t>
      </w:r>
    </w:p>
    <w:p>
      <w:r>
        <w:t xml:space="preserve">Die Projektleitung bleibt immer im Team und kann nicht entfernt werden. Der Schlüssel lässt sich nicht ändern.</w:t>
      </w:r>
    </w:p>
    <w:p>
      <w:pPr>
        <w:pStyle w:val="Heading2"/>
      </w:pPr>
      <w:r>
        <w:t xml:space="preserve">Portfolio nach HERMES</w:t>
      </w:r>
    </w:p>
    <w:p>
      <w:pPr>
        <w:pStyle w:val="Heading3"/>
      </w:pPr>
      <w:r>
        <w:t xml:space="preserve">Wozu</w:t>
      </w:r>
    </w:p>
    <w:p>
      <w:r>
        <w:t xml:space="preserve">Der Reiter </w:t>
      </w:r>
      <w:r>
        <w:rPr>
          <w:b/>
        </w:rPr>
        <w:t xml:space="preserve">Portfolio (HERMES)</w:t>
      </w:r>
      <w:r>
        <w:t xml:space="preserve"> zeigt alle Projekte so, wie die Geschäftsleitung sie nach HERMES sehen will: Stufe, Ampel, Phase und der nächste Entscheid auf einen Blick.</w:t>
      </w:r>
    </w:p>
    <w:p>
      <w:pPr>
        <w:pStyle w:val="Heading3"/>
      </w:pPr>
      <w:r>
        <w:t xml:space="preserve">Was man sieht</w:t>
      </w:r>
    </w:p>
    <w:p>
      <w:r>
        <w:t xml:space="preserve">Oben ein Ampelring und die Verteilung auf Kleinauftrag, Vorhaben und Projekt; ein Klick darauf filtert. Darunter die Phasenlandkarte mit den Phasen Initialisierung, Umsetzung, Einführung und abgeschlossen, getrennt durch die Entscheidungspunkte ① Freigabe, ② Abnahme und ③ Abschluss. Jedes Projekt ist eine Kachel in seiner Phase, der Rand hat die Farbe seiner Ampel. Ganz unten die Tabelle für die Geschäftsleitung, rote Projekte zuerst.</w:t>
      </w:r>
    </w:p>
    <w:p>
      <w:pPr>
        <w:pStyle w:val="Heading3"/>
      </w:pPr>
      <w:r>
        <w:t xml:space="preserve">Wie gerechnet wird</w:t>
      </w:r>
    </w:p>
    <w:p>
      <w:r>
        <w:t xml:space="preserve">Die Phase ergibt sich aus den eingetragenen Entscheidungspunkten. Die Stufe schlägt die App nach dem geschätzten Aufwand vor: unter 5 Personentagen Kleinauftrag, bis 40 Vorhaben, darüber Projekt. Gepflegt werden die Angaben in den Einstellungen des Projekts im Block „HERMES“.</w:t>
      </w:r>
    </w:p>
    <w:p>
      <w:pPr>
        <w:pStyle w:val="Heading3"/>
      </w:pPr>
      <w:r>
        <w:t xml:space="preserve">Einsatz im Arbeitsalltag</w:t>
      </w:r>
    </w:p>
    <w:p>
      <w:r>
        <w:t xml:space="preserve">Vor der Freigabe Auftraggeber, Anwendervertreter und „Erledigt, wenn“ eintragen; das Datum der Freigabe setzen, sobald der Projektauftrag unterschrieben ist. Ampel und Stand in einem Satz bei jeder Statusrunde nachführen. Das Demoprojekt HDEMO zeigt ein ausgefülltes Beispiel.</w:t>
      </w:r>
    </w:p>
    <w:p>
      <w:pPr>
        <w:pStyle w:val="Heading3"/>
      </w:pPr>
      <w:r>
        <w:t xml:space="preserve">Grenzen und Fallstricke</w:t>
      </w:r>
    </w:p>
    <w:p>
      <w:r>
        <w:t xml:space="preserve">Projekte ohne HERMES-Angaben erscheinen nicht auf der Landkarte, nur als Liste darüber. Abnahme und Abschluss lassen sich erst nach der Freigabe eintragen. Die Vorhaben aus der Wochen-Todo werden nicht automatisch übernommen.</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Fortschritt</w:t>
            </w:r>
          </w:p>
        </w:tc>
        <w:tc>
          <w:tcPr>
            <w:tcW w:w="3102" w:type="dxa"/>
          </w:tcPr>
          <w:p>
            <w:pPr>
              <w:pStyle w:val="TableText"/>
            </w:pPr>
            <w:r>
              <w:t xml:space="preserve">Erledigungsgrad eines Projekts</w:t>
            </w:r>
          </w:p>
        </w:tc>
        <w:tc>
          <w:tcPr>
            <w:tcW w:w="3102" w:type="dxa"/>
          </w:tcPr>
          <w:p>
            <w:pPr>
              <w:pStyle w:val="TableText"/>
            </w:pPr>
            <w:r>
              <w:t xml:space="preserve">Erledigte Aufgaben geteilt durch alle Aufgaben, ohne Epics und Archiv</w:t>
            </w:r>
          </w:p>
        </w:tc>
      </w:tr>
      <w:tr>
        <w:tc>
          <w:tcPr>
            <w:tcW w:w="3102" w:type="dxa"/>
          </w:tcPr>
          <w:p>
            <w:pPr>
              <w:pStyle w:val="TableText"/>
            </w:pPr>
            <w:r>
              <w:t xml:space="preserve">Offen, In Arbeit, Erledigt</w:t>
            </w:r>
          </w:p>
        </w:tc>
        <w:tc>
          <w:tcPr>
            <w:tcW w:w="3102" w:type="dxa"/>
          </w:tcPr>
          <w:p>
            <w:pPr>
              <w:pStyle w:val="TableText"/>
            </w:pPr>
            <w:r>
              <w:t xml:space="preserve">Arbeitsstand</w:t>
            </w:r>
          </w:p>
        </w:tc>
        <w:tc>
          <w:tcPr>
            <w:tcW w:w="3102" w:type="dxa"/>
          </w:tcPr>
          <w:p>
            <w:pPr>
              <w:pStyle w:val="TableText"/>
            </w:pPr>
            <w:r>
              <w:t xml:space="preserve">Nach der Art der Spalte, in der die Aufgabe liegt</w:t>
            </w:r>
          </w:p>
        </w:tc>
      </w:tr>
      <w:tr>
        <w:tc>
          <w:tcPr>
            <w:tcW w:w="3102" w:type="dxa"/>
          </w:tcPr>
          <w:p>
            <w:pPr>
              <w:pStyle w:val="TableText"/>
            </w:pPr>
            <w:r>
              <w:t xml:space="preserve">Überfällig</w:t>
            </w:r>
          </w:p>
        </w:tc>
        <w:tc>
          <w:tcPr>
            <w:tcW w:w="3102" w:type="dxa"/>
          </w:tcPr>
          <w:p>
            <w:pPr>
              <w:pStyle w:val="TableText"/>
            </w:pPr>
            <w:r>
              <w:t xml:space="preserve">Termin verpasst</w:t>
            </w:r>
          </w:p>
        </w:tc>
        <w:tc>
          <w:tcPr>
            <w:tcW w:w="3102" w:type="dxa"/>
          </w:tcPr>
          <w:p>
            <w:pPr>
              <w:pStyle w:val="TableText"/>
            </w:pPr>
            <w:r>
              <w:t xml:space="preserve">Fälligkeit vor heute und nicht erledigt</w:t>
            </w:r>
          </w:p>
        </w:tc>
      </w:tr>
      <w:tr>
        <w:tc>
          <w:tcPr>
            <w:tcW w:w="3102" w:type="dxa"/>
          </w:tcPr>
          <w:p>
            <w:pPr>
              <w:pStyle w:val="TableText"/>
            </w:pPr>
            <w:r>
              <w:t xml:space="preserve">WIP-Grenze</w:t>
            </w:r>
          </w:p>
        </w:tc>
        <w:tc>
          <w:tcPr>
            <w:tcW w:w="3102" w:type="dxa"/>
          </w:tcPr>
          <w:p>
            <w:pPr>
              <w:pStyle w:val="TableText"/>
            </w:pPr>
            <w:r>
              <w:t xml:space="preserve">Höchstzahl Karten in Arbeit</w:t>
            </w:r>
          </w:p>
        </w:tc>
        <w:tc>
          <w:tcPr>
            <w:tcW w:w="3102" w:type="dxa"/>
          </w:tcPr>
          <w:p>
            <w:pPr>
              <w:pStyle w:val="TableText"/>
            </w:pPr>
            <w:r>
              <w:t xml:space="preserve">Von der Projektleitung je Spalte gesetzt, 0 = keine</w:t>
            </w:r>
          </w:p>
        </w:tc>
      </w:tr>
      <w:tr>
        <w:tc>
          <w:tcPr>
            <w:tcW w:w="3102" w:type="dxa"/>
          </w:tcPr>
          <w:p>
            <w:pPr>
              <w:pStyle w:val="TableText"/>
            </w:pPr>
            <w:r>
              <w:t xml:space="preserve">Story Points</w:t>
            </w:r>
          </w:p>
        </w:tc>
        <w:tc>
          <w:tcPr>
            <w:tcW w:w="3102" w:type="dxa"/>
          </w:tcPr>
          <w:p>
            <w:pPr>
              <w:pStyle w:val="TableText"/>
            </w:pPr>
            <w:r>
              <w:t xml:space="preserve">Geschätzter Aufwand</w:t>
            </w:r>
          </w:p>
        </w:tc>
        <w:tc>
          <w:tcPr>
            <w:tcW w:w="3102" w:type="dxa"/>
          </w:tcPr>
          <w:p>
            <w:pPr>
              <w:pStyle w:val="TableText"/>
            </w:pPr>
            <w:r>
              <w:t xml:space="preserve">Von Hand je Aufgabe, 0 bis 100</w:t>
            </w:r>
          </w:p>
        </w:tc>
      </w:tr>
      <w:tr>
        <w:tc>
          <w:tcPr>
            <w:tcW w:w="3102" w:type="dxa"/>
          </w:tcPr>
          <w:p>
            <w:pPr>
              <w:pStyle w:val="TableText"/>
            </w:pPr>
            <w:r>
              <w:t xml:space="preserve">Burndown</w:t>
            </w:r>
          </w:p>
        </w:tc>
        <w:tc>
          <w:tcPr>
            <w:tcW w:w="3102" w:type="dxa"/>
          </w:tcPr>
          <w:p>
            <w:pPr>
              <w:pStyle w:val="TableText"/>
            </w:pPr>
            <w:r>
              <w:t xml:space="preserve">Restaufwand im Sprint</w:t>
            </w:r>
          </w:p>
        </w:tc>
        <w:tc>
          <w:tcPr>
            <w:tcW w:w="3102" w:type="dxa"/>
          </w:tcPr>
          <w:p>
            <w:pPr>
              <w:pStyle w:val="TableText"/>
            </w:pPr>
            <w:r>
              <w:t xml:space="preserve">Story Points (sonst Anzahl) der unerledigten Sprint-Aufgaben je Tag</w:t>
            </w:r>
          </w:p>
        </w:tc>
      </w:tr>
      <w:tr>
        <w:tc>
          <w:tcPr>
            <w:tcW w:w="3102" w:type="dxa"/>
          </w:tcPr>
          <w:p>
            <w:pPr>
              <w:pStyle w:val="TableText"/>
            </w:pPr>
            <w:r>
              <w:t xml:space="preserve">Durchsatz</w:t>
            </w:r>
          </w:p>
        </w:tc>
        <w:tc>
          <w:tcPr>
            <w:tcW w:w="3102" w:type="dxa"/>
          </w:tcPr>
          <w:p>
            <w:pPr>
              <w:pStyle w:val="TableText"/>
            </w:pPr>
            <w:r>
              <w:t xml:space="preserve">Tempo des Teams</w:t>
            </w:r>
          </w:p>
        </w:tc>
        <w:tc>
          <w:tcPr>
            <w:tcW w:w="3102" w:type="dxa"/>
          </w:tcPr>
          <w:p>
            <w:pPr>
              <w:pStyle w:val="TableText"/>
            </w:pPr>
            <w:r>
              <w:t xml:space="preserve">Angelegte und erledigte Aufgaben je Kalenderwoche</w:t>
            </w:r>
          </w:p>
        </w:tc>
      </w:tr>
    </w:tbl>
    <w:p>
      <w:pPr>
        <w:spacing w:before="0" w:after="80"/>
      </w:pPr>
    </w:p>
    <w:p>
      <w:r>
        <w:br w:type="page"/>
      </w:r>
    </w:p>
    <w:p>
      <w:pPr>
        <w:pStyle w:val="Heading1"/>
      </w:pPr>
      <w:r>
        <w:t xml:space="preserve">Trafag Reddit</w:t>
      </w:r>
    </w:p>
    <w:p>
      <w:r>
        <w:t xml:space="preserve">Trafag Reddit ist das interne Forum des Cockpits. Hier ist Platz für alles, was in SharePoint keinen Ort findet: Fragen an Kolleginnen und Kollegen, Ideen und Verbesserungen, SAP- und Excel-Tipps, lesenswerte Links, der Marktplatz und Themen rund um Kantine und Freizeit. Es verbindet zwei bekannte Vorbilder: von Reddit die Communities, das Abstimmen mit Pfeil hoch und Pfeil runter und die verschachtelten Kommentare, von StackOverflow die Fragen mit akzeptierter Antwort, die Tags und die Reputation. Der Reiter liegt auf oberster Menüebene und ist für alle sichtbar. Geschrieben wird immer mit dem eigenen Windows-Namen; ohne Windows-Anmeldung kann man nur lesen.</w:t>
      </w:r>
    </w:p>
    <w:p>
      <w:pPr>
        <w:pStyle w:val="Heading2"/>
      </w:pPr>
      <w:r>
        <w:t xml:space="preserve">Startseite und Feed</w:t>
      </w:r>
    </w:p>
    <w:p>
      <w:pPr>
        <w:pStyle w:val="Heading3"/>
      </w:pPr>
      <w:r>
        <w:t xml:space="preserve">Wozu</w:t>
      </w:r>
    </w:p>
    <w:p>
      <w:r>
        <w:t xml:space="preserve">Der Feed zeigt alle Beiträge, die besten zuoberst. Wer eine Frage hat, sieht zuerst, ob es dazu schon eine Antwort gibt; wer eine Idee hat, sieht, ob andere sie unterstützen.</w:t>
      </w:r>
    </w:p>
    <w:p>
      <w:pPr>
        <w:pStyle w:val="Heading3"/>
      </w:pPr>
      <w:r>
        <w:t xml:space="preserve">Was man sieht</w:t>
      </w:r>
    </w:p>
    <w:p>
      <w:r>
        <w:t xml:space="preserve">Oben ein orangefarbenes Band mit Suche, der Schaltfläche „Beitrag erstellen“ und Zahlen zu Beiträgen, Kommentaren, Stimmen, Mitwirkenden und offenen Fragen. Darunter die Sortierleiste: Angesagt, Neu, Top (mit Zeitraum Heute bis Seit Beginn), Aktiv, Offene Fragen und Kontrovers. Jeder Beitrag ist eine Karte mit den Abstimmungspfeilen links, der Community, der Art (Diskussion, Frage, Link, Idee; eine Frage mit akzeptierter Antwort heisst „Gelöst“), dem Titel, einer Vorschau des Textes, den Tags, dem Namen mit Stufe und Reputation sowie der Zahl der Kommentare und Aufrufe. Rechts die eigene Reputation mit Fortschrittsbalken zur nächsten Stufe, die Liste der Communities, die Ruhmeshalle der Mitwirkenden mit der höchsten Reputation, beliebte Tags und die Spielregeln.</w:t>
      </w:r>
    </w:p>
    <w:p>
      <w:pPr>
        <w:pStyle w:val="Heading3"/>
      </w:pPr>
      <w:r>
        <w:t xml:space="preserve">Wie gerechnet wird</w:t>
      </w:r>
    </w:p>
    <w:p>
      <w:pPr>
        <w:pStyle w:val="ListBullet"/>
        <w:numPr>
          <w:ilvl w:val="0"/>
          <w:numId w:val="1"/>
        </w:numPr>
      </w:pPr>
      <w:r>
        <w:rPr>
          <w:b/>
        </w:rPr>
        <w:t xml:space="preserve">Punkte eines Beitrags:</w:t>
      </w:r>
      <w:r>
        <w:t xml:space="preserve"> Stimmen hoch minus Stimmen runter. Ein zweiter Klick auf denselben Pfeil nimmt die eigene Stimme zurück. Für eigene Beiträge kann man nicht abstimmen.</w:t>
      </w:r>
    </w:p>
    <w:p>
      <w:pPr>
        <w:pStyle w:val="ListBullet"/>
        <w:numPr>
          <w:ilvl w:val="0"/>
          <w:numId w:val="1"/>
        </w:numPr>
      </w:pPr>
      <w:r>
        <w:rPr>
          <w:b/>
        </w:rPr>
        <w:t xml:space="preserve">Angesagt:</w:t>
      </w:r>
      <w:r>
        <w:t xml:space="preserve"> wie bei Reddit. Der Zehnerlogarithmus der Punkte plus das Alter, wobei 12,5 Stunden so viel wiegen wie eine Zehnerpotenz an Punkten. Neue Beiträge mit wenigen Stimmen stehen so eine Weile oben, alte rutschen nach unten. Angeheftete Beiträge stehen immer zuerst.</w:t>
      </w:r>
    </w:p>
    <w:p>
      <w:pPr>
        <w:pStyle w:val="ListBullet"/>
        <w:numPr>
          <w:ilvl w:val="0"/>
          <w:numId w:val="1"/>
        </w:numPr>
      </w:pPr>
      <w:r>
        <w:rPr>
          <w:b/>
        </w:rPr>
        <w:t xml:space="preserve">Top:</w:t>
      </w:r>
      <w:r>
        <w:t xml:space="preserve"> nach Punkten im gewählten Zeitraum.</w:t>
      </w:r>
    </w:p>
    <w:p>
      <w:pPr>
        <w:pStyle w:val="ListBullet"/>
        <w:numPr>
          <w:ilvl w:val="0"/>
          <w:numId w:val="1"/>
        </w:numPr>
      </w:pPr>
      <w:r>
        <w:rPr>
          <w:b/>
        </w:rPr>
        <w:t xml:space="preserve">Aktiv:</w:t>
      </w:r>
      <w:r>
        <w:t xml:space="preserve"> nach der letzten Aktivität (neuer Kommentar, akzeptierte Antwort).</w:t>
      </w:r>
    </w:p>
    <w:p>
      <w:pPr>
        <w:pStyle w:val="ListBullet"/>
        <w:numPr>
          <w:ilvl w:val="0"/>
          <w:numId w:val="1"/>
        </w:numPr>
      </w:pPr>
      <w:r>
        <w:rPr>
          <w:b/>
        </w:rPr>
        <w:t xml:space="preserve">Offene Fragen:</w:t>
      </w:r>
      <w:r>
        <w:t xml:space="preserve"> Fragen ohne akzeptierte Antwort, die mit den wenigsten Kommentaren zuerst.</w:t>
      </w:r>
    </w:p>
    <w:p>
      <w:pPr>
        <w:pStyle w:val="ListBullet"/>
        <w:numPr>
          <w:ilvl w:val="0"/>
          <w:numId w:val="1"/>
        </w:numPr>
      </w:pPr>
      <w:r>
        <w:rPr>
          <w:b/>
        </w:rPr>
        <w:t xml:space="preserve">Kontrovers:</w:t>
      </w:r>
      <w:r>
        <w:t xml:space="preserve"> viele Stimmen, beide Seiten ähnlich stark.</w:t>
      </w:r>
    </w:p>
    <w:p>
      <w:pPr>
        <w:pStyle w:val="ListBullet"/>
        <w:numPr>
          <w:ilvl w:val="0"/>
          <w:numId w:val="1"/>
        </w:numPr>
      </w:pPr>
      <w:r>
        <w:rPr>
          <w:b/>
        </w:rPr>
        <w:t xml:space="preserve">Suche:</w:t>
      </w:r>
      <w:r>
        <w:t xml:space="preserve"> alle eingegebenen Wörter müssen in Titel, Text, Tags oder Autorname vorkommen.</w:t>
      </w:r>
    </w:p>
    <w:p>
      <w:pPr>
        <w:pStyle w:val="Heading3"/>
      </w:pPr>
      <w:r>
        <w:t xml:space="preserve">Einsatz im Arbeitsalltag</w:t>
      </w:r>
    </w:p>
    <w:p>
      <w:pPr>
        <w:pStyle w:val="ListBullet"/>
        <w:numPr>
          <w:ilvl w:val="0"/>
          <w:numId w:val="1"/>
        </w:numPr>
      </w:pPr>
      <w:r>
        <w:rPr>
          <w:b/>
        </w:rPr>
        <w:t xml:space="preserve">Alle Mitarbeitenden:</w:t>
      </w:r>
      <w:r>
        <w:t xml:space="preserve"> Erst suchen, dann fragen. Beim Tippen des Titels zeigt das Formular ähnliche Beiträge.</w:t>
      </w:r>
    </w:p>
    <w:p>
      <w:pPr>
        <w:pStyle w:val="ListBullet"/>
        <w:numPr>
          <w:ilvl w:val="0"/>
          <w:numId w:val="1"/>
        </w:numPr>
      </w:pPr>
      <w:r>
        <w:rPr>
          <w:b/>
        </w:rPr>
        <w:t xml:space="preserve">Fachspezialisten (SAP, IT, Einkauf):</w:t>
      </w:r>
      <w:r>
        <w:t xml:space="preserve"> Unter „Offene Fragen“ nachsehen, wo eine Antwort fehlt; gute Antworten bringen Reputation.</w:t>
      </w:r>
    </w:p>
    <w:p>
      <w:pPr>
        <w:pStyle w:val="ListBullet"/>
        <w:numPr>
          <w:ilvl w:val="0"/>
          <w:numId w:val="1"/>
        </w:numPr>
      </w:pPr>
      <w:r>
        <w:rPr>
          <w:b/>
        </w:rPr>
        <w:t xml:space="preserve">Abteilungsleiter und Geschäftsleitung:</w:t>
      </w:r>
      <w:r>
        <w:t xml:space="preserve"> Unter „Ideen“ mit „Top“ sehen, welche Verbesserungen die meisten Stimmen haben.</w:t>
      </w:r>
    </w:p>
    <w:p>
      <w:pPr>
        <w:pStyle w:val="Heading3"/>
      </w:pPr>
      <w:r>
        <w:t xml:space="preserve">Grenzen und Fallstricke</w:t>
      </w:r>
    </w:p>
    <w:p>
      <w:r>
        <w:t xml:space="preserve">Die Inhalte sind für alle im Cockpit sichtbar. Vertrauliche Kunden-, Personal- oder Finanzdaten gehören nicht hinein. Es gibt keine Benachrichtigung per Mail; neue Beiträge sieht man beim nächsten Besuch, offene Seiten zeigen einen Hinweis „Neues im Forum“. Bilder und Dateianhänge sind nicht vorgesehen, Links schon.</w:t>
      </w:r>
    </w:p>
    <w:p>
      <w:pPr>
        <w:pStyle w:val="Heading2"/>
      </w:pPr>
      <w:r>
        <w:t xml:space="preserve">Beitrag und Antworten</w:t>
      </w:r>
    </w:p>
    <w:p>
      <w:pPr>
        <w:pStyle w:val="Heading3"/>
      </w:pPr>
      <w:r>
        <w:t xml:space="preserve">Wozu</w:t>
      </w:r>
    </w:p>
    <w:p>
      <w:r>
        <w:t xml:space="preserve">Auf der Beitragsseite wird diskutiert und geantwortet. Bei Fragen markiert die fragende Person die Antwort, die geholfen hat.</w:t>
      </w:r>
    </w:p>
    <w:p>
      <w:pPr>
        <w:pStyle w:val="Heading3"/>
      </w:pPr>
      <w:r>
        <w:t xml:space="preserve">Was man sieht</w:t>
      </w:r>
    </w:p>
    <w:p>
      <w:r>
        <w:t xml:space="preserve">Titel, Autor, der vollständige Text mit Formatierung, ein Link als Karte, Tags und darunter die Aktionen Speichern, Teilen (kopiert den Link), Bearbeiten und Löschen (nur eigene Beiträge). Darunter das Antwortfeld und die Kommentare als Baum. Jede Ebene hat eine Linie, mit der man den Zweig einklappt. Die akzeptierte Antwort steht grün umrandet zuoberst. Die Autorin oder der Autor des Beitrags ist bei den Kommentaren mit „OP“ markiert.</w:t>
      </w:r>
    </w:p>
    <w:p>
      <w:pPr>
        <w:pStyle w:val="Heading3"/>
      </w:pPr>
      <w:r>
        <w:t xml:space="preserve">Wie gerechnet wird</w:t>
      </w:r>
    </w:p>
    <w:p>
      <w:pPr>
        <w:pStyle w:val="ListBullet"/>
        <w:numPr>
          <w:ilvl w:val="0"/>
          <w:numId w:val="1"/>
        </w:numPr>
      </w:pPr>
      <w:r>
        <w:rPr>
          <w:b/>
        </w:rPr>
        <w:t xml:space="preserve">Reihenfolge der Kommentare:</w:t>
      </w:r>
      <w:r>
        <w:t xml:space="preserve"> akzeptierte Antwort zuerst, dann nach der Wilson-Untergrenze der Stimmen (wie Reddit „Beste“). Ein Kommentar mit 50 Stimmen hoch und 2 runter steht vor einem mit 3 zu 0.</w:t>
      </w:r>
    </w:p>
    <w:p>
      <w:pPr>
        <w:pStyle w:val="ListBullet"/>
        <w:numPr>
          <w:ilvl w:val="0"/>
          <w:numId w:val="1"/>
        </w:numPr>
      </w:pPr>
      <w:r>
        <w:rPr>
          <w:b/>
        </w:rPr>
        <w:t xml:space="preserve">Reputation:</w:t>
      </w:r>
      <w:r>
        <w:t xml:space="preserve"> Jede Stimme hoch für einen eigenen Beitrag oder Kommentar gibt 10 Punkte, jede Stimme runter kostet 2. Eine akzeptierte Antwort gibt der antwortenden Person 15 Punkte und der fragenden 2. Nie unter 0.</w:t>
      </w:r>
    </w:p>
    <w:p>
      <w:pPr>
        <w:pStyle w:val="ListBullet"/>
        <w:numPr>
          <w:ilvl w:val="0"/>
          <w:numId w:val="1"/>
        </w:numPr>
      </w:pPr>
      <w:r>
        <w:rPr>
          <w:b/>
        </w:rPr>
        <w:t xml:space="preserve">Stufen:</w:t>
      </w:r>
      <w:r>
        <w:t xml:space="preserve"> Neuling unter 50, Mitglied ab 50, Kenner ab 200, Experte ab 1000, Legende ab 5000 Punkten.</w:t>
      </w:r>
    </w:p>
    <w:p>
      <w:pPr>
        <w:pStyle w:val="ListBullet"/>
        <w:numPr>
          <w:ilvl w:val="0"/>
          <w:numId w:val="1"/>
        </w:numPr>
      </w:pPr>
      <w:r>
        <w:rPr>
          <w:b/>
        </w:rPr>
        <w:t xml:space="preserve">Aufrufe:</w:t>
      </w:r>
      <w:r>
        <w:t xml:space="preserve"> jeder Besuch der Beitragsseite zählt einmal.</w:t>
      </w:r>
    </w:p>
    <w:p>
      <w:pPr>
        <w:pStyle w:val="Heading3"/>
      </w:pPr>
      <w:r>
        <w:t xml:space="preserve">Einsatz im Arbeitsalltag</w:t>
      </w:r>
    </w:p>
    <w:p>
      <w:pPr>
        <w:pStyle w:val="ListBullet"/>
        <w:numPr>
          <w:ilvl w:val="0"/>
          <w:numId w:val="1"/>
        </w:numPr>
      </w:pPr>
      <w:r>
        <w:rPr>
          <w:b/>
        </w:rPr>
        <w:t xml:space="preserve">Fragende:</w:t>
      </w:r>
      <w:r>
        <w:t xml:space="preserve"> Wenn eine Antwort geholfen hat, mit dem Haken akzeptieren. So sehen andere sofort die Lösung, und die Frage verschwindet aus „Offene Fragen“.</w:t>
      </w:r>
    </w:p>
    <w:p>
      <w:pPr>
        <w:pStyle w:val="ListBullet"/>
        <w:numPr>
          <w:ilvl w:val="0"/>
          <w:numId w:val="1"/>
        </w:numPr>
      </w:pPr>
      <w:r>
        <w:rPr>
          <w:b/>
        </w:rPr>
        <w:t xml:space="preserve">Antwortende:</w:t>
      </w:r>
      <w:r>
        <w:t xml:space="preserve"> Kurz, konkret, mit Transaktion oder Menüpfad. Formatierung: </w:t>
      </w:r>
      <w:r>
        <w:rPr>
          <w:b/>
        </w:rPr>
        <w:t xml:space="preserve">fett</w:t>
      </w:r>
      <w:r>
        <w:t xml:space="preserve">, *kursiv*, - Liste, &gt; Zitat, Code in Backticks und Links als [Text](https://...).</w:t>
      </w:r>
    </w:p>
    <w:p>
      <w:pPr>
        <w:pStyle w:val="Heading3"/>
      </w:pPr>
      <w:r>
        <w:t xml:space="preserve">Grenzen und Fallstricke</w:t>
      </w:r>
    </w:p>
    <w:p>
      <w:r>
        <w:t xml:space="preserve">Gelöschte Kommentare mit Antworten bleiben als „[gelöscht]“ stehen, damit der Faden lesbar bleibt. Bearbeitete Beiträge tragen den Vermerk „bearbeitet“, eine Änderungshistorie gibt es nicht. Anheften und das Löschen fremder Beiträge sind Admins vorbehalten (Admin-Passwort entsperrt).</w:t>
      </w:r>
    </w:p>
    <w:p>
      <w:pPr>
        <w:pStyle w:val="Heading2"/>
      </w:pPr>
      <w:r>
        <w:t xml:space="preserve">Communities</w:t>
      </w:r>
    </w:p>
    <w:p>
      <w:pPr>
        <w:pStyle w:val="Heading3"/>
      </w:pPr>
      <w:r>
        <w:t xml:space="preserve">Wozu</w:t>
      </w:r>
    </w:p>
    <w:p>
      <w:r>
        <w:t xml:space="preserve">Communities ordnen die Beiträge nach Thema, damit man nur sieht, was einen interessiert.</w:t>
      </w:r>
    </w:p>
    <w:p>
      <w:pPr>
        <w:pStyle w:val="Heading3"/>
      </w:pPr>
      <w:r>
        <w:t xml:space="preserve">Was man sieht</w:t>
      </w:r>
    </w:p>
    <w:p>
      <w:r>
        <w:t xml:space="preserve">Zu Beginn gibt es acht Communities: Allgemein, Fragen &amp; Antworten, Ideen &amp; Verbesserungen, SAP-Tipps, IT &amp; Tools, Fundstücke &amp; Links, Marktplatz, Kantine &amp; Freizeit. Jede hat eine Farbe, ein Symbol und eine Kurzadresse wie r/sap. Wer angemeldet ist, kann mit dem Plus eine neue Community anlegen (Name, Beschreibung, Symbol, Farbe).</w:t>
      </w:r>
    </w:p>
    <w:p>
      <w:pPr>
        <w:pStyle w:val="Heading3"/>
      </w:pPr>
      <w:r>
        <w:t xml:space="preserve">Wie gerechnet wird</w:t>
      </w:r>
    </w:p>
    <w:p>
      <w:pPr>
        <w:pStyle w:val="ListBullet"/>
        <w:numPr>
          <w:ilvl w:val="0"/>
          <w:numId w:val="1"/>
        </w:numPr>
      </w:pPr>
      <w:r>
        <w:rPr>
          <w:b/>
        </w:rPr>
        <w:t xml:space="preserve">Beiträge:</w:t>
      </w:r>
      <w:r>
        <w:t xml:space="preserve"> Anzahl nicht gelöschter Beiträge der Community.</w:t>
      </w:r>
    </w:p>
    <w:p>
      <w:pPr>
        <w:pStyle w:val="ListBullet"/>
        <w:numPr>
          <w:ilvl w:val="0"/>
          <w:numId w:val="1"/>
        </w:numPr>
      </w:pPr>
      <w:r>
        <w:rPr>
          <w:b/>
        </w:rPr>
        <w:t xml:space="preserve">Mitwirkende:</w:t>
      </w:r>
      <w:r>
        <w:t xml:space="preserve"> Anzahl verschiedener Personen, die dort geschrieben oder kommentiert haben.</w:t>
      </w:r>
    </w:p>
    <w:p>
      <w:pPr>
        <w:pStyle w:val="Heading3"/>
      </w:pPr>
      <w:r>
        <w:t xml:space="preserve">Einsatz im Arbeitsalltag</w:t>
      </w:r>
    </w:p>
    <w:p>
      <w:pPr>
        <w:pStyle w:val="ListBullet"/>
        <w:numPr>
          <w:ilvl w:val="0"/>
          <w:numId w:val="1"/>
        </w:numPr>
      </w:pPr>
      <w:r>
        <w:rPr>
          <w:b/>
        </w:rPr>
        <w:t xml:space="preserve">Teams und Abteilungen:</w:t>
      </w:r>
      <w:r>
        <w:t xml:space="preserve"> Für wiederkehrende Themen eine eigene Community anlegen, zum Beispiel für Lean, 5S oder ein Projekt.</w:t>
      </w:r>
    </w:p>
    <w:p>
      <w:pPr>
        <w:pStyle w:val="Heading3"/>
      </w:pPr>
      <w:r>
        <w:t xml:space="preserve">Grenzen und Fallstricke</w:t>
      </w:r>
    </w:p>
    <w:p>
      <w:r>
        <w:t xml:space="preserve">Doppelte Namen sind nicht möglich. Communities lassen sich in der Oberfläche nicht umbenennen oder löschen; das erledigt bei Bedarf ein Admin.</w:t>
      </w:r>
    </w:p>
    <w:p>
      <w:r>
        <w:br w:type="page"/>
      </w:r>
    </w:p>
    <w:p>
      <w:pPr>
        <w:pStyle w:val="Heading1"/>
      </w:pPr>
      <w:r>
        <w:t xml:space="preserve">Operations</w:t>
      </w:r>
    </w:p>
    <w:p>
      <w:r>
        <w:t xml:space="preserve">Der Reiter Operations bündelt die Steuerung der Produktion. Unter </w:t>
      </w:r>
      <w:r>
        <w:rPr>
          <w:b/>
        </w:rPr>
        <w:t xml:space="preserve">KPI</w:t>
      </w:r>
      <w:r>
        <w:t xml:space="preserve"> stehen die Kennzahlen der Operations, zuerst die Liefertreue der Trafag AG (Verkaufsorganisation 1100) mit OTD, OTIF und OTP. Unter </w:t>
      </w:r>
      <w:r>
        <w:rPr>
          <w:b/>
        </w:rPr>
        <w:t xml:space="preserve">Shopfloor</w:t>
      </w:r>
      <w:r>
        <w:t xml:space="preserve"> liegt das digitale Shop-Floor-Board, das die Excel-Datei „PPA-Shop-Floor-File“ ersetzt: Pendenzen, Abteilungswerte, Rückstandslisten, Fehlteile, Forecast und die Auslastungsgrafik für das tägliche Shop-Floor-Meeting. Hauptnutzer sind die Leitung Operations, die Produktionsplanung (PPD), die Abteilungsleiter und Teamleiter der Produktion, Einkauf, Verkauf und Logistik. Der Zugang läuft über eine eigene Anmeldung (Benutzer „operations“) oder ein freigegebenes Windows-Konto. Die Liefertreue kommt monatlich direkt aus SAP, das Shopfloor wird werktags um 04:00 und 12:45 Uhr aus SAP ergänzt und sonst im Meeting von Hand gepflegt.</w:t>
      </w:r>
    </w:p>
    <w:p>
      <w:pPr>
        <w:pStyle w:val="Heading2"/>
      </w:pPr>
      <w:r>
        <w:t xml:space="preserve">KPI Übersicht</w:t>
      </w:r>
    </w:p>
    <w:p>
      <w:pPr>
        <w:pStyle w:val="Heading3"/>
      </w:pPr>
      <w:r>
        <w:t xml:space="preserve">Wozu</w:t>
      </w:r>
    </w:p>
    <w:p>
      <w:r>
        <w:t xml:space="preserve">Die Übersicht ist der Einstieg in die Operations-Kennzahlen. Sie zeigt die drei Liefertreue-Werte auf einen Blick und führt per Klick zum ausführlichen Report. Weitere Operations-Kennzahlen kommen später dazu; ihren Inhalt legt die Leitung Supply Chain Operations fest.</w:t>
      </w:r>
    </w:p>
    <w:p>
      <w:pPr>
        <w:pStyle w:val="Heading3"/>
      </w:pPr>
      <w:r>
        <w:t xml:space="preserve">Was man sieht</w:t>
      </w:r>
    </w:p>
    <w:p>
      <w:pPr>
        <w:pStyle w:val="ListBullet"/>
        <w:numPr>
          <w:ilvl w:val="0"/>
          <w:numId w:val="1"/>
        </w:numPr>
      </w:pPr>
      <w:r>
        <w:t xml:space="preserve">Drei Kacheln OTD, OTIF und OTP mit dem Wert mit Toleranz, darunter der Wert ohne Toleranz und die Basis (Anzahl Positionen bzw. Aufträge).</w:t>
      </w:r>
    </w:p>
    <w:p>
      <w:pPr>
        <w:pStyle w:val="ListBullet"/>
        <w:numPr>
          <w:ilvl w:val="0"/>
          <w:numId w:val="1"/>
        </w:numPr>
      </w:pPr>
      <w:r>
        <w:t xml:space="preserve">Die Quelle und der Stand, zum Beispiel „SAP 14.10.2026“, sowie die Werte des Berichtsmonats.</w:t>
      </w:r>
    </w:p>
    <w:p>
      <w:pPr>
        <w:pStyle w:val="ListBullet"/>
        <w:numPr>
          <w:ilvl w:val="0"/>
          <w:numId w:val="1"/>
        </w:numPr>
      </w:pPr>
      <w:r>
        <w:t xml:space="preserve">Den Bereich „Abruf aus SAP“ mit den gespeicherten Monatsständen und einem Knopf, der den Abruf sofort startet.</w:t>
      </w:r>
    </w:p>
    <w:p>
      <w:pPr>
        <w:pStyle w:val="ListBullet"/>
        <w:numPr>
          <w:ilvl w:val="0"/>
          <w:numId w:val="1"/>
        </w:numPr>
      </w:pPr>
      <w:r>
        <w:t xml:space="preserve">Die Tabelle </w:t>
      </w:r>
      <w:r>
        <w:rPr>
          <w:b/>
        </w:rPr>
        <w:t xml:space="preserve">Ausschlüsse</w:t>
      </w:r>
      <w:r>
        <w:t xml:space="preserve">: Kunden und Materialien, die nicht in die Kennzahlen einfliessen.</w:t>
      </w:r>
    </w:p>
    <w:p>
      <w:pPr>
        <w:pStyle w:val="Heading3"/>
      </w:pPr>
      <w:r>
        <w:t xml:space="preserve">Wie gerechnet wird</w:t>
      </w:r>
    </w:p>
    <w:p>
      <w:r>
        <w:t xml:space="preserve">Die Kacheln zeigen dieselben Zahlen wie der Report (siehe nächster Abschnitt). Der Abruf läuft automatisch ab dem 2. Kalendertag jedes Monats für den Zeitraum 1. Januar bis Ende Vormonat und dauert einige Minuten. Solange der Vormonat fehlt, versucht die App es alle zwei Stunden erneut, auch nach einem Neustart. Jeder Versuch wird gespeichert und steht in den Admin-Logs unter „Operations KPI“. Fehlt der Vormonat ab dem 3. noch immer, erscheint auf der Übersicht und im Report ein roter Warnhinweis. Pro Berichtsmonat wird ein Stand gespeichert; ein neuer Abruf ersetzt den Stand desselben Monats.</w:t>
      </w:r>
    </w:p>
    <w:p>
      <w:pPr>
        <w:pStyle w:val="Heading3"/>
      </w:pPr>
      <w:r>
        <w:t xml:space="preserve">Einsatz im Arbeitsalltag</w:t>
      </w:r>
    </w:p>
    <w:p>
      <w:r>
        <w:rPr>
          <w:b/>
        </w:rPr>
        <w:t xml:space="preserve">Leitung Operations:</w:t>
      </w:r>
      <w:r>
        <w:t xml:space="preserve"> Anfang Monat die Liefertreue des Vormonats prüfen und für das Monatsgespräch übernehmen. </w:t>
      </w:r>
      <w:r>
        <w:rPr>
          <w:b/>
        </w:rPr>
        <w:t xml:space="preserve">Supply Chain:</w:t>
      </w:r>
      <w:r>
        <w:t xml:space="preserve"> Ausschlüsse pflegen, etwa wenn eine neue Konzerngesellschaft als Kunde dazukommt. Eine Änderung an den Ausschlüssen wirkt erst ab dem nächsten Abruf; wer sie sofort sehen will, startet den Abruf von Hand.</w:t>
      </w:r>
    </w:p>
    <w:p>
      <w:pPr>
        <w:pStyle w:val="Heading3"/>
      </w:pPr>
      <w:r>
        <w:t xml:space="preserve">Grenzen und Fallstricke</w:t>
      </w:r>
    </w:p>
    <w:p>
      <w:r>
        <w:t xml:space="preserve">Konzerninterne Kunden (Trafag CZ, Trafag Controls India) und GFS Germany sind ausgeschlossen, ebenso Zertifikate nach EN 10204, die das System am Materialtext erkennt. Wer einen Ausschluss löscht, verändert die Vergleichbarkeit mit früheren Monaten. Der Abruf braucht in SAP die Berechtigung des technischen Cockpit-Benutzers für die Liefertreue-Abfrage; fehlt sie, meldet die Seite den Grund und zeigt weiter den letzten gültigen Stand.</w:t>
      </w:r>
    </w:p>
    <w:p>
      <w:pPr>
        <w:pStyle w:val="Heading2"/>
      </w:pPr>
      <w:r>
        <w:t xml:space="preserve">OTD / OTIF / OTP</w:t>
      </w:r>
    </w:p>
    <w:p>
      <w:pPr>
        <w:pStyle w:val="Heading3"/>
      </w:pPr>
      <w:r>
        <w:t xml:space="preserve">Wozu</w:t>
      </w:r>
    </w:p>
    <w:p>
      <w:r>
        <w:t xml:space="preserve">Der Report beantwortet, wie zuverlässig die Trafag AG ihre Zusagen an die Kunden einhält: pünktlich gegenüber dem bestätigten Termin (OTD), vollständig und pünktlich pro Auftrag (OTIF) und gegenüber dem Wunschtermin des Kunden (OTP). Er ersetzt den monatlichen Liefertreue-Report als PDF und Excel.</w:t>
      </w:r>
    </w:p>
    <w:p>
      <w:pPr>
        <w:pStyle w:val="Heading3"/>
      </w:pPr>
      <w:r>
        <w:t xml:space="preserve">Was man sieht</w:t>
      </w:r>
    </w:p>
    <w:p>
      <w:pPr>
        <w:pStyle w:val="ListBullet"/>
        <w:numPr>
          <w:ilvl w:val="0"/>
          <w:numId w:val="1"/>
        </w:numPr>
      </w:pPr>
      <w:r>
        <w:t xml:space="preserve">Vier Kacheln: OTD, OTIF, OTP und „Nicht pünktlich (OTD)“ mit dem durchschnittlichen Verzug in Arbeitstagen.</w:t>
      </w:r>
    </w:p>
    <w:p>
      <w:pPr>
        <w:pStyle w:val="ListBullet"/>
        <w:numPr>
          <w:ilvl w:val="0"/>
          <w:numId w:val="1"/>
        </w:numPr>
      </w:pPr>
      <w:r>
        <w:t xml:space="preserve">Ein Diagramm mit drei Säulen je Monat (OTD blau, OTIF orange, OTP grün); der Wert ohne Toleranz ist als gestrichelte Marke eingezeichnet.</w:t>
      </w:r>
    </w:p>
    <w:p>
      <w:pPr>
        <w:pStyle w:val="ListBullet"/>
        <w:numPr>
          <w:ilvl w:val="0"/>
          <w:numId w:val="1"/>
        </w:numPr>
      </w:pPr>
      <w:r>
        <w:t xml:space="preserve">Die Monatstabelle mit fälligen Positionen, pünktlichen Positionen, fälligen und kompletten Aufträgen, Positionen nach Wunschtermin und den zu früh gelieferten Positionen.</w:t>
      </w:r>
    </w:p>
    <w:p>
      <w:pPr>
        <w:pStyle w:val="ListBullet"/>
        <w:numPr>
          <w:ilvl w:val="0"/>
          <w:numId w:val="1"/>
        </w:numPr>
      </w:pPr>
      <w:r>
        <w:rPr>
          <w:b/>
        </w:rPr>
        <w:t xml:space="preserve">OTP nach Machbarkeit:</w:t>
      </w:r>
      <w:r>
        <w:t xml:space="preserve"> ob der Wunschtermin des Kunden überhaupt realistisch war, mit Tabelle je Produktgruppe.</w:t>
      </w:r>
    </w:p>
    <w:p>
      <w:pPr>
        <w:pStyle w:val="ListBullet"/>
        <w:numPr>
          <w:ilvl w:val="0"/>
          <w:numId w:val="1"/>
        </w:numPr>
      </w:pPr>
      <w:r>
        <w:t xml:space="preserve">Die Analyse der verspäteten Positionen nach Verzugsklassen, die Top 10 Kunden und Top 10 Materialien, jeweils als Filter anklickbar.</w:t>
      </w:r>
    </w:p>
    <w:p>
      <w:pPr>
        <w:pStyle w:val="ListBullet"/>
        <w:numPr>
          <w:ilvl w:val="0"/>
          <w:numId w:val="1"/>
        </w:numPr>
      </w:pPr>
      <w:r>
        <w:t xml:space="preserve">Die </w:t>
      </w:r>
      <w:r>
        <w:rPr>
          <w:b/>
        </w:rPr>
        <w:t xml:space="preserve">Abweichungsliste</w:t>
      </w:r>
      <w:r>
        <w:t xml:space="preserve"> aller zu späten oder zu frühen Positionen mit Filter, Sortierung und Export als Excel.</w:t>
      </w:r>
    </w:p>
    <w:p>
      <w:pPr>
        <w:pStyle w:val="Heading3"/>
      </w:pPr>
      <w:r>
        <w:t xml:space="preserve">Wie gerechnet wird</w:t>
      </w:r>
    </w:p>
    <w:p>
      <w:r>
        <w:t xml:space="preserve">Massgebend ist der letzte tatsächliche Warenausgang aller Lieferungen einer Auftragsposition, verglichen mit dem Termin aus dem Auftrag. Gezählt werden Arbeitstage Montag bis Freitag; Feiertage werden bewusst nicht abgezogen. Eine Position ist pünktlich, wenn sie vollständig geliefert ist und der letzte Warenausgang höchstens 4 Arbeitstage nach dem bestätigten Termin liegt (Toleranz für feste Liefertage). Jede Kennzahl gibt es zusätzlich ohne Toleranz, also auf den Tag genau. Offene oder teilgelieferte fällige Positionen zählen als nicht pünktlich. OTIF zählt einen Auftrag erst, wenn alle seine Positionen fällig sind, und nur dann als pünktlich, wenn jede Position pünktlich ist. OTP rechnet wie OTD, aber gegen den Wunschtermin. Zu früh ist eine Position, die 5 oder mehr Arbeitstage vor dem bestätigten Termin ausgeliefert wurde.</w:t>
      </w:r>
    </w:p>
    <w:p>
      <w:pPr>
        <w:pStyle w:val="Heading3"/>
      </w:pPr>
      <w:r>
        <w:t xml:space="preserve">Einsatz im Arbeitsalltag</w:t>
      </w:r>
    </w:p>
    <w:p>
      <w:r>
        <w:rPr>
          <w:b/>
        </w:rPr>
        <w:t xml:space="preserve">Leitung Operations und Geschäftsleitung:</w:t>
      </w:r>
      <w:r>
        <w:t xml:space="preserve"> Entwicklung über die Monate verfolgen und mit Zielen vergleichen. </w:t>
      </w:r>
      <w:r>
        <w:rPr>
          <w:b/>
        </w:rPr>
        <w:t xml:space="preserve">Produktionsplanung:</w:t>
      </w:r>
      <w:r>
        <w:t xml:space="preserve"> in der Abweichungsliste die grössten Verzüge nach Material und Kunde suchen und die Ursachen im Shop-Floor-Meeting klären. </w:t>
      </w:r>
      <w:r>
        <w:rPr>
          <w:b/>
        </w:rPr>
        <w:t xml:space="preserve">Verkauf:</w:t>
      </w:r>
      <w:r>
        <w:t xml:space="preserve"> mit „OTP nach Machbarkeit“ zeigen, bei welchen Produktgruppen Kunden Termine wünschen, die kürzer als die übliche Lieferzeit sind. </w:t>
      </w:r>
      <w:r>
        <w:rPr>
          <w:b/>
        </w:rPr>
        <w:t xml:space="preserve">Kundenbetreuung:</w:t>
      </w:r>
      <w:r>
        <w:t xml:space="preserve"> vor einem Kundengespräch die Liste nach dem Kunden filtern.</w:t>
      </w:r>
    </w:p>
    <w:p>
      <w:pPr>
        <w:pStyle w:val="Heading3"/>
      </w:pPr>
      <w:r>
        <w:t xml:space="preserve">Grenzen und Fallstricke</w:t>
      </w:r>
    </w:p>
    <w:p>
      <w:r>
        <w:t xml:space="preserve">Der bestätigte Termin ist ein Liefertermin; bei Export-Positionen mit Transitzeit ist der Vergleich mit dem Warenausgang deshalb grosszügiger, als er für den Kunden wirkt. Fehlt zu einer gelieferten Position der Warenausgang, übernimmt der Report die SAP-Kennzahl „Verzug“; solche Positionen sind in der Liste markiert. Nachbuchungen in SAP können einen bereits berichteten Monat beim nächsten Abruf leicht verändern. Die Werte gelten nur für die Verkaufsorganisation 1100.</w:t>
      </w:r>
    </w:p>
    <w:p>
      <w:pPr>
        <w:pStyle w:val="Heading2"/>
      </w:pPr>
      <w:r>
        <w:t xml:space="preserve">Shopfloor: Startseite und Ablauf</w:t>
      </w:r>
    </w:p>
    <w:p>
      <w:pPr>
        <w:pStyle w:val="Heading3"/>
      </w:pPr>
      <w:r>
        <w:t xml:space="preserve">Wozu</w:t>
      </w:r>
    </w:p>
    <w:p>
      <w:r>
        <w:t xml:space="preserve">Die Startseite führt durch das tägliche Shop-Floor-Meeting. Sie zeigt die Tagesordnung, welche Pflichtpunkte schon erfasst sind und wo es brennt, damit das Meeting in 10 bis 20 Minuten bleibt.</w:t>
      </w:r>
    </w:p>
    <w:p>
      <w:pPr>
        <w:pStyle w:val="Heading3"/>
      </w:pPr>
      <w:r>
        <w:t xml:space="preserve">Was man sieht</w:t>
      </w:r>
    </w:p>
    <w:p>
      <w:pPr>
        <w:pStyle w:val="ListBullet"/>
        <w:numPr>
          <w:ilvl w:val="0"/>
          <w:numId w:val="1"/>
        </w:numPr>
      </w:pPr>
      <w:r>
        <w:t xml:space="preserve">Den </w:t>
      </w:r>
      <w:r>
        <w:rPr>
          <w:b/>
        </w:rPr>
        <w:t xml:space="preserve">Ablauf</w:t>
      </w:r>
      <w:r>
        <w:t xml:space="preserve"> in der Reihenfolge der Tagesordnung, von Highlights über Pendenzen und die Abteilungen SEH, TR5, TX und DW bis Logistik, Einkauf und Verkauf; Pflichtpunkte sind orange markiert.</w:t>
      </w:r>
    </w:p>
    <w:p>
      <w:pPr>
        <w:pStyle w:val="ListBullet"/>
        <w:numPr>
          <w:ilvl w:val="0"/>
          <w:numId w:val="1"/>
        </w:numPr>
      </w:pPr>
      <w:r>
        <w:t xml:space="preserve">Eine Zeitanzeige für das Meeting mit dem Ziel 10 bis 20 Minuten.</w:t>
      </w:r>
    </w:p>
    <w:p>
      <w:pPr>
        <w:pStyle w:val="ListBullet"/>
        <w:numPr>
          <w:ilvl w:val="0"/>
          <w:numId w:val="1"/>
        </w:numPr>
      </w:pPr>
      <w:r>
        <w:t xml:space="preserve">Kacheln mit dem Fortschritt der Pflichtpunkte, den offenen und überfälligen Pendenzen, den Rückständen je Abteilung und der Fehlteile-Kennzahl ZD05.</w:t>
      </w:r>
    </w:p>
    <w:p>
      <w:pPr>
        <w:pStyle w:val="ListBullet"/>
        <w:numPr>
          <w:ilvl w:val="0"/>
          <w:numId w:val="1"/>
        </w:numPr>
      </w:pPr>
      <w:r>
        <w:t xml:space="preserve">Am Freitag eine erweiterte Teilnehmerliste mit GFS, CZ, Masterdata, Qualität und weiteren Bereichen.</w:t>
      </w:r>
    </w:p>
    <w:p>
      <w:pPr>
        <w:pStyle w:val="Heading3"/>
      </w:pPr>
      <w:r>
        <w:t xml:space="preserve">Wie gerechnet wird</w:t>
      </w:r>
    </w:p>
    <w:p>
      <w:r>
        <w:t xml:space="preserve">Ein Pflichtpunkt gilt als erfasst, sobald für den Tag Werte oder Einträge vorliegen. Überfällig ist ein Eintrag, dessen Termin vor heute liegt und dessen Status nicht abgeschlossen ist.</w:t>
      </w:r>
    </w:p>
    <w:p>
      <w:pPr>
        <w:pStyle w:val="Heading3"/>
      </w:pPr>
      <w:r>
        <w:t xml:space="preserve">Einsatz im Arbeitsalltag</w:t>
      </w:r>
    </w:p>
    <w:p>
      <w:r>
        <w:rPr>
          <w:b/>
        </w:rPr>
        <w:t xml:space="preserve">Moderation des Meetings:</w:t>
      </w:r>
      <w:r>
        <w:t xml:space="preserve"> von oben nach unten durch den Ablauf gehen und offene Pflichtpunkte ansprechen. </w:t>
      </w:r>
      <w:r>
        <w:rPr>
          <w:b/>
        </w:rPr>
        <w:t xml:space="preserve">Abteilungsleiter:</w:t>
      </w:r>
      <w:r>
        <w:t xml:space="preserve"> vor dem Meeting die eigenen Werte eintragen, damit die Kachel grün ist.</w:t>
      </w:r>
    </w:p>
    <w:p>
      <w:pPr>
        <w:pStyle w:val="Heading3"/>
      </w:pPr>
      <w:r>
        <w:t xml:space="preserve">Grenzen und Fallstricke</w:t>
      </w:r>
    </w:p>
    <w:p>
      <w:r>
        <w:t xml:space="preserve">Die Startseite zeigt nur, ob etwas erfasst ist, nicht ob es stimmt. Der Ablauf ist fest eingestellt; Änderungen an der Tagesordnung macht die Plattform-Betreuung.</w:t>
      </w:r>
    </w:p>
    <w:p>
      <w:pPr>
        <w:pStyle w:val="Heading2"/>
      </w:pPr>
      <w:r>
        <w:t xml:space="preserve">Shopfloor: Listen (Pendenzen, Rückstände, Anfragen)</w:t>
      </w:r>
    </w:p>
    <w:p>
      <w:pPr>
        <w:pStyle w:val="Heading3"/>
      </w:pPr>
      <w:r>
        <w:t xml:space="preserve">Wozu</w:t>
      </w:r>
    </w:p>
    <w:p>
      <w:r>
        <w:t xml:space="preserve">Die Listen halten fest, was über den Tag hinaus verfolgt werden muss: Pendenzen, Entwicklungsaufträge, Highlights, die Rückstandslisten je Abteilung, die Terminverbesserungsanfragen und Angebote des Verkaufs sowie die Kommunikationstools CZ ↔ CH und Einkauf ↔ Produktion.</w:t>
      </w:r>
    </w:p>
    <w:p>
      <w:pPr>
        <w:pStyle w:val="Heading3"/>
      </w:pPr>
      <w:r>
        <w:t xml:space="preserve">Was man sieht</w:t>
      </w:r>
    </w:p>
    <w:p>
      <w:r>
        <w:t xml:space="preserve">Jede Liste zeigt Einträge mit Nummer, Termin, Zuständigkeit und Status, dazu ein Statusband „im Termin, überfällig, erledigt“. Ein Eintrag lässt sich öffnen, bearbeiten und mit seiner Änderungsgeschichte ansehen. Jede Liste kann als CSV exportiert werden.</w:t>
      </w:r>
    </w:p>
    <w:p>
      <w:pPr>
        <w:pStyle w:val="Heading3"/>
      </w:pPr>
      <w:r>
        <w:t xml:space="preserve">Wie gerechnet wird</w:t>
      </w:r>
    </w:p>
    <w:p>
      <w:r>
        <w:t xml:space="preserve">Neue Einträge bekommen automatisch eine fortlaufende Nummer. Jede Änderung wird mit Windows-Konto und Zeit gespeichert. Gelöschte Einträge verschwinden aus der Liste, bleiben aber in der Datenbank erhalten.</w:t>
      </w:r>
    </w:p>
    <w:p>
      <w:pPr>
        <w:pStyle w:val="Heading3"/>
      </w:pPr>
      <w:r>
        <w:t xml:space="preserve">Einsatz im Arbeitsalltag</w:t>
      </w:r>
    </w:p>
    <w:p>
      <w:r>
        <w:rPr>
          <w:b/>
        </w:rPr>
        <w:t xml:space="preserve">PPD und Abteilungsleiter:</w:t>
      </w:r>
      <w:r>
        <w:t xml:space="preserve"> Rückstände je Kundenauftragsposition besprechen und den geplanten Wareneingang nachführen. </w:t>
      </w:r>
      <w:r>
        <w:rPr>
          <w:b/>
        </w:rPr>
        <w:t xml:space="preserve">Verkauf:</w:t>
      </w:r>
      <w:r>
        <w:t xml:space="preserve"> Terminverbesserungsanfragen erfassen und die Antwort der Produktion verfolgen. </w:t>
      </w:r>
      <w:r>
        <w:rPr>
          <w:b/>
        </w:rPr>
        <w:t xml:space="preserve">Einkauf:</w:t>
      </w:r>
      <w:r>
        <w:t xml:space="preserve"> offene Punkte mit der Produktion im Kommunikationstool klären.</w:t>
      </w:r>
    </w:p>
    <w:p>
      <w:pPr>
        <w:pStyle w:val="Heading3"/>
      </w:pPr>
      <w:r>
        <w:t xml:space="preserve">Grenzen und Fallstricke</w:t>
      </w:r>
    </w:p>
    <w:p>
      <w:r>
        <w:t xml:space="preserve">Bei Zuständigkeitswechseln legt das System eine Mail in den Postausgang; versendet wird sie nicht automatisch, sondern über „In Outlook öffnen“. Die Rückstandslisten sollen künftig aus SAP gefüllt werden; bis dahin werden sie von Hand gepflegt.</w:t>
      </w:r>
    </w:p>
    <w:p>
      <w:pPr>
        <w:pStyle w:val="Heading2"/>
      </w:pPr>
      <w:r>
        <w:t xml:space="preserve">Shopfloor: Abteilungen und Tageswerte</w:t>
      </w:r>
    </w:p>
    <w:p>
      <w:pPr>
        <w:pStyle w:val="Heading3"/>
      </w:pPr>
      <w:r>
        <w:t xml:space="preserve">Wozu</w:t>
      </w:r>
    </w:p>
    <w:p>
      <w:r>
        <w:t xml:space="preserve">Die Abteilungsseiten (SEH, TR5, TX, DW, CZ, MTF, PPD, Logistik, Unterhalt, Verkauf, Sensorbestände) erfassen pro Tag die Kennzahlen, die im Meeting besprochen werden, etwa Auftragsvorrat, offene Menge der laufenden Woche, produzierte Menge, Besetzung und FPY.</w:t>
      </w:r>
    </w:p>
    <w:p>
      <w:pPr>
        <w:pStyle w:val="Heading3"/>
      </w:pPr>
      <w:r>
        <w:t xml:space="preserve">Was man sieht</w:t>
      </w:r>
    </w:p>
    <w:p>
      <w:r>
        <w:t xml:space="preserve">Eine Tabelle mit einer Zeile pro Tag; Werte werden direkt eingetragen und beim Verlassen des Feldes gespeichert. Darüber stehen bis zu vier Verlaufskacheln mit dem Trend der letzten Erfassungen und der Veränderung zum Vortag. Felder, die aus SAP oder dem MES kommen, tragen einen farbigen Punkt.</w:t>
      </w:r>
    </w:p>
    <w:p>
      <w:pPr>
        <w:pStyle w:val="Heading3"/>
      </w:pPr>
      <w:r>
        <w:t xml:space="preserve">Wie gerechnet wird</w:t>
      </w:r>
    </w:p>
    <w:p>
      <w:r>
        <w:t xml:space="preserve">Einige Werte sind berechnet, zum Beispiel Summen über Schichten. Die Abteilung eines Auftrags ergibt sich aus dem Disponenten im Werk 1100: SEH = Disponenten mit S, TR5 = EK, TX = EL, DW = D, CZ = 017 bis 028.</w:t>
      </w:r>
    </w:p>
    <w:p>
      <w:pPr>
        <w:pStyle w:val="Heading3"/>
      </w:pPr>
      <w:r>
        <w:t xml:space="preserve">Einsatz im Arbeitsalltag</w:t>
      </w:r>
    </w:p>
    <w:p>
      <w:r>
        <w:rPr>
          <w:b/>
        </w:rPr>
        <w:t xml:space="preserve">Abteilungsleiter und Teamleiter:</w:t>
      </w:r>
      <w:r>
        <w:t xml:space="preserve"> vor dem Meeting die Tageswerte erfassen. </w:t>
      </w:r>
      <w:r>
        <w:rPr>
          <w:b/>
        </w:rPr>
        <w:t xml:space="preserve">Leitung Operations:</w:t>
      </w:r>
      <w:r>
        <w:t xml:space="preserve"> in den Verlaufskacheln sehen, ob der Auftragsvorrat wächst oder die Produktion hinterherhinkt.</w:t>
      </w:r>
    </w:p>
    <w:p>
      <w:pPr>
        <w:pStyle w:val="Heading3"/>
      </w:pPr>
      <w:r>
        <w:t xml:space="preserve">Grenzen und Fallstricke</w:t>
      </w:r>
    </w:p>
    <w:p>
      <w:r>
        <w:t xml:space="preserve">Aus dem MES kommen nur die FPY-Werte, alle anderen automatischen Werte aus SAP. Solange die Anbindung nicht steht, werden diese Felder von Hand erfasst; die Seite „Schnittstelle SAP / MES“ zeigt, welches Feld woher kommen soll und wie weit das Mapping ist.</w:t>
      </w:r>
    </w:p>
    <w:p>
      <w:pPr>
        <w:pStyle w:val="Heading2"/>
      </w:pPr>
      <w:r>
        <w:t xml:space="preserve">Shopfloor: Fehlteile (ZD05)</w:t>
      </w:r>
    </w:p>
    <w:p>
      <w:pPr>
        <w:pStyle w:val="Heading3"/>
      </w:pPr>
      <w:r>
        <w:t xml:space="preserve">Wozu</w:t>
      </w:r>
    </w:p>
    <w:p>
      <w:r>
        <w:t xml:space="preserve">Die Seite ersetzt den täglichen ZD05-Export aus SAP und zeigt, bei welchen Materialien eine Unterdeckung droht und wie gut der Einkauf die Fehlteile im Griff hat.</w:t>
      </w:r>
    </w:p>
    <w:p>
      <w:pPr>
        <w:pStyle w:val="Heading3"/>
      </w:pPr>
      <w:r>
        <w:t xml:space="preserve">Was man sieht</w:t>
      </w:r>
    </w:p>
    <w:p>
      <w:r>
        <w:t xml:space="preserve">Die Positionen des Tages mit Unterdeckungsdatum, Lieferzeit-Code, Sicherheitsbestand, Bemerkung, Liefertermin und Code, dazu Filter (im Horizont, Code 2, ohne Code, neu) und Kacheln mit der Bewertungskennzahl, den Positionen im Horizont und den Fehlmaterialien zu Kundenaufträgen (Code 2) nach ABC-Klasse.</w:t>
      </w:r>
    </w:p>
    <w:p>
      <w:pPr>
        <w:pStyle w:val="Heading3"/>
      </w:pPr>
      <w:r>
        <w:t xml:space="preserve">Wie gerechnet wird</w:t>
      </w:r>
    </w:p>
    <w:p>
      <w:r>
        <w:t xml:space="preserve">Die Daten kommen werktags um 04:00 und 12:45 Uhr aus SAP (Report ZD05, Disponenten 001 und 003). Bemerkung, Liefertermin und Code werden je Material vom Vortag übernommen. Die </w:t>
      </w:r>
      <w:r>
        <w:rPr>
          <w:b/>
        </w:rPr>
        <w:t xml:space="preserve">Bewertungskennzahl</w:t>
      </w:r>
      <w:r>
        <w:t xml:space="preserve"> ist der Durchschnitt der vergebenen Codes über alle Positionen, deren Unterdeckung bis heute plus 3 Arbeitstage eintritt; das Ziel ist höchstens 1,20.</w:t>
      </w:r>
    </w:p>
    <w:p>
      <w:pPr>
        <w:pStyle w:val="Heading3"/>
      </w:pPr>
      <w:r>
        <w:t xml:space="preserve">Einsatz im Arbeitsalltag</w:t>
      </w:r>
    </w:p>
    <w:p>
      <w:r>
        <w:rPr>
          <w:b/>
        </w:rPr>
        <w:t xml:space="preserve">Einkäufer:</w:t>
      </w:r>
      <w:r>
        <w:t xml:space="preserve"> vor dem Meeting jede neue Position mit Code und Liefertermin versehen. </w:t>
      </w:r>
      <w:r>
        <w:rPr>
          <w:b/>
        </w:rPr>
        <w:t xml:space="preserve">Leitung Operations:</w:t>
      </w:r>
      <w:r>
        <w:t xml:space="preserve"> an der Kennzahl und ihrem Verlauf sehen, ob die Versorgung stabil ist.</w:t>
      </w:r>
    </w:p>
    <w:p>
      <w:pPr>
        <w:pStyle w:val="Heading3"/>
      </w:pPr>
      <w:r>
        <w:t xml:space="preserve">Grenzen und Fallstricke</w:t>
      </w:r>
    </w:p>
    <w:p>
      <w:r>
        <w:t xml:space="preserve">Positionen ohne Code fliessen nicht in die Kennzahl ein; eine gute Kennzahl kann also auch bedeuten, dass Codes fehlen. Hinweis: Die Bedeutung der einzelnen Codes ausser Code 2 (Fehlmaterial Kundenauftrag) ist in diesem Handbuch nicht geprüft.</w:t>
      </w:r>
    </w:p>
    <w:p>
      <w:pPr>
        <w:pStyle w:val="Heading2"/>
      </w:pPr>
      <w:r>
        <w:t xml:space="preserve">Shopfloor: Forecast und PPA-Grafik</w:t>
      </w:r>
    </w:p>
    <w:p>
      <w:pPr>
        <w:pStyle w:val="Heading3"/>
      </w:pPr>
      <w:r>
        <w:t xml:space="preserve">Wozu</w:t>
      </w:r>
    </w:p>
    <w:p>
      <w:r>
        <w:t xml:space="preserve">Der </w:t>
      </w:r>
      <w:r>
        <w:rPr>
          <w:b/>
        </w:rPr>
        <w:t xml:space="preserve">Forecast</w:t>
      </w:r>
      <w:r>
        <w:t xml:space="preserve"> plant die nächste Woche: Wie viel ist pro Abteilung und Tag zu produzieren, und reicht die geplante Besetzung? Die </w:t>
      </w:r>
      <w:r>
        <w:rPr>
          <w:b/>
        </w:rPr>
        <w:t xml:space="preserve">PPA-Grafik</w:t>
      </w:r>
      <w:r>
        <w:t xml:space="preserve"> zeigt die Auslastung über die letzten 26 Wochen.</w:t>
      </w:r>
    </w:p>
    <w:p>
      <w:pPr>
        <w:pStyle w:val="Heading3"/>
      </w:pPr>
      <w:r>
        <w:t xml:space="preserve">Was man sieht</w:t>
      </w:r>
    </w:p>
    <w:p>
      <w:r>
        <w:t xml:space="preserve">Im Forecast je Abteilung und Tag die geplante Menge, die Besetzung, die Kapazität, die Auslastung als Ampel und Empfehlungen wie „2. Schicht öffnen“; dazu eine Heatmap und ein Diagramm Menge gegen Kapazität. Die PPA-Grafik zeigt Auftragsvorrat und produzierte Wochenmenge je Abteilung.</w:t>
      </w:r>
    </w:p>
    <w:p>
      <w:pPr>
        <w:pStyle w:val="Heading3"/>
      </w:pPr>
      <w:r>
        <w:t xml:space="preserve">Wie gerechnet wird</w:t>
      </w:r>
    </w:p>
    <w:p>
      <w:r>
        <w:t xml:space="preserve">Die geplanten Mengen kommen aus den offenen Plan- und Fertigungsaufträgen in SAP für die nächsten 28 Tage. Die Leistung pro Person und Tag ergibt sich aus dem Median der letzten 40 Tage mit erfasster Produktion und Besetzung, sofern sie nicht von Hand eingestellt ist. Kapazität ist Besetzung mal Leistung, Auslastung ist geplante Menge geteilt durch Kapazität; über 105 % gilt als überlastet, unter 85 % als unterlastet. Menge und Besetzung lassen sich pro Tag von Hand überschreiben.</w:t>
      </w:r>
    </w:p>
    <w:p>
      <w:pPr>
        <w:pStyle w:val="Heading3"/>
      </w:pPr>
      <w:r>
        <w:t xml:space="preserve">Einsatz im Arbeitsalltag</w:t>
      </w:r>
    </w:p>
    <w:p>
      <w:r>
        <w:rPr>
          <w:b/>
        </w:rPr>
        <w:t xml:space="preserve">PPD und Abteilungsleiter:</w:t>
      </w:r>
      <w:r>
        <w:t xml:space="preserve"> am Donnerstag oder Freitag die nächste Woche planen und Personal verschieben. </w:t>
      </w:r>
      <w:r>
        <w:rPr>
          <w:b/>
        </w:rPr>
        <w:t xml:space="preserve">Leitung Operations:</w:t>
      </w:r>
      <w:r>
        <w:t xml:space="preserve"> in der PPA-Grafik erkennen, ob der Auftragsvorrat dauerhaft steigt.</w:t>
      </w:r>
    </w:p>
    <w:p>
      <w:pPr>
        <w:pStyle w:val="Heading3"/>
      </w:pPr>
      <w:r>
        <w:t xml:space="preserve">Grenzen und Fallstricke</w:t>
      </w:r>
    </w:p>
    <w:p>
      <w:r>
        <w:t xml:space="preserve">Aufträge, deren Disponent keiner Abteilung zugeordnet ist, erscheinen unter „Nicht zugeordnete Aufträge“ und fehlen in der Planung der Abteilungen. Ohne erfasste Besetzung oder Produktion kann der Forecast keine Leistung schätzen und fragt danach.</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OTD (On Time Delivery)</w:t>
            </w:r>
          </w:p>
        </w:tc>
        <w:tc>
          <w:tcPr>
            <w:tcW w:w="3102" w:type="dxa"/>
          </w:tcPr>
          <w:p>
            <w:pPr>
              <w:pStyle w:val="TableText"/>
            </w:pPr>
            <w:r>
              <w:t xml:space="preserve">Liefertreue gegenüber dem bestätigten Termin</w:t>
            </w:r>
          </w:p>
        </w:tc>
        <w:tc>
          <w:tcPr>
            <w:tcW w:w="3102" w:type="dxa"/>
          </w:tcPr>
          <w:p>
            <w:pPr>
              <w:pStyle w:val="TableText"/>
            </w:pPr>
            <w:r>
              <w:t xml:space="preserve">Anteil der fälligen Auftragspositionen, die vollständig geliefert sind und deren letzter Warenausgang höchstens 4 Arbeitstage nach dem bestätigten Termin liegt</w:t>
            </w:r>
          </w:p>
        </w:tc>
      </w:tr>
      <w:tr>
        <w:tc>
          <w:tcPr>
            <w:tcW w:w="3102" w:type="dxa"/>
          </w:tcPr>
          <w:p>
            <w:pPr>
              <w:pStyle w:val="TableText"/>
            </w:pPr>
            <w:r>
              <w:t xml:space="preserve">OTIF (On Time In Full)</w:t>
            </w:r>
          </w:p>
        </w:tc>
        <w:tc>
          <w:tcPr>
            <w:tcW w:w="3102" w:type="dxa"/>
          </w:tcPr>
          <w:p>
            <w:pPr>
              <w:pStyle w:val="TableText"/>
            </w:pPr>
            <w:r>
              <w:t xml:space="preserve">Liefertreue pro Kundenauftrag</w:t>
            </w:r>
          </w:p>
        </w:tc>
        <w:tc>
          <w:tcPr>
            <w:tcW w:w="3102" w:type="dxa"/>
          </w:tcPr>
          <w:p>
            <w:pPr>
              <w:pStyle w:val="TableText"/>
            </w:pPr>
            <w:r>
              <w:t xml:space="preserve">Anteil der vollständig fälligen Aufträge, bei denen jede Position OTD erfüllt; Monat = spätester bestätigter Termin</w:t>
            </w:r>
          </w:p>
        </w:tc>
      </w:tr>
      <w:tr>
        <w:tc>
          <w:tcPr>
            <w:tcW w:w="3102" w:type="dxa"/>
          </w:tcPr>
          <w:p>
            <w:pPr>
              <w:pStyle w:val="TableText"/>
            </w:pPr>
            <w:r>
              <w:t xml:space="preserve">OTP (On Time Performance)</w:t>
            </w:r>
          </w:p>
        </w:tc>
        <w:tc>
          <w:tcPr>
            <w:tcW w:w="3102" w:type="dxa"/>
          </w:tcPr>
          <w:p>
            <w:pPr>
              <w:pStyle w:val="TableText"/>
            </w:pPr>
            <w:r>
              <w:t xml:space="preserve">Liefertreue gegenüber dem Kundenwunsch</w:t>
            </w:r>
          </w:p>
        </w:tc>
        <w:tc>
          <w:tcPr>
            <w:tcW w:w="3102" w:type="dxa"/>
          </w:tcPr>
          <w:p>
            <w:pPr>
              <w:pStyle w:val="TableText"/>
            </w:pPr>
            <w:r>
              <w:t xml:space="preserve">wie OTD, aber gegen den Wunschliefertermin; Monat = Monat des Wunschtermins</w:t>
            </w:r>
          </w:p>
        </w:tc>
      </w:tr>
      <w:tr>
        <w:tc>
          <w:tcPr>
            <w:tcW w:w="3102" w:type="dxa"/>
          </w:tcPr>
          <w:p>
            <w:pPr>
              <w:pStyle w:val="TableText"/>
            </w:pPr>
            <w:r>
              <w:t xml:space="preserve">Ohne Toleranz</w:t>
            </w:r>
          </w:p>
        </w:tc>
        <w:tc>
          <w:tcPr>
            <w:tcW w:w="3102" w:type="dxa"/>
          </w:tcPr>
          <w:p>
            <w:pPr>
              <w:pStyle w:val="TableText"/>
            </w:pPr>
            <w:r>
              <w:t xml:space="preserve">strenge Lesart jeder Liefertreue</w:t>
            </w:r>
          </w:p>
        </w:tc>
        <w:tc>
          <w:tcPr>
            <w:tcW w:w="3102" w:type="dxa"/>
          </w:tcPr>
          <w:p>
            <w:pPr>
              <w:pStyle w:val="TableText"/>
            </w:pPr>
            <w:r>
              <w:t xml:space="preserve">wie die Kennzahl, aber pünktlich nur bei Warenausgang am oder vor dem Termin</w:t>
            </w:r>
          </w:p>
        </w:tc>
      </w:tr>
      <w:tr>
        <w:tc>
          <w:tcPr>
            <w:tcW w:w="3102" w:type="dxa"/>
          </w:tcPr>
          <w:p>
            <w:pPr>
              <w:pStyle w:val="TableText"/>
            </w:pPr>
            <w:r>
              <w:t xml:space="preserve">Zu früh</w:t>
            </w:r>
          </w:p>
        </w:tc>
        <w:tc>
          <w:tcPr>
            <w:tcW w:w="3102" w:type="dxa"/>
          </w:tcPr>
          <w:p>
            <w:pPr>
              <w:pStyle w:val="TableText"/>
            </w:pPr>
            <w:r>
              <w:t xml:space="preserve">vorgezogene Lieferungen</w:t>
            </w:r>
          </w:p>
        </w:tc>
        <w:tc>
          <w:tcPr>
            <w:tcW w:w="3102" w:type="dxa"/>
          </w:tcPr>
          <w:p>
            <w:pPr>
              <w:pStyle w:val="TableText"/>
            </w:pPr>
            <w:r>
              <w:t xml:space="preserve">Positionen mit Warenausgang 5 oder mehr Arbeitstage vor dem bestätigten Termin</w:t>
            </w:r>
          </w:p>
        </w:tc>
      </w:tr>
      <w:tr>
        <w:tc>
          <w:tcPr>
            <w:tcW w:w="3102" w:type="dxa"/>
          </w:tcPr>
          <w:p>
            <w:pPr>
              <w:pStyle w:val="TableText"/>
            </w:pPr>
            <w:r>
              <w:t xml:space="preserve">Arbeitstage</w:t>
            </w:r>
          </w:p>
        </w:tc>
        <w:tc>
          <w:tcPr>
            <w:tcW w:w="3102" w:type="dxa"/>
          </w:tcPr>
          <w:p>
            <w:pPr>
              <w:pStyle w:val="TableText"/>
            </w:pPr>
            <w:r>
              <w:t xml:space="preserve">Zähleinheit für Verzug und Lieferzeit</w:t>
            </w:r>
          </w:p>
        </w:tc>
        <w:tc>
          <w:tcPr>
            <w:tcW w:w="3102" w:type="dxa"/>
          </w:tcPr>
          <w:p>
            <w:pPr>
              <w:pStyle w:val="TableText"/>
            </w:pPr>
            <w:r>
              <w:t xml:space="preserve">Montag bis Freitag, Feiertage werden nicht abgezogen</w:t>
            </w:r>
          </w:p>
        </w:tc>
      </w:tr>
      <w:tr>
        <w:tc>
          <w:tcPr>
            <w:tcW w:w="3102" w:type="dxa"/>
          </w:tcPr>
          <w:p>
            <w:pPr>
              <w:pStyle w:val="TableText"/>
            </w:pPr>
            <w:r>
              <w:t xml:space="preserve">Wunsch realistisch / zu kurz</w:t>
            </w:r>
          </w:p>
        </w:tc>
        <w:tc>
          <w:tcPr>
            <w:tcW w:w="3102" w:type="dxa"/>
          </w:tcPr>
          <w:p>
            <w:pPr>
              <w:pStyle w:val="TableText"/>
            </w:pPr>
            <w:r>
              <w:t xml:space="preserve">Machbarkeit des Kundenwunsches</w:t>
            </w:r>
          </w:p>
        </w:tc>
        <w:tc>
          <w:tcPr>
            <w:tcW w:w="3102" w:type="dxa"/>
          </w:tcPr>
          <w:p>
            <w:pPr>
              <w:pStyle w:val="TableText"/>
            </w:pPr>
            <w:r>
              <w:t xml:space="preserve">Lieferzeit vom Auftragsdatum bis zum Wunschtermin verglichen mit dem Median der bestätigten Lieferzeit derselben Produktgruppe (bei weniger als 20 Positionen der Gesamtmedian)</w:t>
            </w:r>
          </w:p>
        </w:tc>
      </w:tr>
      <w:tr>
        <w:tc>
          <w:tcPr>
            <w:tcW w:w="3102" w:type="dxa"/>
          </w:tcPr>
          <w:p>
            <w:pPr>
              <w:pStyle w:val="TableText"/>
            </w:pPr>
            <w:r>
              <w:t xml:space="preserve">Bewertungskennzahl ZD05</w:t>
            </w:r>
          </w:p>
        </w:tc>
        <w:tc>
          <w:tcPr>
            <w:tcW w:w="3102" w:type="dxa"/>
          </w:tcPr>
          <w:p>
            <w:pPr>
              <w:pStyle w:val="TableText"/>
            </w:pPr>
            <w:r>
              <w:t xml:space="preserve">Güte der Fehlteilbearbeitung</w:t>
            </w:r>
          </w:p>
        </w:tc>
        <w:tc>
          <w:tcPr>
            <w:tcW w:w="3102" w:type="dxa"/>
          </w:tcPr>
          <w:p>
            <w:pPr>
              <w:pStyle w:val="TableText"/>
            </w:pPr>
            <w:r>
              <w:t xml:space="preserve">Durchschnitt der Codes aller Positionen mit Unterdeckung bis heute plus 3 Arbeitstage; Ziel höchstens 1,20</w:t>
            </w:r>
          </w:p>
        </w:tc>
      </w:tr>
      <w:tr>
        <w:tc>
          <w:tcPr>
            <w:tcW w:w="3102" w:type="dxa"/>
          </w:tcPr>
          <w:p>
            <w:pPr>
              <w:pStyle w:val="TableText"/>
            </w:pPr>
            <w:r>
              <w:t xml:space="preserve">Auslastung (Forecast)</w:t>
            </w:r>
          </w:p>
        </w:tc>
        <w:tc>
          <w:tcPr>
            <w:tcW w:w="3102" w:type="dxa"/>
          </w:tcPr>
          <w:p>
            <w:pPr>
              <w:pStyle w:val="TableText"/>
            </w:pPr>
            <w:r>
              <w:t xml:space="preserve">Belastung einer Abteilung an einem Tag</w:t>
            </w:r>
          </w:p>
        </w:tc>
        <w:tc>
          <w:tcPr>
            <w:tcW w:w="3102" w:type="dxa"/>
          </w:tcPr>
          <w:p>
            <w:pPr>
              <w:pStyle w:val="TableText"/>
            </w:pPr>
            <w:r>
              <w:t xml:space="preserve">geplante Menge geteilt durch Kapazität (Besetzung mal Leistung pro Person)</w:t>
            </w:r>
          </w:p>
        </w:tc>
      </w:tr>
    </w:tbl>
    <w:p>
      <w:pPr>
        <w:spacing w:before="0" w:after="80"/>
      </w:pPr>
    </w:p>
    <w:sectPr>
      <w:headerReference xmlns:r="http://schemas.openxmlformats.org/officeDocument/2006/relationships" w:type="default" r:id="R2091c8f875ff4508"/>
      <w:footerReference xmlns:r="http://schemas.openxmlformats.org/officeDocument/2006/relationships" w:type="default" r:id="Ra85f49d6a09f43db"/>
      <w:titlePg/>
      <w:pgSz w:w="11906" w:h="16838"/>
      <w:pgMar w:top="1300" w:right="1300" w:bottom="1300" w:left="1300" w:header="600" w:footer="600"/>
    </w:sectPr>
  </w:body>
</w:document>
</file>

<file path=word/footer1.xml><?xml version="1.0" encoding="utf-8"?>
<w:ftr xmlns:w="http://schemas.openxmlformats.org/wordprocessingml/2006/main">
  <w:p>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w="http://schemas.openxmlformats.org/wordprocessingml/2006/main">
  <w:p>
    <w:pPr>
      <w:tabs>
        <w:tab w:val="right" w:pos="9306"/>
      </w:tabs>
      <w:pBdr>
        <w:bottom w:val="single" w:color="C8501E" w:sz="12" w:space="4"/>
      </w:pBdr>
    </w:pPr>
    <w:r>
      <w:drawing>
        <wp:inline xmlns:wp="http://schemas.openxmlformats.org/drawingml/2006/wordprocessingDrawing" distT="0" distB="0" distL="0" distR="0">
          <wp:extent cx="720000" cy="349200"/>
          <wp:docPr id="10" name="Trafag Logo Kopf"/>
          <a:graphic xmlns:a="http://schemas.openxmlformats.org/drawingml/2006/main">
            <a:graphicData uri="http://schemas.openxmlformats.org/drawingml/2006/picture">
              <pic:pic xmlns:pic="http://schemas.openxmlformats.org/drawingml/2006/picture">
                <pic:nvPicPr>
                  <pic:cNvPr id="10" name="Trafag Logo Kopf"/>
                  <pic:cNvPicPr/>
                </pic:nvPicPr>
                <pic:blipFill>
                  <a:blip xmlns:r="http://schemas.openxmlformats.org/officeDocument/2006/relationships" r:embed="Re1de2b4ab0e94dd2"/>
                  <a:stretch>
                    <a:fillRect/>
                  </a:stretch>
                </pic:blipFill>
                <pic:spPr>
                  <a:xfrm>
                    <a:off x="0" y="0"/>
                    <a:ext cx="720000" cy="349200"/>
                  </a:xfrm>
                  <a:prstGeom prst="rect"/>
                </pic:spPr>
              </pic:pic>
            </a:graphicData>
          </a:graphic>
        </wp:inline>
      </w:drawing>
    </w:r>
    <w:r>
      <w:tab/>
    </w:r>
    <w:r>
      <w:rPr>
        <w:color w:val="C8501E"/>
        <w:sz w:val="16"/>
      </w:rPr>
      <w:t>Trafag Cockpit · Anwenderhandbuch</w:t>
    </w:r>
  </w:p>
</w:hdr>
</file>

<file path=word/numbering.xml><?xml version="1.0" encoding="utf-8"?>
<w:numbering xmlns:w="http://schemas.openxmlformats.org/wordprocessingml/2006/main">
  <w:abstractNum w:abstractNumId="1">
    <w:lvl w:ilvl="0">
      <w:numFmt w:val="bullet"/>
      <w:lvlText w:val="•"/>
      <w:lvlJc w:val="left"/>
      <w:pPr>
        <w:ind w:left="360" w:hanging="240"/>
      </w:pPr>
      <w:rPr>
        <w:rFonts w:ascii="Calibri" w:hAnsi="Calibri"/>
        <w:color w:val="C8501E"/>
      </w:rPr>
    </w:lvl>
  </w:abstractNum>
  <w:num w:numId="1">
    <w:abstractNumId w:val="1"/>
  </w:num>
</w:numbering>
</file>

<file path=word/settings.xml><?xml version="1.0" encoding="utf-8"?>
<w:settings xmlns:w="http://schemas.openxmlformats.org/wordprocessingml/2006/main">
  <w:updateFields w:val="true"/>
  <w:defaultTabStop w:val="708"/>
</w:settings>
</file>

<file path=word/styles.xml><?xml version="1.0" encoding="utf-8"?>
<w:styles xmlns:w="http://schemas.openxmlformats.org/wordprocessingml/2006/main">
  <w:style w:type="paragraph" w:styleId="Normal" w:default="true">
    <w:name w:val="Normal"/>
    <w:qFormat/>
    <w:pPr>
      <w:spacing w:after="120" w:line="276" w:lineRule="auto"/>
    </w:pPr>
    <w:rPr>
      <w:rFonts w:ascii="Open Sans" w:hAnsi="Open Sans" w:eastAsia="Open Sans" w:cs="Arial"/>
      <w:sz w:val="21"/>
    </w:rPr>
  </w:style>
  <w:style w:type="paragraph" w:styleId="Title">
    <w:name w:val="Title"/>
    <w:qFormat/>
    <w:basedOn w:val="Normal"/>
    <w:pPr>
      <w:spacing w:before="0" w:after="200"/>
    </w:pPr>
    <w:rPr>
      <w:b/>
      <w:color w:val="C8501E"/>
      <w:sz w:val="60"/>
    </w:rPr>
  </w:style>
  <w:style w:type="paragraph" w:styleId="Subtitle">
    <w:name w:val="Subtitle"/>
    <w:qFormat/>
    <w:basedOn w:val="Normal"/>
    <w:pPr>
      <w:spacing w:before="0" w:after="300"/>
    </w:pPr>
    <w:rPr>
      <w:color w:val="595959"/>
      <w:sz w:val="32"/>
    </w:rPr>
  </w:style>
  <w:style w:type="paragraph" w:styleId="Meta">
    <w:name w:val="Meta"/>
    <w:qFormat/>
    <w:basedOn w:val="Normal"/>
    <w:pPr>
      <w:spacing w:before="0" w:after="60"/>
    </w:pPr>
    <w:rPr>
      <w:color w:val="595959"/>
      <w:sz w:val="20"/>
    </w:rPr>
  </w:style>
  <w:style w:type="paragraph" w:styleId="TocTitle">
    <w:name w:val="TOC Heading"/>
    <w:qFormat/>
    <w:basedOn w:val="Normal"/>
    <w:pPr>
      <w:spacing w:before="0" w:after="240"/>
    </w:pPr>
    <w:rPr>
      <w:b/>
      <w:color w:val="C8501E"/>
      <w:sz w:val="36"/>
    </w:rPr>
  </w:style>
  <w:style w:type="paragraph" w:styleId="Heading1">
    <w:name w:val="heading 1"/>
    <w:qFormat/>
    <w:basedOn w:val="Normal"/>
    <w:pPr>
      <w:keepNext/>
      <w:spacing w:before="0" w:after="240"/>
      <w:outlineLvl w:val="0"/>
      <w:pBdr>
        <w:bottom w:val="single" w:color="C8501E" w:sz="8" w:space="6"/>
      </w:pBdr>
    </w:pPr>
    <w:rPr>
      <w:b/>
      <w:color w:val="C8501E"/>
      <w:sz w:val="40"/>
    </w:rPr>
  </w:style>
  <w:style w:type="paragraph" w:styleId="Heading2">
    <w:name w:val="heading 2"/>
    <w:qFormat/>
    <w:basedOn w:val="Normal"/>
    <w:pPr>
      <w:keepNext/>
      <w:spacing w:before="360" w:after="120"/>
      <w:outlineLvl w:val="1"/>
    </w:pPr>
    <w:rPr>
      <w:b/>
      <w:color w:val="B5481B"/>
      <w:sz w:val="28"/>
    </w:rPr>
  </w:style>
  <w:style w:type="paragraph" w:styleId="Heading3">
    <w:name w:val="heading 3"/>
    <w:qFormat/>
    <w:basedOn w:val="Normal"/>
    <w:pPr>
      <w:keepNext/>
      <w:spacing w:before="200" w:after="60"/>
      <w:outlineLvl w:val="2"/>
    </w:pPr>
    <w:rPr>
      <w:b/>
      <w:color w:val="C8501E"/>
      <w:sz w:val="22"/>
    </w:rPr>
  </w:style>
  <w:style w:type="paragraph" w:styleId="ListBullet">
    <w:name w:val="List Bullet"/>
    <w:qFormat/>
    <w:basedOn w:val="Normal"/>
    <w:pPr>
      <w:spacing w:before="0" w:after="60"/>
    </w:pPr>
    <w:rPr>
      <w:sz w:val="20"/>
    </w:rPr>
  </w:style>
  <w:style w:type="paragraph" w:styleId="TableText">
    <w:name w:val="Table Text"/>
    <w:qFormat/>
    <w:basedOn w:val="Normal"/>
    <w:pPr>
      <w:spacing w:before="0" w:after="0"/>
    </w:pPr>
    <w:rPr>
      <w:sz w:val="18"/>
    </w:rPr>
  </w:style>
  <w:style w:type="paragraph" w:styleId="TOC1">
    <w:name w:val="toc 1"/>
    <w:qFormat/>
    <w:basedOn w:val="Normal"/>
    <w:pPr>
      <w:spacing w:before="0" w:after="60"/>
    </w:pPr>
    <w:rPr>
      <w:b/>
      <w:sz w:val="22"/>
    </w:rPr>
  </w:style>
  <w:style w:type="paragraph" w:styleId="TOC2">
    <w:name w:val="toc 2"/>
    <w:qFormat/>
    <w:basedOn w:val="Normal"/>
    <w:pPr>
      <w:spacing w:before="0" w:after="20"/>
      <w:ind w:left="300"/>
    </w:pPr>
    <w:rPr>
      <w:sz w:val="20"/>
    </w:rPr>
  </w:style>
  <w:style w:type="table" w:styleId="Gitter">
    <w:name w:val="Gitter"/>
    <w:tblPr>
      <w:tblBorders>
        <w:top w:val="single" w:color="BFBFBF" w:sz="4"/>
        <w:bottom w:val="single" w:color="BFBFBF" w:sz="4"/>
        <w:left w:val="single" w:color="BFBFBF" w:sz="4"/>
        <w:right w:val="single" w:color="BFBFBF" w:sz="4"/>
        <w:insideH w:val="single" w:color="BFBFBF" w:sz="4"/>
        <w:insideV w:val="single" w:color="BFBFBF" w:sz="4"/>
      </w:tblBorders>
      <w:tblCellMar>
        <w:top w:w="40" w:type="dxa"/>
        <w:bottom w:w="40" w:type="dxa"/>
        <w:left w:w="80" w:type="dxa"/>
        <w:right w:w="80" w:type="dxa"/>
      </w:tblCellMar>
    </w:tblPr>
  </w:style>
</w:styles>
</file>

<file path=word/_rels/document.xml.rels>&#65279;<?xml version="1.0" encoding="utf-8"?><Relationships xmlns="http://schemas.openxmlformats.org/package/2006/relationships"><Relationship Type="http://schemas.openxmlformats.org/officeDocument/2006/relationships/styles" Target="/word/styles.xml" Id="R1e41a3ba47484232" /><Relationship Type="http://schemas.openxmlformats.org/officeDocument/2006/relationships/numbering" Target="/word/numbering.xml" Id="R3e27b63c8f454bc9" /><Relationship Type="http://schemas.openxmlformats.org/officeDocument/2006/relationships/settings" Target="/word/settings.xml" Id="Rd3acf01598dc4afd" /><Relationship Type="http://schemas.openxmlformats.org/officeDocument/2006/relationships/footer" Target="/word/footer1.xml" Id="Ra85f49d6a09f43db" /><Relationship Type="http://schemas.openxmlformats.org/officeDocument/2006/relationships/image" Target="/media/image.jpg" Id="R7cfdc02e4f4542fc" /><Relationship Type="http://schemas.openxmlformats.org/officeDocument/2006/relationships/header" Target="/word/header1.xml" Id="R2091c8f875ff4508" /></Relationships>
</file>

<file path=word/_rels/header1.xml.rels>&#65279;<?xml version="1.0" encoding="utf-8"?><Relationships xmlns="http://schemas.openxmlformats.org/package/2006/relationships"><Relationship Type="http://schemas.openxmlformats.org/officeDocument/2006/relationships/image" Target="/media/image2.jpg" Id="Re1de2b4ab0e94dd2" /></Relationships>
</file>