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ca124c93219b40eb" /></Relationships>
</file>

<file path=word/document.xml><?xml version="1.0" encoding="utf-8"?>
<w:document xmlns:w="http://schemas.openxmlformats.org/wordprocessingml/2006/main">
  <w:body>
    <w:p>
      <w:pPr>
        <w:pStyle w:val="Title"/>
      </w:pPr>
      <w:r>
        <w:rPr/>
        <w:t xml:space="preserve">Wochen-Todo – Erläuterungen</w:t>
      </w:r>
    </w:p>
    <w:p>
      <w:pPr>
        <w:pStyle w:val="Subtitle"/>
      </w:pPr>
      <w:r>
        <w:rPr/>
        <w:t xml:space="preserve">Stand 04.09.2026 · 23 nicht erledigte Punkte</w:t>
      </w:r>
    </w:p>
    <w:p>
      <w:pPr>
        <w:pStyle w:val="Intro"/>
      </w:pPr>
      <w:r>
        <w:rPr/>
        <w:t xml:space="preserve">Dieses Dokument erläutert ausschließlich die aktuell nicht erledigten Einträge aus Wochen_Todo. Jeder Punkt beschreibt den Hintergrund, den erforderlichen Entscheid beziehungsweise Arbeitsschritt und ein eindeutiges Abschlusskriterium.</w:t>
      </w:r>
    </w:p>
    <w:p>
      <w:pPr>
        <w:pStyle w:val="Heading1"/>
      </w:pPr>
      <w:r>
        <w:rPr/>
        <w:t xml:space="preserve">Themenübersicht</w:t>
      </w:r>
    </w:p>
    <w:p>
      <w:pPr>
        <w:pStyle w:val="BodyText"/>
        <w:numPr>
          <w:ilvl w:val="0"/>
          <w:numId w:val="1"/>
        </w:numPr>
      </w:pPr>
      <w:r>
        <w:t>Finance: 12 Punkt(e)</w:t>
      </w:r>
    </w:p>
    <w:p>
      <w:pPr>
        <w:pStyle w:val="BodyText"/>
        <w:numPr>
          <w:ilvl w:val="0"/>
          <w:numId w:val="1"/>
        </w:numPr>
      </w:pPr>
      <w:r>
        <w:t>SAP: 4 Punkt(e)</w:t>
      </w:r>
    </w:p>
    <w:p>
      <w:pPr>
        <w:pStyle w:val="BodyText"/>
        <w:numPr>
          <w:ilvl w:val="0"/>
          <w:numId w:val="1"/>
        </w:numPr>
      </w:pPr>
      <w:r>
        <w:t>Einkauf: 2 Punkt(e)</w:t>
      </w:r>
    </w:p>
    <w:p>
      <w:pPr>
        <w:pStyle w:val="BodyText"/>
        <w:numPr>
          <w:ilvl w:val="0"/>
          <w:numId w:val="1"/>
        </w:numPr>
      </w:pPr>
      <w:r>
        <w:t>Railway: 3 Punkt(e)</w:t>
      </w:r>
    </w:p>
    <w:p>
      <w:pPr>
        <w:pStyle w:val="BodyText"/>
        <w:numPr>
          <w:ilvl w:val="0"/>
          <w:numId w:val="1"/>
        </w:numPr>
      </w:pPr>
      <w:r>
        <w:t>Marktsegmente: 1 Punkt(e)</w:t>
      </w:r>
    </w:p>
    <w:p>
      <w:pPr>
        <w:pStyle w:val="BodyText"/>
        <w:numPr>
          <w:ilvl w:val="0"/>
          <w:numId w:val="1"/>
        </w:numPr>
      </w:pPr>
      <w:r>
        <w:t>HR: 1 Punkt(e)</w:t>
      </w:r>
    </w:p>
    <w:p>
      <w:pPr>
        <w:pStyle w:val="Heading1"/>
        <w:pageBreakBefore/>
      </w:pPr>
      <w:r>
        <w:rPr/>
        <w:t xml:space="preserve">Finance</w:t>
      </w:r>
    </w:p>
    <w:p>
      <w:pPr>
        <w:pStyle w:val="Heading2"/>
      </w:pPr>
      <w:r>
        <w:rPr/>
        <w:t xml:space="preserve">ISS-001.2 · Datenzufluss TR FR</w:t>
      </w:r>
    </w:p>
    <w:tbl>
      <w:tblPr>
        <w:tblW w:w="5000" w:type="pct"/>
        <w:tblBorders>
          <w:top w:val="single" w:color="D9E2F3" w:sz="4"/>
          <w:left w:val="single" w:color="D9E2F3" w:sz="4"/>
          <w:bottom w:val="single" w:color="D9E2F3" w:sz="4"/>
          <w:right w:val="single" w:color="D9E2F3" w:sz="4"/>
          <w:insideH w:val="single" w:color="E7E6E6" w:sz="3"/>
          <w:insideV w:val="single" w:color="E7E6E6" w:sz="3"/>
        </w:tblBorders>
      </w:tblPr>
      <w:tblGrid>
        <w:gridCol w:w="1250"/>
        <w:gridCol w:w="3750"/>
        <w:gridCol w:w="1250"/>
        <w:gridCol w:w="3750"/>
      </w:tblGrid>
      <w:tr>
        <w:tc>
          <w:tcPr>
            <w:tcW w:w="1250" w:type="pct"/>
            <w:shd w:val="clear" w:fill="D9E2F3"/>
            <w:tcMar>
              <w:top w:w="70" w:type="dxa"/>
              <w:left w:w="90" w:type="dxa"/>
              <w:bottom w:w="70" w:type="dxa"/>
              <w:right w:w="90" w:type="dxa"/>
            </w:tcMar>
          </w:tcPr>
          <w:p>
            <w:pPr>
              <w:pStyle w:val="Meta"/>
            </w:pPr>
            <w:r>
              <w:rPr>
                <w:b/>
              </w:rPr>
              <w:t>Status</w:t>
            </w:r>
          </w:p>
        </w:tc>
        <w:tc>
          <w:tcPr>
            <w:tcW w:w="3750" w:type="pct"/>
            <w:shd w:val="clear" w:fill="FFF2CC"/>
            <w:tcMar>
              <w:top w:w="70" w:type="dxa"/>
              <w:left w:w="90" w:type="dxa"/>
              <w:bottom w:w="70" w:type="dxa"/>
              <w:right w:w="90" w:type="dxa"/>
            </w:tcMar>
          </w:tcPr>
          <w:p>
            <w:pPr>
              <w:pStyle w:val="Meta"/>
            </w:pPr>
            <w:r>
              <w:rPr/>
              <w:t>Wartet auf andere</w:t>
            </w:r>
          </w:p>
        </w:tc>
        <w:tc>
          <w:tcPr>
            <w:tcW w:w="1250" w:type="pct"/>
            <w:shd w:val="clear" w:fill="D9E2F3"/>
            <w:tcMar>
              <w:top w:w="70" w:type="dxa"/>
              <w:left w:w="90" w:type="dxa"/>
              <w:bottom w:w="70" w:type="dxa"/>
              <w:right w:w="90" w:type="dxa"/>
            </w:tcMar>
          </w:tcPr>
          <w:p>
            <w:pPr>
              <w:pStyle w:val="Meta"/>
            </w:pPr>
            <w:r>
              <w:rPr>
                <w:b/>
              </w:rPr>
              <w:t>Owner</w:t>
            </w:r>
          </w:p>
        </w:tc>
        <w:tc>
          <w:tcPr>
            <w:tcW w:w="3750" w:type="pct"/>
            <w:shd w:val="clear" w:fill="D9EAF7"/>
            <w:tcMar>
              <w:top w:w="70" w:type="dxa"/>
              <w:left w:w="90" w:type="dxa"/>
              <w:bottom w:w="70" w:type="dxa"/>
              <w:right w:w="90" w:type="dxa"/>
            </w:tcMar>
          </w:tcPr>
          <w:p>
            <w:pPr>
              <w:pStyle w:val="Meta"/>
            </w:pPr>
            <w:r>
              <w:rPr/>
              <w:t>Frankreich / Ingo</w:t>
            </w:r>
          </w:p>
        </w:tc>
      </w:tr>
      <w:tr>
        <w:tc>
          <w:tcPr>
            <w:tcW w:w="1250" w:type="pct"/>
            <w:shd w:val="clear" w:fill="D9E2F3"/>
            <w:tcMar>
              <w:top w:w="70" w:type="dxa"/>
              <w:left w:w="90" w:type="dxa"/>
              <w:bottom w:w="70" w:type="dxa"/>
              <w:right w:w="90" w:type="dxa"/>
            </w:tcMar>
          </w:tcPr>
          <w:p>
            <w:pPr>
              <w:pStyle w:val="Meta"/>
            </w:pPr>
            <w:r>
              <w:rPr>
                <w:b/>
              </w:rPr>
              <w:t>Bereich</w:t>
            </w:r>
          </w:p>
        </w:tc>
        <w:tc>
          <w:tcPr>
            <w:tcW w:w="3750" w:type="pct"/>
            <w:shd w:val="clear" w:fill="F2F2F2"/>
            <w:tcMar>
              <w:top w:w="70" w:type="dxa"/>
              <w:left w:w="90" w:type="dxa"/>
              <w:bottom w:w="70" w:type="dxa"/>
              <w:right w:w="90" w:type="dxa"/>
            </w:tcMar>
          </w:tcPr>
          <w:p>
            <w:pPr>
              <w:pStyle w:val="Meta"/>
            </w:pPr>
            <w:r>
              <w:rPr/>
              <w:t>Finance FR</w:t>
            </w:r>
          </w:p>
        </w:tc>
        <w:tc>
          <w:tcPr>
            <w:tcW w:w="1250" w:type="pct"/>
            <w:shd w:val="clear" w:fill="D9E2F3"/>
            <w:tcMar>
              <w:top w:w="70" w:type="dxa"/>
              <w:left w:w="90" w:type="dxa"/>
              <w:bottom w:w="70" w:type="dxa"/>
              <w:right w:w="90" w:type="dxa"/>
            </w:tcMar>
          </w:tcPr>
          <w:p>
            <w:pPr>
              <w:pStyle w:val="Meta"/>
            </w:pPr>
            <w:r>
              <w:rPr>
                <w:b/>
              </w:rPr>
              <w:t>Dringlichkeit</w:t>
            </w:r>
          </w:p>
        </w:tc>
        <w:tc>
          <w:tcPr>
            <w:tcW w:w="3750" w:type="pct"/>
            <w:shd w:val="clear" w:fill="F2F2F2"/>
            <w:tcMar>
              <w:top w:w="70" w:type="dxa"/>
              <w:left w:w="90" w:type="dxa"/>
              <w:bottom w:w="70" w:type="dxa"/>
              <w:right w:w="90" w:type="dxa"/>
            </w:tcMar>
          </w:tcPr>
          <w:p>
            <w:pPr>
              <w:pStyle w:val="Meta"/>
            </w:pPr>
            <w:r>
              <w:rPr/>
              <w:t>Hoch, haengt an anderen</w:t>
            </w:r>
          </w:p>
        </w:tc>
      </w:tr>
    </w:tbl>
    <w:p>
      <w:pPr>
        <w:pStyle w:val="BodyText"/>
        <w:keepLines/>
      </w:pPr>
      <w:r>
        <w:rPr>
          <w:b/>
          <w:color w:val="365F91"/>
        </w:rPr>
        <w:t>Worum geht es? </w:t>
      </w:r>
      <w:r>
        <w:t xml:space="preserve">Die französische B1-Quelle enthält seit 30.07.2026 keine neuen Rechnungen oder Lieferscheine, obwohl Aufträge und Wareneingänge weiterlaufen. Die Anwendung exportiert täglich, wiederholt dabei aber nur den alten Stand; die Ursache liegt deshalb im französischen Ausgangs- oder Fakturaprozess.</w:t>
      </w:r>
    </w:p>
    <w:p>
      <w:pPr>
        <w:pStyle w:val="BodyText"/>
        <w:keepLines/>
      </w:pPr>
      <w:r>
        <w:rPr>
          <w:b/>
          <w:color w:val="365F91"/>
        </w:rPr>
        <w:t>Was ist zu tun / zu entscheiden? </w:t>
      </w:r>
      <w:r>
        <w:t xml:space="preserve">Frankreich gezielt fragen, warum Lieferung und Faktura am selben Tag endeten und wann der Rückstand verbucht wird. Den ersten neuen Lauf anschließend auf August-Nachbuchungen und eine plausible Belegfolge prüfen.</w:t>
      </w:r>
    </w:p>
    <w:p>
      <w:pPr>
        <w:pStyle w:val="BodyText"/>
        <w:keepLines/>
      </w:pPr>
      <w:r>
        <w:rPr>
          <w:b/>
          <w:color w:val="365F91"/>
        </w:rPr>
        <w:t>Erledigt, wenn … </w:t>
      </w:r>
      <w:r>
        <w:t xml:space="preserve">Neue französische Fakturen fließen wieder ein und der Rückstand ist entweder nachgebucht oder von Finance ausdrücklich als nicht vorhanden bestätigt.</w:t>
      </w:r>
    </w:p>
    <w:p>
      <w:pPr>
        <w:pBdr>
          <w:bottom w:val="single" w:color="B4C6E7" w:sz="6" w:space="6"/>
        </w:pBdr>
        <w:spacing w:after="100"/>
      </w:pPr>
    </w:p>
    <w:p>
      <w:pPr>
        <w:pStyle w:val="Heading2"/>
      </w:pPr>
      <w:r>
        <w:rPr/>
        <w:t xml:space="preserve">ISS-003.4 · Herstellerregel CH/AT</w:t>
      </w:r>
    </w:p>
    <w:tbl>
      <w:tblPr>
        <w:tblW w:w="5000" w:type="pct"/>
        <w:tblBorders>
          <w:top w:val="single" w:color="D9E2F3" w:sz="4"/>
          <w:left w:val="single" w:color="D9E2F3" w:sz="4"/>
          <w:bottom w:val="single" w:color="D9E2F3" w:sz="4"/>
          <w:right w:val="single" w:color="D9E2F3" w:sz="4"/>
          <w:insideH w:val="single" w:color="E7E6E6" w:sz="3"/>
          <w:insideV w:val="single" w:color="E7E6E6" w:sz="3"/>
        </w:tblBorders>
      </w:tblPr>
      <w:tblGrid>
        <w:gridCol w:w="1250"/>
        <w:gridCol w:w="3750"/>
        <w:gridCol w:w="1250"/>
        <w:gridCol w:w="3750"/>
      </w:tblGrid>
      <w:tr>
        <w:tc>
          <w:tcPr>
            <w:tcW w:w="1250" w:type="pct"/>
            <w:shd w:val="clear" w:fill="D9E2F3"/>
            <w:tcMar>
              <w:top w:w="70" w:type="dxa"/>
              <w:left w:w="90" w:type="dxa"/>
              <w:bottom w:w="70" w:type="dxa"/>
              <w:right w:w="90" w:type="dxa"/>
            </w:tcMar>
          </w:tcPr>
          <w:p>
            <w:pPr>
              <w:pStyle w:val="Meta"/>
            </w:pPr>
            <w:r>
              <w:rPr>
                <w:b/>
              </w:rPr>
              <w:t>Status</w:t>
            </w:r>
          </w:p>
        </w:tc>
        <w:tc>
          <w:tcPr>
            <w:tcW w:w="3750" w:type="pct"/>
            <w:shd w:val="clear" w:fill="FFF2CC"/>
            <w:tcMar>
              <w:top w:w="70" w:type="dxa"/>
              <w:left w:w="90" w:type="dxa"/>
              <w:bottom w:w="70" w:type="dxa"/>
              <w:right w:w="90" w:type="dxa"/>
            </w:tcMar>
          </w:tcPr>
          <w:p>
            <w:pPr>
              <w:pStyle w:val="Meta"/>
            </w:pPr>
            <w:r>
              <w:rPr/>
              <w:t>Wartet auf Entscheid</w:t>
            </w:r>
          </w:p>
        </w:tc>
        <w:tc>
          <w:tcPr>
            <w:tcW w:w="1250" w:type="pct"/>
            <w:shd w:val="clear" w:fill="D9E2F3"/>
            <w:tcMar>
              <w:top w:w="70" w:type="dxa"/>
              <w:left w:w="90" w:type="dxa"/>
              <w:bottom w:w="70" w:type="dxa"/>
              <w:right w:w="90" w:type="dxa"/>
            </w:tcMar>
          </w:tcPr>
          <w:p>
            <w:pPr>
              <w:pStyle w:val="Meta"/>
            </w:pPr>
            <w:r>
              <w:rPr>
                <w:b/>
              </w:rPr>
              <w:t>Owner</w:t>
            </w:r>
          </w:p>
        </w:tc>
        <w:tc>
          <w:tcPr>
            <w:tcW w:w="3750" w:type="pct"/>
            <w:shd w:val="clear" w:fill="D9EAF7"/>
            <w:tcMar>
              <w:top w:w="70" w:type="dxa"/>
              <w:left w:w="90" w:type="dxa"/>
              <w:bottom w:w="70" w:type="dxa"/>
              <w:right w:w="90" w:type="dxa"/>
            </w:tcMar>
          </w:tcPr>
          <w:p>
            <w:pPr>
              <w:pStyle w:val="Meta"/>
            </w:pPr>
            <w:r>
              <w:rPr/>
              <w:t>Andreas</w:t>
            </w:r>
          </w:p>
        </w:tc>
      </w:tr>
      <w:tr>
        <w:tc>
          <w:tcPr>
            <w:tcW w:w="1250" w:type="pct"/>
            <w:shd w:val="clear" w:fill="D9E2F3"/>
            <w:tcMar>
              <w:top w:w="70" w:type="dxa"/>
              <w:left w:w="90" w:type="dxa"/>
              <w:bottom w:w="70" w:type="dxa"/>
              <w:right w:w="90" w:type="dxa"/>
            </w:tcMar>
          </w:tcPr>
          <w:p>
            <w:pPr>
              <w:pStyle w:val="Meta"/>
            </w:pPr>
            <w:r>
              <w:rPr>
                <w:b/>
              </w:rPr>
              <w:t>Bereich</w:t>
            </w:r>
          </w:p>
        </w:tc>
        <w:tc>
          <w:tcPr>
            <w:tcW w:w="3750" w:type="pct"/>
            <w:shd w:val="clear" w:fill="F2F2F2"/>
            <w:tcMar>
              <w:top w:w="70" w:type="dxa"/>
              <w:left w:w="90" w:type="dxa"/>
              <w:bottom w:w="70" w:type="dxa"/>
              <w:right w:w="90" w:type="dxa"/>
            </w:tcMar>
          </w:tcPr>
          <w:p>
            <w:pPr>
              <w:pStyle w:val="Meta"/>
            </w:pPr>
            <w:r>
              <w:rPr/>
              <w:t>Finance CH/AT</w:t>
            </w:r>
          </w:p>
        </w:tc>
        <w:tc>
          <w:tcPr>
            <w:tcW w:w="1250" w:type="pct"/>
            <w:shd w:val="clear" w:fill="D9E2F3"/>
            <w:tcMar>
              <w:top w:w="70" w:type="dxa"/>
              <w:left w:w="90" w:type="dxa"/>
              <w:bottom w:w="70" w:type="dxa"/>
              <w:right w:w="90" w:type="dxa"/>
            </w:tcMar>
          </w:tcPr>
          <w:p>
            <w:pPr>
              <w:pStyle w:val="Meta"/>
            </w:pPr>
            <w:r>
              <w:rPr>
                <w:b/>
              </w:rPr>
              <w:t>Dringlichkeit</w:t>
            </w:r>
          </w:p>
        </w:tc>
        <w:tc>
          <w:tcPr>
            <w:tcW w:w="3750" w:type="pct"/>
            <w:shd w:val="clear" w:fill="F2F2F2"/>
            <w:tcMar>
              <w:top w:w="70" w:type="dxa"/>
              <w:left w:w="90" w:type="dxa"/>
              <w:bottom w:w="70" w:type="dxa"/>
              <w:right w:w="90" w:type="dxa"/>
            </w:tcMar>
          </w:tcPr>
          <w:p>
            <w:pPr>
              <w:pStyle w:val="Meta"/>
            </w:pPr>
            <w:r>
              <w:rPr/>
              <w:t>Hoch, haengt an anderen</w:t>
            </w:r>
          </w:p>
        </w:tc>
      </w:tr>
    </w:tbl>
    <w:p>
      <w:pPr>
        <w:pStyle w:val="BodyText"/>
        <w:keepLines/>
      </w:pPr>
      <w:r>
        <w:rPr>
          <w:b/>
          <w:color w:val="365F91"/>
        </w:rPr>
        <w:t>Worum geht es? </w:t>
      </w:r>
      <w:r>
        <w:t xml:space="preserve">CH/AT liefern keinen Vorlieferanten. Die Anwendung ordnet Materialien deshalb über MARC/Werk 1100 als intern beziehungsweise TR AG ein. Für rund 5’886 Zeilen gibt es zugleich einen aktiven externen Einkaufsbeleg; offen ist, ob dieser Fremdbezug die pauschale Herstellerregel brechen soll.</w:t>
      </w:r>
    </w:p>
    <w:p>
      <w:pPr>
        <w:pStyle w:val="BodyText"/>
        <w:keepLines/>
      </w:pPr>
      <w:r>
        <w:rPr>
          <w:b/>
          <w:color w:val="365F91"/>
        </w:rPr>
        <w:t>Was ist zu tun / zu entscheiden? </w:t>
      </w:r>
      <w:r>
        <w:t xml:space="preserve">Andreas entscheidet zwischen zwei Regeln: Herstellerregel beibehalten oder bei belegtem Fremdbezug auf extern/lokale Kosten wechseln. Dazu die Stichprobe, besonders F88103 und R13025, und den produktiven Schalter MarcForeignProcurementMode vergleichen. Keine 1’201 Materialien einzeln klassifizieren.</w:t>
      </w:r>
    </w:p>
    <w:p>
      <w:pPr>
        <w:pStyle w:val="BodyText"/>
        <w:keepLines/>
      </w:pPr>
      <w:r>
        <w:rPr>
          <w:b/>
          <w:color w:val="365F91"/>
        </w:rPr>
        <w:t>Erledigt, wenn … </w:t>
      </w:r>
      <w:r>
        <w:t xml:space="preserve">Andreas hat die Regel schriftlich bestätigt, der entsprechende Schalter ist gesetzt und Stichproben zeigen die erwartete Kostenquelle für Eigenfertigung und Handelsware.</w:t>
      </w:r>
    </w:p>
    <w:p>
      <w:pPr>
        <w:pBdr>
          <w:bottom w:val="single" w:color="B4C6E7" w:sz="6" w:space="6"/>
        </w:pBdr>
        <w:spacing w:after="100"/>
      </w:pPr>
    </w:p>
    <w:p>
      <w:pPr>
        <w:pStyle w:val="Heading2"/>
      </w:pPr>
      <w:r>
        <w:rPr/>
        <w:t xml:space="preserve">ISS-009 · Fachfreigabe Gruppenmarge</w:t>
      </w:r>
    </w:p>
    <w:tbl>
      <w:tblPr>
        <w:tblW w:w="5000" w:type="pct"/>
        <w:tblBorders>
          <w:top w:val="single" w:color="D9E2F3" w:sz="4"/>
          <w:left w:val="single" w:color="D9E2F3" w:sz="4"/>
          <w:bottom w:val="single" w:color="D9E2F3" w:sz="4"/>
          <w:right w:val="single" w:color="D9E2F3" w:sz="4"/>
          <w:insideH w:val="single" w:color="E7E6E6" w:sz="3"/>
          <w:insideV w:val="single" w:color="E7E6E6" w:sz="3"/>
        </w:tblBorders>
      </w:tblPr>
      <w:tblGrid>
        <w:gridCol w:w="1250"/>
        <w:gridCol w:w="3750"/>
        <w:gridCol w:w="1250"/>
        <w:gridCol w:w="3750"/>
      </w:tblGrid>
      <w:tr>
        <w:tc>
          <w:tcPr>
            <w:tcW w:w="1250" w:type="pct"/>
            <w:shd w:val="clear" w:fill="D9E2F3"/>
            <w:tcMar>
              <w:top w:w="70" w:type="dxa"/>
              <w:left w:w="90" w:type="dxa"/>
              <w:bottom w:w="70" w:type="dxa"/>
              <w:right w:w="90" w:type="dxa"/>
            </w:tcMar>
          </w:tcPr>
          <w:p>
            <w:pPr>
              <w:pStyle w:val="Meta"/>
            </w:pPr>
            <w:r>
              <w:rPr>
                <w:b/>
              </w:rPr>
              <w:t>Status</w:t>
            </w:r>
          </w:p>
        </w:tc>
        <w:tc>
          <w:tcPr>
            <w:tcW w:w="3750" w:type="pct"/>
            <w:shd w:val="clear" w:fill="FCE5CD"/>
            <w:tcMar>
              <w:top w:w="70" w:type="dxa"/>
              <w:left w:w="90" w:type="dxa"/>
              <w:bottom w:w="70" w:type="dxa"/>
              <w:right w:w="90" w:type="dxa"/>
            </w:tcMar>
          </w:tcPr>
          <w:p>
            <w:pPr>
              <w:pStyle w:val="Meta"/>
            </w:pPr>
            <w:r>
              <w:rPr/>
              <w:t>Offen</w:t>
            </w:r>
          </w:p>
        </w:tc>
        <w:tc>
          <w:tcPr>
            <w:tcW w:w="1250" w:type="pct"/>
            <w:shd w:val="clear" w:fill="D9E2F3"/>
            <w:tcMar>
              <w:top w:w="70" w:type="dxa"/>
              <w:left w:w="90" w:type="dxa"/>
              <w:bottom w:w="70" w:type="dxa"/>
              <w:right w:w="90" w:type="dxa"/>
            </w:tcMar>
          </w:tcPr>
          <w:p>
            <w:pPr>
              <w:pStyle w:val="Meta"/>
            </w:pPr>
            <w:r>
              <w:rPr>
                <w:b/>
              </w:rPr>
              <w:t>Owner</w:t>
            </w:r>
          </w:p>
        </w:tc>
        <w:tc>
          <w:tcPr>
            <w:tcW w:w="3750" w:type="pct"/>
            <w:shd w:val="clear" w:fill="D9EAF7"/>
            <w:tcMar>
              <w:top w:w="70" w:type="dxa"/>
              <w:left w:w="90" w:type="dxa"/>
              <w:bottom w:w="70" w:type="dxa"/>
              <w:right w:w="90" w:type="dxa"/>
            </w:tcMar>
          </w:tcPr>
          <w:p>
            <w:pPr>
              <w:pStyle w:val="Meta"/>
            </w:pPr>
            <w:r>
              <w:rPr/>
              <w:t>Andreas</w:t>
            </w:r>
          </w:p>
        </w:tc>
      </w:tr>
      <w:tr>
        <w:tc>
          <w:tcPr>
            <w:tcW w:w="1250" w:type="pct"/>
            <w:shd w:val="clear" w:fill="D9E2F3"/>
            <w:tcMar>
              <w:top w:w="70" w:type="dxa"/>
              <w:left w:w="90" w:type="dxa"/>
              <w:bottom w:w="70" w:type="dxa"/>
              <w:right w:w="90" w:type="dxa"/>
            </w:tcMar>
          </w:tcPr>
          <w:p>
            <w:pPr>
              <w:pStyle w:val="Meta"/>
            </w:pPr>
            <w:r>
              <w:rPr>
                <w:b/>
              </w:rPr>
              <w:t>Bereich</w:t>
            </w:r>
          </w:p>
        </w:tc>
        <w:tc>
          <w:tcPr>
            <w:tcW w:w="3750" w:type="pct"/>
            <w:shd w:val="clear" w:fill="F2F2F2"/>
            <w:tcMar>
              <w:top w:w="70" w:type="dxa"/>
              <w:left w:w="90" w:type="dxa"/>
              <w:bottom w:w="70" w:type="dxa"/>
              <w:right w:w="90" w:type="dxa"/>
            </w:tcMar>
          </w:tcPr>
          <w:p>
            <w:pPr>
              <w:pStyle w:val="Meta"/>
            </w:pPr>
            <w:r>
              <w:rPr/>
              <w:t>Finance Gruppenmarge</w:t>
            </w:r>
          </w:p>
        </w:tc>
        <w:tc>
          <w:tcPr>
            <w:tcW w:w="1250" w:type="pct"/>
            <w:shd w:val="clear" w:fill="D9E2F3"/>
            <w:tcMar>
              <w:top w:w="70" w:type="dxa"/>
              <w:left w:w="90" w:type="dxa"/>
              <w:bottom w:w="70" w:type="dxa"/>
              <w:right w:w="90" w:type="dxa"/>
            </w:tcMar>
          </w:tcPr>
          <w:p>
            <w:pPr>
              <w:pStyle w:val="Meta"/>
            </w:pPr>
            <w:r>
              <w:rPr>
                <w:b/>
              </w:rPr>
              <w:t>Dringlichkeit</w:t>
            </w:r>
          </w:p>
        </w:tc>
        <w:tc>
          <w:tcPr>
            <w:tcW w:w="3750" w:type="pct"/>
            <w:shd w:val="clear" w:fill="F2F2F2"/>
            <w:tcMar>
              <w:top w:w="70" w:type="dxa"/>
              <w:left w:w="90" w:type="dxa"/>
              <w:bottom w:w="70" w:type="dxa"/>
              <w:right w:w="90" w:type="dxa"/>
            </w:tcMar>
          </w:tcPr>
          <w:p>
            <w:pPr>
              <w:pStyle w:val="Meta"/>
            </w:pPr>
            <w:r>
              <w:rPr/>
              <w:t>Hoch, haengt an anderen</w:t>
            </w:r>
          </w:p>
        </w:tc>
      </w:tr>
    </w:tbl>
    <w:p>
      <w:pPr>
        <w:pStyle w:val="BodyText"/>
        <w:keepLines/>
      </w:pPr>
      <w:r>
        <w:rPr>
          <w:b/>
          <w:color w:val="365F91"/>
        </w:rPr>
        <w:t>Worum geht es? </w:t>
      </w:r>
      <w:r>
        <w:t xml:space="preserve">Die Gruppenmarge ist technisch vorhanden, bleibt aber eine Prüfsicht. Sie verwendet den Umsatz und die echten Konzern-Herstellkosten der liefernden Gesellschaft. Offene Lieferanten-, Kostenbasis- und Intercompany-Fragen können das Ergebnis noch beeinflussen.</w:t>
      </w:r>
    </w:p>
    <w:p>
      <w:pPr>
        <w:pStyle w:val="BodyText"/>
        <w:keepLines/>
      </w:pPr>
      <w:r>
        <w:rPr>
          <w:b/>
          <w:color w:val="365F91"/>
        </w:rPr>
        <w:t>Was ist zu tun / zu entscheiden? </w:t>
      </w:r>
      <w:r>
        <w:t xml:space="preserve">Andreas prüft anhand des Nachweisblatts Gruppenmarge Details die Klassifikation, Kostenquelle, Währung und offenen Statusfälle. Danach entweder ausdrücklich als führenden Abschlusswert freigeben oder konkrete verbleibende Vorbehalte mit Prüfkriterium nennen.</w:t>
      </w:r>
    </w:p>
    <w:p>
      <w:pPr>
        <w:pStyle w:val="BodyText"/>
        <w:keepLines/>
      </w:pPr>
      <w:r>
        <w:rPr>
          <w:b/>
          <w:color w:val="365F91"/>
        </w:rPr>
        <w:t>Erledigt, wenn … </w:t>
      </w:r>
      <w:r>
        <w:t xml:space="preserve">Eine dokumentierte Finance-Freigabe liegt vor oder alle benannten Vorbehalte sind als eigene, messbare Folgepunkte erfasst; bis dahin bleibt die Kennzahl als Prüfsicht bezeichnet.</w:t>
      </w:r>
    </w:p>
    <w:p>
      <w:pPr>
        <w:pBdr>
          <w:bottom w:val="single" w:color="B4C6E7" w:sz="6" w:space="6"/>
        </w:pBdr>
        <w:spacing w:after="100"/>
      </w:pPr>
    </w:p>
    <w:p>
      <w:pPr>
        <w:pStyle w:val="Heading2"/>
      </w:pPr>
      <w:r>
        <w:rPr/>
        <w:t xml:space="preserve">ISS-010 · Innenumsatz / Doppelzählung</w:t>
      </w:r>
    </w:p>
    <w:tbl>
      <w:tblPr>
        <w:tblW w:w="5000" w:type="pct"/>
        <w:tblBorders>
          <w:top w:val="single" w:color="D9E2F3" w:sz="4"/>
          <w:left w:val="single" w:color="D9E2F3" w:sz="4"/>
          <w:bottom w:val="single" w:color="D9E2F3" w:sz="4"/>
          <w:right w:val="single" w:color="D9E2F3" w:sz="4"/>
          <w:insideH w:val="single" w:color="E7E6E6" w:sz="3"/>
          <w:insideV w:val="single" w:color="E7E6E6" w:sz="3"/>
        </w:tblBorders>
      </w:tblPr>
      <w:tblGrid>
        <w:gridCol w:w="1250"/>
        <w:gridCol w:w="3750"/>
        <w:gridCol w:w="1250"/>
        <w:gridCol w:w="3750"/>
      </w:tblGrid>
      <w:tr>
        <w:tc>
          <w:tcPr>
            <w:tcW w:w="1250" w:type="pct"/>
            <w:shd w:val="clear" w:fill="D9E2F3"/>
            <w:tcMar>
              <w:top w:w="70" w:type="dxa"/>
              <w:left w:w="90" w:type="dxa"/>
              <w:bottom w:w="70" w:type="dxa"/>
              <w:right w:w="90" w:type="dxa"/>
            </w:tcMar>
          </w:tcPr>
          <w:p>
            <w:pPr>
              <w:pStyle w:val="Meta"/>
            </w:pPr>
            <w:r>
              <w:rPr>
                <w:b/>
              </w:rPr>
              <w:t>Status</w:t>
            </w:r>
          </w:p>
        </w:tc>
        <w:tc>
          <w:tcPr>
            <w:tcW w:w="3750" w:type="pct"/>
            <w:shd w:val="clear" w:fill="FCE5CD"/>
            <w:tcMar>
              <w:top w:w="70" w:type="dxa"/>
              <w:left w:w="90" w:type="dxa"/>
              <w:bottom w:w="70" w:type="dxa"/>
              <w:right w:w="90" w:type="dxa"/>
            </w:tcMar>
          </w:tcPr>
          <w:p>
            <w:pPr>
              <w:pStyle w:val="Meta"/>
            </w:pPr>
            <w:r>
              <w:rPr/>
              <w:t>Offen</w:t>
            </w:r>
          </w:p>
        </w:tc>
        <w:tc>
          <w:tcPr>
            <w:tcW w:w="1250" w:type="pct"/>
            <w:shd w:val="clear" w:fill="D9E2F3"/>
            <w:tcMar>
              <w:top w:w="70" w:type="dxa"/>
              <w:left w:w="90" w:type="dxa"/>
              <w:bottom w:w="70" w:type="dxa"/>
              <w:right w:w="90" w:type="dxa"/>
            </w:tcMar>
          </w:tcPr>
          <w:p>
            <w:pPr>
              <w:pStyle w:val="Meta"/>
            </w:pPr>
            <w:r>
              <w:rPr>
                <w:b/>
              </w:rPr>
              <w:t>Owner</w:t>
            </w:r>
          </w:p>
        </w:tc>
        <w:tc>
          <w:tcPr>
            <w:tcW w:w="3750" w:type="pct"/>
            <w:shd w:val="clear" w:fill="D9EAF7"/>
            <w:tcMar>
              <w:top w:w="70" w:type="dxa"/>
              <w:left w:w="90" w:type="dxa"/>
              <w:bottom w:w="70" w:type="dxa"/>
              <w:right w:w="90" w:type="dxa"/>
            </w:tcMar>
          </w:tcPr>
          <w:p>
            <w:pPr>
              <w:pStyle w:val="Meta"/>
            </w:pPr>
            <w:r>
              <w:rPr/>
              <w:t>Andreas</w:t>
            </w:r>
          </w:p>
        </w:tc>
      </w:tr>
      <w:tr>
        <w:tc>
          <w:tcPr>
            <w:tcW w:w="1250" w:type="pct"/>
            <w:shd w:val="clear" w:fill="D9E2F3"/>
            <w:tcMar>
              <w:top w:w="70" w:type="dxa"/>
              <w:left w:w="90" w:type="dxa"/>
              <w:bottom w:w="70" w:type="dxa"/>
              <w:right w:w="90" w:type="dxa"/>
            </w:tcMar>
          </w:tcPr>
          <w:p>
            <w:pPr>
              <w:pStyle w:val="Meta"/>
            </w:pPr>
            <w:r>
              <w:rPr>
                <w:b/>
              </w:rPr>
              <w:t>Bereich</w:t>
            </w:r>
          </w:p>
        </w:tc>
        <w:tc>
          <w:tcPr>
            <w:tcW w:w="3750" w:type="pct"/>
            <w:shd w:val="clear" w:fill="F2F2F2"/>
            <w:tcMar>
              <w:top w:w="70" w:type="dxa"/>
              <w:left w:w="90" w:type="dxa"/>
              <w:bottom w:w="70" w:type="dxa"/>
              <w:right w:w="90" w:type="dxa"/>
            </w:tcMar>
          </w:tcPr>
          <w:p>
            <w:pPr>
              <w:pStyle w:val="Meta"/>
            </w:pPr>
            <w:r>
              <w:rPr/>
              <w:t>Finance Abgrenzung</w:t>
            </w:r>
          </w:p>
        </w:tc>
        <w:tc>
          <w:tcPr>
            <w:tcW w:w="1250" w:type="pct"/>
            <w:shd w:val="clear" w:fill="D9E2F3"/>
            <w:tcMar>
              <w:top w:w="70" w:type="dxa"/>
              <w:left w:w="90" w:type="dxa"/>
              <w:bottom w:w="70" w:type="dxa"/>
              <w:right w:w="90" w:type="dxa"/>
            </w:tcMar>
          </w:tcPr>
          <w:p>
            <w:pPr>
              <w:pStyle w:val="Meta"/>
            </w:pPr>
            <w:r>
              <w:rPr>
                <w:b/>
              </w:rPr>
              <w:t>Dringlichkeit</w:t>
            </w:r>
          </w:p>
        </w:tc>
        <w:tc>
          <w:tcPr>
            <w:tcW w:w="3750" w:type="pct"/>
            <w:shd w:val="clear" w:fill="F2F2F2"/>
            <w:tcMar>
              <w:top w:w="70" w:type="dxa"/>
              <w:left w:w="90" w:type="dxa"/>
              <w:bottom w:w="70" w:type="dxa"/>
              <w:right w:w="90" w:type="dxa"/>
            </w:tcMar>
          </w:tcPr>
          <w:p>
            <w:pPr>
              <w:pStyle w:val="Meta"/>
            </w:pPr>
            <w:r>
              <w:rPr/>
              <w:t>Hoch, haengt an anderen</w:t>
            </w:r>
          </w:p>
        </w:tc>
      </w:tr>
    </w:tbl>
    <w:p>
      <w:pPr>
        <w:pStyle w:val="BodyText"/>
        <w:keepLines/>
      </w:pPr>
      <w:r>
        <w:rPr>
          <w:b/>
          <w:color w:val="365F91"/>
        </w:rPr>
        <w:t>Worum geht es? </w:t>
      </w:r>
      <w:r>
        <w:t xml:space="preserve">Verkauft eine Trafag-Gesellschaft an eine andere und diese anschließend an den Endkunden, erscheinen in der Summe der Standortumsätze beide Verkäufe. Das ist für eine Standort-Bruttosicht korrekt, für einen konsolidierten Konzern-Außenumsatz jedoch eine Doppelzählung.</w:t>
      </w:r>
    </w:p>
    <w:p>
      <w:pPr>
        <w:pStyle w:val="BodyText"/>
        <w:keepLines/>
      </w:pPr>
      <w:r>
        <w:rPr>
          <w:b/>
          <w:color w:val="365F91"/>
        </w:rPr>
        <w:t>Was ist zu tun / zu entscheiden? </w:t>
      </w:r>
      <w:r>
        <w:t xml:space="preserve">Andreas entscheidet, ob die führende KPI Standortumsätze inklusive IC oder den konsolidierten Außenumsatz zeigen soll. Falls konsolidiert: Konsolidierungskreis und 2nd Party festlegen, interne Kundennummern/Namensmarker bestätigen, Ausnahmen definieren und entscheiden, ob Ist ohne IC den Sollvergleich führt. Die einzelnen DE-/IT-Ausschlüsse dabei vereinheitlichen.</w:t>
      </w:r>
    </w:p>
    <w:p>
      <w:pPr>
        <w:pStyle w:val="BodyText"/>
        <w:keepLines/>
      </w:pPr>
      <w:r>
        <w:rPr>
          <w:b/>
          <w:color w:val="365F91"/>
        </w:rPr>
        <w:t>Erledigt, wenn … </w:t>
      </w:r>
      <w:r>
        <w:t xml:space="preserve">Die offizielle Umsatzdefinition und der Konsolidierungskreis sind dokumentiert; Dashboard-Hauptwert, Ist ohne IC und Sollvergleich folgen derselben freigegebenen Regel.</w:t>
      </w:r>
    </w:p>
    <w:p>
      <w:pPr>
        <w:pBdr>
          <w:bottom w:val="single" w:color="B4C6E7" w:sz="6" w:space="6"/>
        </w:pBdr>
        <w:spacing w:after="100"/>
      </w:pPr>
    </w:p>
    <w:p>
      <w:pPr>
        <w:pStyle w:val="Heading2"/>
      </w:pPr>
      <w:r>
        <w:rPr/>
        <w:t xml:space="preserve">ISS-003.3 · DE/ES ohne Lieferantenfelder</w:t>
      </w:r>
    </w:p>
    <w:tbl>
      <w:tblPr>
        <w:tblW w:w="5000" w:type="pct"/>
        <w:tblBorders>
          <w:top w:val="single" w:color="D9E2F3" w:sz="4"/>
          <w:left w:val="single" w:color="D9E2F3" w:sz="4"/>
          <w:bottom w:val="single" w:color="D9E2F3" w:sz="4"/>
          <w:right w:val="single" w:color="D9E2F3" w:sz="4"/>
          <w:insideH w:val="single" w:color="E7E6E6" w:sz="3"/>
          <w:insideV w:val="single" w:color="E7E6E6" w:sz="3"/>
        </w:tblBorders>
      </w:tblPr>
      <w:tblGrid>
        <w:gridCol w:w="1250"/>
        <w:gridCol w:w="3750"/>
        <w:gridCol w:w="1250"/>
        <w:gridCol w:w="3750"/>
      </w:tblGrid>
      <w:tr>
        <w:tc>
          <w:tcPr>
            <w:tcW w:w="1250" w:type="pct"/>
            <w:shd w:val="clear" w:fill="D9E2F3"/>
            <w:tcMar>
              <w:top w:w="70" w:type="dxa"/>
              <w:left w:w="90" w:type="dxa"/>
              <w:bottom w:w="70" w:type="dxa"/>
              <w:right w:w="90" w:type="dxa"/>
            </w:tcMar>
          </w:tcPr>
          <w:p>
            <w:pPr>
              <w:pStyle w:val="Meta"/>
            </w:pPr>
            <w:r>
              <w:rPr>
                <w:b/>
              </w:rPr>
              <w:t>Status</w:t>
            </w:r>
          </w:p>
        </w:tc>
        <w:tc>
          <w:tcPr>
            <w:tcW w:w="3750" w:type="pct"/>
            <w:shd w:val="clear" w:fill="FCE5CD"/>
            <w:tcMar>
              <w:top w:w="70" w:type="dxa"/>
              <w:left w:w="90" w:type="dxa"/>
              <w:bottom w:w="70" w:type="dxa"/>
              <w:right w:w="90" w:type="dxa"/>
            </w:tcMar>
          </w:tcPr>
          <w:p>
            <w:pPr>
              <w:pStyle w:val="Meta"/>
            </w:pPr>
            <w:r>
              <w:rPr/>
              <w:t>Offen</w:t>
            </w:r>
          </w:p>
        </w:tc>
        <w:tc>
          <w:tcPr>
            <w:tcW w:w="1250" w:type="pct"/>
            <w:shd w:val="clear" w:fill="D9E2F3"/>
            <w:tcMar>
              <w:top w:w="70" w:type="dxa"/>
              <w:left w:w="90" w:type="dxa"/>
              <w:bottom w:w="70" w:type="dxa"/>
              <w:right w:w="90" w:type="dxa"/>
            </w:tcMar>
          </w:tcPr>
          <w:p>
            <w:pPr>
              <w:pStyle w:val="Meta"/>
            </w:pPr>
            <w:r>
              <w:rPr>
                <w:b/>
              </w:rPr>
              <w:t>Owner</w:t>
            </w:r>
          </w:p>
        </w:tc>
        <w:tc>
          <w:tcPr>
            <w:tcW w:w="3750" w:type="pct"/>
            <w:shd w:val="clear" w:fill="D9EAF7"/>
            <w:tcMar>
              <w:top w:w="70" w:type="dxa"/>
              <w:left w:w="90" w:type="dxa"/>
              <w:bottom w:w="70" w:type="dxa"/>
              <w:right w:w="90" w:type="dxa"/>
            </w:tcMar>
          </w:tcPr>
          <w:p>
            <w:pPr>
              <w:pStyle w:val="Meta"/>
            </w:pPr>
            <w:r>
              <w:rPr/>
              <w:t>Ingo</w:t>
            </w:r>
          </w:p>
        </w:tc>
      </w:tr>
      <w:tr>
        <w:tc>
          <w:tcPr>
            <w:tcW w:w="1250" w:type="pct"/>
            <w:shd w:val="clear" w:fill="D9E2F3"/>
            <w:tcMar>
              <w:top w:w="70" w:type="dxa"/>
              <w:left w:w="90" w:type="dxa"/>
              <w:bottom w:w="70" w:type="dxa"/>
              <w:right w:w="90" w:type="dxa"/>
            </w:tcMar>
          </w:tcPr>
          <w:p>
            <w:pPr>
              <w:pStyle w:val="Meta"/>
            </w:pPr>
            <w:r>
              <w:rPr>
                <w:b/>
              </w:rPr>
              <w:t>Bereich</w:t>
            </w:r>
          </w:p>
        </w:tc>
        <w:tc>
          <w:tcPr>
            <w:tcW w:w="3750" w:type="pct"/>
            <w:shd w:val="clear" w:fill="F2F2F2"/>
            <w:tcMar>
              <w:top w:w="70" w:type="dxa"/>
              <w:left w:w="90" w:type="dxa"/>
              <w:bottom w:w="70" w:type="dxa"/>
              <w:right w:w="90" w:type="dxa"/>
            </w:tcMar>
          </w:tcPr>
          <w:p>
            <w:pPr>
              <w:pStyle w:val="Meta"/>
            </w:pPr>
            <w:r>
              <w:rPr/>
              <w:t>Finance DE/ES</w:t>
            </w:r>
          </w:p>
        </w:tc>
        <w:tc>
          <w:tcPr>
            <w:tcW w:w="1250" w:type="pct"/>
            <w:shd w:val="clear" w:fill="D9E2F3"/>
            <w:tcMar>
              <w:top w:w="70" w:type="dxa"/>
              <w:left w:w="90" w:type="dxa"/>
              <w:bottom w:w="70" w:type="dxa"/>
              <w:right w:w="90" w:type="dxa"/>
            </w:tcMar>
          </w:tcPr>
          <w:p>
            <w:pPr>
              <w:pStyle w:val="Meta"/>
            </w:pPr>
            <w:r>
              <w:rPr>
                <w:b/>
              </w:rPr>
              <w:t>Dringlichkeit</w:t>
            </w:r>
          </w:p>
        </w:tc>
        <w:tc>
          <w:tcPr>
            <w:tcW w:w="3750" w:type="pct"/>
            <w:shd w:val="clear" w:fill="F2F2F2"/>
            <w:tcMar>
              <w:top w:w="70" w:type="dxa"/>
              <w:left w:w="90" w:type="dxa"/>
              <w:bottom w:w="70" w:type="dxa"/>
              <w:right w:w="90" w:type="dxa"/>
            </w:tcMar>
          </w:tcPr>
          <w:p>
            <w:pPr>
              <w:pStyle w:val="Meta"/>
            </w:pPr>
            <w:r>
              <w:rPr/>
              <w:t>Umsetzung</w:t>
            </w:r>
          </w:p>
        </w:tc>
      </w:tr>
    </w:tbl>
    <w:p>
      <w:pPr>
        <w:pStyle w:val="BodyText"/>
        <w:keepLines/>
      </w:pPr>
      <w:r>
        <w:rPr>
          <w:b/>
          <w:color w:val="365F91"/>
        </w:rPr>
        <w:t>Worum geht es? </w:t>
      </w:r>
      <w:r>
        <w:t xml:space="preserve">Deutschland und Spanien zeigen in allen Lieferantenfeldern 0 %. Das kann eine echte Quelllücke sein, aber UK hat gezeigt, dass vorhandene Lieferantenspalten auch nur im eigenen Mapping fehlen können. Eine vorschnelle Standortanfrage würde deshalb möglicherweise unnötige Pflege auslösen.</w:t>
      </w:r>
    </w:p>
    <w:p>
      <w:pPr>
        <w:pStyle w:val="BodyText"/>
        <w:keepLines/>
      </w:pPr>
      <w:r>
        <w:rPr>
          <w:b/>
          <w:color w:val="365F91"/>
        </w:rPr>
        <w:t>Was ist zu tun / zu entscheiden? </w:t>
      </w:r>
      <w:r>
        <w:t xml:space="preserve">Für DE und ES zuerst Export-SQL, Rohdatei und Import-Mapping spaltenweise vergleichen. Nur wenn die Quelle das Feld tatsächlich nicht liefert, mit einem konkreten Feldbedarf an den jeweiligen Standort gehen.</w:t>
      </w:r>
    </w:p>
    <w:p>
      <w:pPr>
        <w:pStyle w:val="BodyText"/>
        <w:keepLines/>
      </w:pPr>
      <w:r>
        <w:rPr>
          <w:b/>
          <w:color w:val="365F91"/>
        </w:rPr>
        <w:t>Erledigt, wenn … </w:t>
      </w:r>
      <w:r>
        <w:t xml:space="preserve">Für beide Länder ist belegt, ob die Information in der Quelle existiert; vorhandene Felder sind gemappt oder eine echte Quelllücke ist mit Ansprechpartner und vereinbartem nächsten Schritt dokumentiert.</w:t>
      </w:r>
    </w:p>
    <w:p>
      <w:pPr>
        <w:pBdr>
          <w:bottom w:val="single" w:color="B4C6E7" w:sz="6" w:space="6"/>
        </w:pBdr>
        <w:spacing w:after="100"/>
      </w:pPr>
    </w:p>
    <w:p>
      <w:pPr>
        <w:pStyle w:val="Heading2"/>
      </w:pPr>
      <w:r>
        <w:rPr/>
        <w:t xml:space="preserve">ISS-006 · CH/AT Journal, SAP-Set aktivieren</w:t>
      </w:r>
    </w:p>
    <w:tbl>
      <w:tblPr>
        <w:tblW w:w="5000" w:type="pct"/>
        <w:tblBorders>
          <w:top w:val="single" w:color="D9E2F3" w:sz="4"/>
          <w:left w:val="single" w:color="D9E2F3" w:sz="4"/>
          <w:bottom w:val="single" w:color="D9E2F3" w:sz="4"/>
          <w:right w:val="single" w:color="D9E2F3" w:sz="4"/>
          <w:insideH w:val="single" w:color="E7E6E6" w:sz="3"/>
          <w:insideV w:val="single" w:color="E7E6E6" w:sz="3"/>
        </w:tblBorders>
      </w:tblPr>
      <w:tblGrid>
        <w:gridCol w:w="1250"/>
        <w:gridCol w:w="3750"/>
        <w:gridCol w:w="1250"/>
        <w:gridCol w:w="3750"/>
      </w:tblGrid>
      <w:tr>
        <w:tc>
          <w:tcPr>
            <w:tcW w:w="1250" w:type="pct"/>
            <w:shd w:val="clear" w:fill="D9E2F3"/>
            <w:tcMar>
              <w:top w:w="70" w:type="dxa"/>
              <w:left w:w="90" w:type="dxa"/>
              <w:bottom w:w="70" w:type="dxa"/>
              <w:right w:w="90" w:type="dxa"/>
            </w:tcMar>
          </w:tcPr>
          <w:p>
            <w:pPr>
              <w:pStyle w:val="Meta"/>
            </w:pPr>
            <w:r>
              <w:rPr>
                <w:b/>
              </w:rPr>
              <w:t>Status</w:t>
            </w:r>
          </w:p>
        </w:tc>
        <w:tc>
          <w:tcPr>
            <w:tcW w:w="3750" w:type="pct"/>
            <w:shd w:val="clear" w:fill="FCE5CD"/>
            <w:tcMar>
              <w:top w:w="70" w:type="dxa"/>
              <w:left w:w="90" w:type="dxa"/>
              <w:bottom w:w="70" w:type="dxa"/>
              <w:right w:w="90" w:type="dxa"/>
            </w:tcMar>
          </w:tcPr>
          <w:p>
            <w:pPr>
              <w:pStyle w:val="Meta"/>
            </w:pPr>
            <w:r>
              <w:rPr/>
              <w:t>Offen</w:t>
            </w:r>
          </w:p>
        </w:tc>
        <w:tc>
          <w:tcPr>
            <w:tcW w:w="1250" w:type="pct"/>
            <w:shd w:val="clear" w:fill="D9E2F3"/>
            <w:tcMar>
              <w:top w:w="70" w:type="dxa"/>
              <w:left w:w="90" w:type="dxa"/>
              <w:bottom w:w="70" w:type="dxa"/>
              <w:right w:w="90" w:type="dxa"/>
            </w:tcMar>
          </w:tcPr>
          <w:p>
            <w:pPr>
              <w:pStyle w:val="Meta"/>
            </w:pPr>
            <w:r>
              <w:rPr>
                <w:b/>
              </w:rPr>
              <w:t>Owner</w:t>
            </w:r>
          </w:p>
        </w:tc>
        <w:tc>
          <w:tcPr>
            <w:tcW w:w="3750" w:type="pct"/>
            <w:shd w:val="clear" w:fill="D9EAF7"/>
            <w:tcMar>
              <w:top w:w="70" w:type="dxa"/>
              <w:left w:w="90" w:type="dxa"/>
              <w:bottom w:w="70" w:type="dxa"/>
              <w:right w:w="90" w:type="dxa"/>
            </w:tcMar>
          </w:tcPr>
          <w:p>
            <w:pPr>
              <w:pStyle w:val="Meta"/>
            </w:pPr>
            <w:r>
              <w:rPr/>
              <w:t>SAP / Ingo</w:t>
            </w:r>
          </w:p>
        </w:tc>
      </w:tr>
      <w:tr>
        <w:tc>
          <w:tcPr>
            <w:tcW w:w="1250" w:type="pct"/>
            <w:shd w:val="clear" w:fill="D9E2F3"/>
            <w:tcMar>
              <w:top w:w="70" w:type="dxa"/>
              <w:left w:w="90" w:type="dxa"/>
              <w:bottom w:w="70" w:type="dxa"/>
              <w:right w:w="90" w:type="dxa"/>
            </w:tcMar>
          </w:tcPr>
          <w:p>
            <w:pPr>
              <w:pStyle w:val="Meta"/>
            </w:pPr>
            <w:r>
              <w:rPr>
                <w:b/>
              </w:rPr>
              <w:t>Bereich</w:t>
            </w:r>
          </w:p>
        </w:tc>
        <w:tc>
          <w:tcPr>
            <w:tcW w:w="3750" w:type="pct"/>
            <w:shd w:val="clear" w:fill="F2F2F2"/>
            <w:tcMar>
              <w:top w:w="70" w:type="dxa"/>
              <w:left w:w="90" w:type="dxa"/>
              <w:bottom w:w="70" w:type="dxa"/>
              <w:right w:w="90" w:type="dxa"/>
            </w:tcMar>
          </w:tcPr>
          <w:p>
            <w:pPr>
              <w:pStyle w:val="Meta"/>
            </w:pPr>
            <w:r>
              <w:rPr/>
              <w:t>Finance CH/AT</w:t>
            </w:r>
          </w:p>
        </w:tc>
        <w:tc>
          <w:tcPr>
            <w:tcW w:w="1250" w:type="pct"/>
            <w:shd w:val="clear" w:fill="D9E2F3"/>
            <w:tcMar>
              <w:top w:w="70" w:type="dxa"/>
              <w:left w:w="90" w:type="dxa"/>
              <w:bottom w:w="70" w:type="dxa"/>
              <w:right w:w="90" w:type="dxa"/>
            </w:tcMar>
          </w:tcPr>
          <w:p>
            <w:pPr>
              <w:pStyle w:val="Meta"/>
            </w:pPr>
            <w:r>
              <w:rPr>
                <w:b/>
              </w:rPr>
              <w:t>Dringlichkeit</w:t>
            </w:r>
          </w:p>
        </w:tc>
        <w:tc>
          <w:tcPr>
            <w:tcW w:w="3750" w:type="pct"/>
            <w:shd w:val="clear" w:fill="F2F2F2"/>
            <w:tcMar>
              <w:top w:w="70" w:type="dxa"/>
              <w:left w:w="90" w:type="dxa"/>
              <w:bottom w:w="70" w:type="dxa"/>
              <w:right w:w="90" w:type="dxa"/>
            </w:tcMar>
          </w:tcPr>
          <w:p>
            <w:pPr>
              <w:pStyle w:val="Meta"/>
            </w:pPr>
            <w:r>
              <w:rPr/>
              <w:t>Umsetzung</w:t>
            </w:r>
          </w:p>
        </w:tc>
      </w:tr>
    </w:tbl>
    <w:p>
      <w:pPr>
        <w:pStyle w:val="BodyText"/>
        <w:keepLines/>
      </w:pPr>
      <w:r>
        <w:rPr>
          <w:b/>
          <w:color w:val="365F91"/>
        </w:rPr>
        <w:t>Worum geht es? </w:t>
      </w:r>
      <w:r>
        <w:t xml:space="preserve">Das CH/AT-Journal ist in der Anwendung vorbereitet, erhält aber ohne das SAP-OData-EntitySet FinanzJournalSet keine Daten. Die Spezifikation ist vorhanden; offen ist nur die Aktivierung im SAP-System.</w:t>
      </w:r>
    </w:p>
    <w:p>
      <w:pPr>
        <w:pStyle w:val="BodyText"/>
        <w:keepLines/>
      </w:pPr>
      <w:r>
        <w:rPr>
          <w:b/>
          <w:color w:val="365F91"/>
        </w:rPr>
        <w:t>Was ist zu tun / zu entscheiden? </w:t>
      </w:r>
      <w:r>
        <w:t xml:space="preserve">EntitySet in SAP aktivieren. Anschließend produktives $metadata und mindestens eine echte Datenantwort prüfen, danach einen Journal-Import und die Anzeige für CH/AT kontrollieren.</w:t>
      </w:r>
    </w:p>
    <w:p>
      <w:pPr>
        <w:pStyle w:val="BodyText"/>
        <w:keepLines/>
      </w:pPr>
      <w:r>
        <w:rPr>
          <w:b/>
          <w:color w:val="365F91"/>
        </w:rPr>
        <w:t>Erledigt, wenn … </w:t>
      </w:r>
      <w:r>
        <w:t xml:space="preserve">FinanzJournalSet liefert produktiv HTTP 200 mit den erwarteten Feldern und das CH/AT-Journal zeigt einen erfolgreich importierten, plausiblen Datenbestand.</w:t>
      </w:r>
    </w:p>
    <w:p>
      <w:pPr>
        <w:pBdr>
          <w:bottom w:val="single" w:color="B4C6E7" w:sz="6" w:space="6"/>
        </w:pBdr>
        <w:spacing w:after="100"/>
      </w:pPr>
    </w:p>
    <w:p>
      <w:pPr>
        <w:pStyle w:val="Heading2"/>
      </w:pPr>
      <w:r>
        <w:rPr/>
        <w:t xml:space="preserve">ISS-007.1 · TR IT Moving Average: technisch nicht umstellbar</w:t>
      </w:r>
    </w:p>
    <w:tbl>
      <w:tblPr>
        <w:tblW w:w="5000" w:type="pct"/>
        <w:tblBorders>
          <w:top w:val="single" w:color="D9E2F3" w:sz="4"/>
          <w:left w:val="single" w:color="D9E2F3" w:sz="4"/>
          <w:bottom w:val="single" w:color="D9E2F3" w:sz="4"/>
          <w:right w:val="single" w:color="D9E2F3" w:sz="4"/>
          <w:insideH w:val="single" w:color="E7E6E6" w:sz="3"/>
          <w:insideV w:val="single" w:color="E7E6E6" w:sz="3"/>
        </w:tblBorders>
      </w:tblPr>
      <w:tblGrid>
        <w:gridCol w:w="1250"/>
        <w:gridCol w:w="3750"/>
        <w:gridCol w:w="1250"/>
        <w:gridCol w:w="3750"/>
      </w:tblGrid>
      <w:tr>
        <w:tc>
          <w:tcPr>
            <w:tcW w:w="1250" w:type="pct"/>
            <w:shd w:val="clear" w:fill="D9E2F3"/>
            <w:tcMar>
              <w:top w:w="70" w:type="dxa"/>
              <w:left w:w="90" w:type="dxa"/>
              <w:bottom w:w="70" w:type="dxa"/>
              <w:right w:w="90" w:type="dxa"/>
            </w:tcMar>
          </w:tcPr>
          <w:p>
            <w:pPr>
              <w:pStyle w:val="Meta"/>
            </w:pPr>
            <w:r>
              <w:rPr>
                <w:b/>
              </w:rPr>
              <w:t>Status</w:t>
            </w:r>
          </w:p>
        </w:tc>
        <w:tc>
          <w:tcPr>
            <w:tcW w:w="3750" w:type="pct"/>
            <w:shd w:val="clear" w:fill="FFF2CC"/>
            <w:tcMar>
              <w:top w:w="70" w:type="dxa"/>
              <w:left w:w="90" w:type="dxa"/>
              <w:bottom w:w="70" w:type="dxa"/>
              <w:right w:w="90" w:type="dxa"/>
            </w:tcMar>
          </w:tcPr>
          <w:p>
            <w:pPr>
              <w:pStyle w:val="Meta"/>
            </w:pPr>
            <w:r>
              <w:rPr/>
              <w:t>Wartet auf Entscheid</w:t>
            </w:r>
          </w:p>
        </w:tc>
        <w:tc>
          <w:tcPr>
            <w:tcW w:w="1250" w:type="pct"/>
            <w:shd w:val="clear" w:fill="D9E2F3"/>
            <w:tcMar>
              <w:top w:w="70" w:type="dxa"/>
              <w:left w:w="90" w:type="dxa"/>
              <w:bottom w:w="70" w:type="dxa"/>
              <w:right w:w="90" w:type="dxa"/>
            </w:tcMar>
          </w:tcPr>
          <w:p>
            <w:pPr>
              <w:pStyle w:val="Meta"/>
            </w:pPr>
            <w:r>
              <w:rPr>
                <w:b/>
              </w:rPr>
              <w:t>Owner</w:t>
            </w:r>
          </w:p>
        </w:tc>
        <w:tc>
          <w:tcPr>
            <w:tcW w:w="3750" w:type="pct"/>
            <w:shd w:val="clear" w:fill="D9EAF7"/>
            <w:tcMar>
              <w:top w:w="70" w:type="dxa"/>
              <w:left w:w="90" w:type="dxa"/>
              <w:bottom w:w="70" w:type="dxa"/>
              <w:right w:w="90" w:type="dxa"/>
            </w:tcMar>
          </w:tcPr>
          <w:p>
            <w:pPr>
              <w:pStyle w:val="Meta"/>
            </w:pPr>
            <w:r>
              <w:rPr/>
              <w:t>Andreas / Ingo</w:t>
            </w:r>
          </w:p>
        </w:tc>
      </w:tr>
      <w:tr>
        <w:tc>
          <w:tcPr>
            <w:tcW w:w="1250" w:type="pct"/>
            <w:shd w:val="clear" w:fill="D9E2F3"/>
            <w:tcMar>
              <w:top w:w="70" w:type="dxa"/>
              <w:left w:w="90" w:type="dxa"/>
              <w:bottom w:w="70" w:type="dxa"/>
              <w:right w:w="90" w:type="dxa"/>
            </w:tcMar>
          </w:tcPr>
          <w:p>
            <w:pPr>
              <w:pStyle w:val="Meta"/>
            </w:pPr>
            <w:r>
              <w:rPr>
                <w:b/>
              </w:rPr>
              <w:t>Bereich</w:t>
            </w:r>
          </w:p>
        </w:tc>
        <w:tc>
          <w:tcPr>
            <w:tcW w:w="3750" w:type="pct"/>
            <w:shd w:val="clear" w:fill="F2F2F2"/>
            <w:tcMar>
              <w:top w:w="70" w:type="dxa"/>
              <w:left w:w="90" w:type="dxa"/>
              <w:bottom w:w="70" w:type="dxa"/>
              <w:right w:w="90" w:type="dxa"/>
            </w:tcMar>
          </w:tcPr>
          <w:p>
            <w:pPr>
              <w:pStyle w:val="Meta"/>
            </w:pPr>
            <w:r>
              <w:rPr/>
              <w:t>Finance IT</w:t>
            </w:r>
          </w:p>
        </w:tc>
        <w:tc>
          <w:tcPr>
            <w:tcW w:w="1250" w:type="pct"/>
            <w:shd w:val="clear" w:fill="D9E2F3"/>
            <w:tcMar>
              <w:top w:w="70" w:type="dxa"/>
              <w:left w:w="90" w:type="dxa"/>
              <w:bottom w:w="70" w:type="dxa"/>
              <w:right w:w="90" w:type="dxa"/>
            </w:tcMar>
          </w:tcPr>
          <w:p>
            <w:pPr>
              <w:pStyle w:val="Meta"/>
            </w:pPr>
            <w:r>
              <w:rPr>
                <w:b/>
              </w:rPr>
              <w:t>Dringlichkeit</w:t>
            </w:r>
          </w:p>
        </w:tc>
        <w:tc>
          <w:tcPr>
            <w:tcW w:w="3750" w:type="pct"/>
            <w:shd w:val="clear" w:fill="F2F2F2"/>
            <w:tcMar>
              <w:top w:w="70" w:type="dxa"/>
              <w:left w:w="90" w:type="dxa"/>
              <w:bottom w:w="70" w:type="dxa"/>
              <w:right w:w="90" w:type="dxa"/>
            </w:tcMar>
          </w:tcPr>
          <w:p>
            <w:pPr>
              <w:pStyle w:val="Meta"/>
            </w:pPr>
            <w:r>
              <w:rPr/>
              <w:t>Nur terminieren</w:t>
            </w:r>
          </w:p>
        </w:tc>
      </w:tr>
    </w:tbl>
    <w:p>
      <w:pPr>
        <w:pStyle w:val="BodyText"/>
        <w:keepLines/>
      </w:pPr>
      <w:r>
        <w:rPr>
          <w:b/>
          <w:color w:val="365F91"/>
        </w:rPr>
        <w:t>Worum geht es? </w:t>
      </w:r>
      <w:r>
        <w:t xml:space="preserve">Paola Castagna hat am 04.09.2026 geantwortet: die Bewertungsmethode eines bestehenden B1-Artikels lässt sich nicht mehr ändern, weder als Massenupdate noch artikelweise. Eine Angleichung an die Konzernvorgabe ginge nur als Neucodierungsprojekt über rund 31'600 Artikel, samt neuer technischer Zeichnungen bei allen Lieferanten. Eine Kostenschätzung liegt nicht vor.</w:t>
      </w:r>
    </w:p>
    <w:p>
      <w:pPr>
        <w:pStyle w:val="BodyText"/>
        <w:keepLines/>
      </w:pPr>
      <w:r>
        <w:rPr>
          <w:b/>
          <w:color w:val="365F91"/>
        </w:rPr>
        <w:t>Was ist zu tun / zu entscheiden? </w:t>
      </w:r>
      <w:r>
        <w:t xml:space="preserve">Andreas beurteilt, wie notwendig und dringend die Angleichung aus Konzernsicht ist. Parallel die Wirkung auf die Intercompany-Artikel von Trafag und Industrial Components mit Lucas Castro bewerten. Das Reporting ist nicht betroffen, weil INV1.StockPrice auf Belegebene unabhängig von der Bewertungsmethode arbeitet.</w:t>
      </w:r>
    </w:p>
    <w:p>
      <w:pPr>
        <w:pStyle w:val="BodyText"/>
        <w:keepLines/>
      </w:pPr>
      <w:r>
        <w:rPr>
          <w:b/>
          <w:color w:val="365F91"/>
        </w:rPr>
        <w:t>Erledigt, wenn … </w:t>
      </w:r>
      <w:r>
        <w:t xml:space="preserve">Andreas hat entschieden, ob das Neucodierungsprojekt verfolgt wird; bei Ja liegt eine Kostenschätzung aus Italien vor, bei Nein ist die Abweichung von der Konzernvorgabe schriftlich akzeptiert.</w:t>
      </w:r>
    </w:p>
    <w:p>
      <w:pPr>
        <w:pBdr>
          <w:bottom w:val="single" w:color="B4C6E7" w:sz="6" w:space="6"/>
        </w:pBdr>
        <w:spacing w:after="100"/>
      </w:pPr>
    </w:p>
    <w:p>
      <w:pPr>
        <w:pStyle w:val="Heading2"/>
      </w:pPr>
      <w:r>
        <w:rPr/>
        <w:t xml:space="preserve">ISS-008 · Budget-CHF als Reportinggrösse</w:t>
      </w:r>
    </w:p>
    <w:tbl>
      <w:tblPr>
        <w:tblW w:w="5000" w:type="pct"/>
        <w:tblBorders>
          <w:top w:val="single" w:color="D9E2F3" w:sz="4"/>
          <w:left w:val="single" w:color="D9E2F3" w:sz="4"/>
          <w:bottom w:val="single" w:color="D9E2F3" w:sz="4"/>
          <w:right w:val="single" w:color="D9E2F3" w:sz="4"/>
          <w:insideH w:val="single" w:color="E7E6E6" w:sz="3"/>
          <w:insideV w:val="single" w:color="E7E6E6" w:sz="3"/>
        </w:tblBorders>
      </w:tblPr>
      <w:tblGrid>
        <w:gridCol w:w="1250"/>
        <w:gridCol w:w="3750"/>
        <w:gridCol w:w="1250"/>
        <w:gridCol w:w="3750"/>
      </w:tblGrid>
      <w:tr>
        <w:tc>
          <w:tcPr>
            <w:tcW w:w="1250" w:type="pct"/>
            <w:shd w:val="clear" w:fill="D9E2F3"/>
            <w:tcMar>
              <w:top w:w="70" w:type="dxa"/>
              <w:left w:w="90" w:type="dxa"/>
              <w:bottom w:w="70" w:type="dxa"/>
              <w:right w:w="90" w:type="dxa"/>
            </w:tcMar>
          </w:tcPr>
          <w:p>
            <w:pPr>
              <w:pStyle w:val="Meta"/>
            </w:pPr>
            <w:r>
              <w:rPr>
                <w:b/>
              </w:rPr>
              <w:t>Status</w:t>
            </w:r>
          </w:p>
        </w:tc>
        <w:tc>
          <w:tcPr>
            <w:tcW w:w="3750" w:type="pct"/>
            <w:shd w:val="clear" w:fill="FCE5CD"/>
            <w:tcMar>
              <w:top w:w="70" w:type="dxa"/>
              <w:left w:w="90" w:type="dxa"/>
              <w:bottom w:w="70" w:type="dxa"/>
              <w:right w:w="90" w:type="dxa"/>
            </w:tcMar>
          </w:tcPr>
          <w:p>
            <w:pPr>
              <w:pStyle w:val="Meta"/>
            </w:pPr>
            <w:r>
              <w:rPr/>
              <w:t>Offen</w:t>
            </w:r>
          </w:p>
        </w:tc>
        <w:tc>
          <w:tcPr>
            <w:tcW w:w="1250" w:type="pct"/>
            <w:shd w:val="clear" w:fill="D9E2F3"/>
            <w:tcMar>
              <w:top w:w="70" w:type="dxa"/>
              <w:left w:w="90" w:type="dxa"/>
              <w:bottom w:w="70" w:type="dxa"/>
              <w:right w:w="90" w:type="dxa"/>
            </w:tcMar>
          </w:tcPr>
          <w:p>
            <w:pPr>
              <w:pStyle w:val="Meta"/>
            </w:pPr>
            <w:r>
              <w:rPr>
                <w:b/>
              </w:rPr>
              <w:t>Owner</w:t>
            </w:r>
          </w:p>
        </w:tc>
        <w:tc>
          <w:tcPr>
            <w:tcW w:w="3750" w:type="pct"/>
            <w:shd w:val="clear" w:fill="D9EAF7"/>
            <w:tcMar>
              <w:top w:w="70" w:type="dxa"/>
              <w:left w:w="90" w:type="dxa"/>
              <w:bottom w:w="70" w:type="dxa"/>
              <w:right w:w="90" w:type="dxa"/>
            </w:tcMar>
          </w:tcPr>
          <w:p>
            <w:pPr>
              <w:pStyle w:val="Meta"/>
            </w:pPr>
            <w:r>
              <w:rPr/>
              <w:t>Finance / Andreas</w:t>
            </w:r>
          </w:p>
        </w:tc>
      </w:tr>
      <w:tr>
        <w:tc>
          <w:tcPr>
            <w:tcW w:w="1250" w:type="pct"/>
            <w:shd w:val="clear" w:fill="D9E2F3"/>
            <w:tcMar>
              <w:top w:w="70" w:type="dxa"/>
              <w:left w:w="90" w:type="dxa"/>
              <w:bottom w:w="70" w:type="dxa"/>
              <w:right w:w="90" w:type="dxa"/>
            </w:tcMar>
          </w:tcPr>
          <w:p>
            <w:pPr>
              <w:pStyle w:val="Meta"/>
            </w:pPr>
            <w:r>
              <w:rPr>
                <w:b/>
              </w:rPr>
              <w:t>Bereich</w:t>
            </w:r>
          </w:p>
        </w:tc>
        <w:tc>
          <w:tcPr>
            <w:tcW w:w="3750" w:type="pct"/>
            <w:shd w:val="clear" w:fill="F2F2F2"/>
            <w:tcMar>
              <w:top w:w="70" w:type="dxa"/>
              <w:left w:w="90" w:type="dxa"/>
              <w:bottom w:w="70" w:type="dxa"/>
              <w:right w:w="90" w:type="dxa"/>
            </w:tcMar>
          </w:tcPr>
          <w:p>
            <w:pPr>
              <w:pStyle w:val="Meta"/>
            </w:pPr>
            <w:r>
              <w:rPr/>
              <w:t>Finance Reporting</w:t>
            </w:r>
          </w:p>
        </w:tc>
        <w:tc>
          <w:tcPr>
            <w:tcW w:w="1250" w:type="pct"/>
            <w:shd w:val="clear" w:fill="D9E2F3"/>
            <w:tcMar>
              <w:top w:w="70" w:type="dxa"/>
              <w:left w:w="90" w:type="dxa"/>
              <w:bottom w:w="70" w:type="dxa"/>
              <w:right w:w="90" w:type="dxa"/>
            </w:tcMar>
          </w:tcPr>
          <w:p>
            <w:pPr>
              <w:pStyle w:val="Meta"/>
            </w:pPr>
            <w:r>
              <w:rPr>
                <w:b/>
              </w:rPr>
              <w:t>Dringlichkeit</w:t>
            </w:r>
          </w:p>
        </w:tc>
        <w:tc>
          <w:tcPr>
            <w:tcW w:w="3750" w:type="pct"/>
            <w:shd w:val="clear" w:fill="F2F2F2"/>
            <w:tcMar>
              <w:top w:w="70" w:type="dxa"/>
              <w:left w:w="90" w:type="dxa"/>
              <w:bottom w:w="70" w:type="dxa"/>
              <w:right w:w="90" w:type="dxa"/>
            </w:tcMar>
          </w:tcPr>
          <w:p>
            <w:pPr>
              <w:pStyle w:val="Meta"/>
            </w:pPr>
            <w:r>
              <w:rPr/>
              <w:t>Nur terminieren</w:t>
            </w:r>
          </w:p>
        </w:tc>
      </w:tr>
    </w:tbl>
    <w:p>
      <w:pPr>
        <w:pStyle w:val="BodyText"/>
        <w:keepLines/>
      </w:pPr>
      <w:r>
        <w:rPr>
          <w:b/>
          <w:color w:val="365F91"/>
        </w:rPr>
        <w:t>Worum geht es? </w:t>
      </w:r>
      <w:r>
        <w:t xml:space="preserve">Budget-CHF soll eine zusätzliche Kontrollsicht sein und die führenden Local-Currency-Werte nicht ersetzen. Offen sind die verbindlichen Jahreskurse und deren Freigabe, Pflegeverantwortung, Spaltenumfang, Verhalten bei fehlenden Kursen, Rundung und Anzeigeort.</w:t>
      </w:r>
    </w:p>
    <w:p>
      <w:pPr>
        <w:pStyle w:val="BodyText"/>
        <w:keepLines/>
      </w:pPr>
      <w:r>
        <w:rPr>
          <w:b/>
          <w:color w:val="365F91"/>
        </w:rPr>
        <w:t>Was ist zu tun / zu entscheiden? </w:t>
      </w:r>
      <w:r>
        <w:t xml:space="preserve">Finance bestätigt die Budgetkurse 2025/2026 und den Owner, wählt die sichtbaren Excel-/Dashboard-Spalten, legt das Fehlkursverhalten und die Rundung fest und bestimmt die Ansichten. Zusätzlich DE-Jahreswechsel und gewünschten Kontrollnachweis klären.</w:t>
      </w:r>
    </w:p>
    <w:p>
      <w:pPr>
        <w:pStyle w:val="BodyText"/>
        <w:keepLines/>
      </w:pPr>
      <w:r>
        <w:rPr>
          <w:b/>
          <w:color w:val="365F91"/>
        </w:rPr>
        <w:t>Erledigt, wenn … </w:t>
      </w:r>
      <w:r>
        <w:t xml:space="preserve">Ein freigegebener Beschluss mit Kursen, Owner, Pflegeprozess, Fehlkursregel, Rundung und Anzeigeorten liegt vor; erst dann wird die Reporting-Sicht umgesetzt beziehungsweise abgenommen.</w:t>
      </w:r>
    </w:p>
    <w:p>
      <w:pPr>
        <w:pBdr>
          <w:bottom w:val="single" w:color="B4C6E7" w:sz="6" w:space="6"/>
        </w:pBdr>
        <w:spacing w:after="100"/>
      </w:pPr>
    </w:p>
    <w:p>
      <w:pPr>
        <w:pStyle w:val="Heading2"/>
      </w:pPr>
      <w:r>
        <w:rPr/>
        <w:t xml:space="preserve">Nr. 28 · Arbeitsmappe Standortkosten auf den Sitzungsstand bringen</w:t>
      </w:r>
    </w:p>
    <w:tbl>
      <w:tblPr>
        <w:tblW w:w="5000" w:type="pct"/>
        <w:tblBorders>
          <w:top w:val="single" w:color="D9E2F3" w:sz="4"/>
          <w:left w:val="single" w:color="D9E2F3" w:sz="4"/>
          <w:bottom w:val="single" w:color="D9E2F3" w:sz="4"/>
          <w:right w:val="single" w:color="D9E2F3" w:sz="4"/>
          <w:insideH w:val="single" w:color="E7E6E6" w:sz="3"/>
          <w:insideV w:val="single" w:color="E7E6E6" w:sz="3"/>
        </w:tblBorders>
      </w:tblPr>
      <w:tblGrid>
        <w:gridCol w:w="1250"/>
        <w:gridCol w:w="3750"/>
        <w:gridCol w:w="1250"/>
        <w:gridCol w:w="3750"/>
      </w:tblGrid>
      <w:tr>
        <w:tc>
          <w:tcPr>
            <w:tcW w:w="1250" w:type="pct"/>
            <w:shd w:val="clear" w:fill="D9E2F3"/>
            <w:tcMar>
              <w:top w:w="70" w:type="dxa"/>
              <w:left w:w="90" w:type="dxa"/>
              <w:bottom w:w="70" w:type="dxa"/>
              <w:right w:w="90" w:type="dxa"/>
            </w:tcMar>
          </w:tcPr>
          <w:p>
            <w:pPr>
              <w:pStyle w:val="Meta"/>
            </w:pPr>
            <w:r>
              <w:rPr>
                <w:b/>
              </w:rPr>
              <w:t>Status</w:t>
            </w:r>
          </w:p>
        </w:tc>
        <w:tc>
          <w:tcPr>
            <w:tcW w:w="3750" w:type="pct"/>
            <w:shd w:val="clear" w:fill="FCE5CD"/>
            <w:tcMar>
              <w:top w:w="70" w:type="dxa"/>
              <w:left w:w="90" w:type="dxa"/>
              <w:bottom w:w="70" w:type="dxa"/>
              <w:right w:w="90" w:type="dxa"/>
            </w:tcMar>
          </w:tcPr>
          <w:p>
            <w:pPr>
              <w:pStyle w:val="Meta"/>
            </w:pPr>
            <w:r>
              <w:rPr/>
              <w:t>Offen</w:t>
            </w:r>
          </w:p>
        </w:tc>
        <w:tc>
          <w:tcPr>
            <w:tcW w:w="1250" w:type="pct"/>
            <w:shd w:val="clear" w:fill="D9E2F3"/>
            <w:tcMar>
              <w:top w:w="70" w:type="dxa"/>
              <w:left w:w="90" w:type="dxa"/>
              <w:bottom w:w="70" w:type="dxa"/>
              <w:right w:w="90" w:type="dxa"/>
            </w:tcMar>
          </w:tcPr>
          <w:p>
            <w:pPr>
              <w:pStyle w:val="Meta"/>
            </w:pPr>
            <w:r>
              <w:rPr>
                <w:b/>
              </w:rPr>
              <w:t>Owner</w:t>
            </w:r>
          </w:p>
        </w:tc>
        <w:tc>
          <w:tcPr>
            <w:tcW w:w="3750" w:type="pct"/>
            <w:shd w:val="clear" w:fill="D9EAF7"/>
            <w:tcMar>
              <w:top w:w="70" w:type="dxa"/>
              <w:left w:w="90" w:type="dxa"/>
              <w:bottom w:w="70" w:type="dxa"/>
              <w:right w:w="90" w:type="dxa"/>
            </w:tcMar>
          </w:tcPr>
          <w:p>
            <w:pPr>
              <w:pStyle w:val="Meta"/>
            </w:pPr>
            <w:r>
              <w:rPr/>
              <w:t>Ingo</w:t>
            </w:r>
          </w:p>
        </w:tc>
      </w:tr>
      <w:tr>
        <w:tc>
          <w:tcPr>
            <w:tcW w:w="1250" w:type="pct"/>
            <w:shd w:val="clear" w:fill="D9E2F3"/>
            <w:tcMar>
              <w:top w:w="70" w:type="dxa"/>
              <w:left w:w="90" w:type="dxa"/>
              <w:bottom w:w="70" w:type="dxa"/>
              <w:right w:w="90" w:type="dxa"/>
            </w:tcMar>
          </w:tcPr>
          <w:p>
            <w:pPr>
              <w:pStyle w:val="Meta"/>
            </w:pPr>
            <w:r>
              <w:rPr>
                <w:b/>
              </w:rPr>
              <w:t>Bereich</w:t>
            </w:r>
          </w:p>
        </w:tc>
        <w:tc>
          <w:tcPr>
            <w:tcW w:w="3750" w:type="pct"/>
            <w:shd w:val="clear" w:fill="F2F2F2"/>
            <w:tcMar>
              <w:top w:w="70" w:type="dxa"/>
              <w:left w:w="90" w:type="dxa"/>
              <w:bottom w:w="70" w:type="dxa"/>
              <w:right w:w="90" w:type="dxa"/>
            </w:tcMar>
          </w:tcPr>
          <w:p>
            <w:pPr>
              <w:pStyle w:val="Meta"/>
            </w:pPr>
            <w:r>
              <w:rPr/>
              <w:t>Finance Standardkosten</w:t>
            </w:r>
          </w:p>
        </w:tc>
        <w:tc>
          <w:tcPr>
            <w:tcW w:w="1250" w:type="pct"/>
            <w:shd w:val="clear" w:fill="D9E2F3"/>
            <w:tcMar>
              <w:top w:w="70" w:type="dxa"/>
              <w:left w:w="90" w:type="dxa"/>
              <w:bottom w:w="70" w:type="dxa"/>
              <w:right w:w="90" w:type="dxa"/>
            </w:tcMar>
          </w:tcPr>
          <w:p>
            <w:pPr>
              <w:pStyle w:val="Meta"/>
            </w:pPr>
            <w:r>
              <w:rPr>
                <w:b/>
              </w:rPr>
              <w:t>Dringlichkeit</w:t>
            </w:r>
          </w:p>
        </w:tc>
        <w:tc>
          <w:tcPr>
            <w:tcW w:w="3750" w:type="pct"/>
            <w:shd w:val="clear" w:fill="F2F2F2"/>
            <w:tcMar>
              <w:top w:w="70" w:type="dxa"/>
              <w:left w:w="90" w:type="dxa"/>
              <w:bottom w:w="70" w:type="dxa"/>
              <w:right w:w="90" w:type="dxa"/>
            </w:tcMar>
          </w:tcPr>
          <w:p>
            <w:pPr>
              <w:pStyle w:val="Meta"/>
            </w:pPr>
            <w:r>
              <w:rPr/>
              <w:t>Umsetzung</w:t>
            </w:r>
          </w:p>
        </w:tc>
      </w:tr>
    </w:tbl>
    <w:p>
      <w:pPr>
        <w:pStyle w:val="BodyText"/>
        <w:keepLines/>
      </w:pPr>
      <w:r>
        <w:rPr>
          <w:b/>
          <w:color w:val="365F91"/>
        </w:rPr>
        <w:t>Worum geht es? </w:t>
      </w:r>
      <w:r>
        <w:t xml:space="preserve">Die Arbeitsmappe zur Standortkostenlogik entspricht noch nicht vollständig dem in der Sitzung bestätigten Ablauf. Sales Type, der Weg ohne Lieferant und die Währungsbehandlung sind darin nicht an der richtigen Stelle beziehungsweise fehlen.</w:t>
      </w:r>
    </w:p>
    <w:p>
      <w:pPr>
        <w:pStyle w:val="BodyText"/>
        <w:keepLines/>
      </w:pPr>
      <w:r>
        <w:rPr>
          <w:b/>
          <w:color w:val="365F91"/>
        </w:rPr>
        <w:t>Was ist zu tun / zu entscheiden? </w:t>
      </w:r>
      <w:r>
        <w:t xml:space="preserve">Sales Type in den oberen Entscheidungsblock verschieben, den Zweig ohne Lieferant und die Währungszeile ergänzen und gegen das aktuelle Workflow-SVG prüfen. Danach Sales_All neu erzeugen und Beispiele gegen Gruppenmarge Details vergleichen.</w:t>
      </w:r>
    </w:p>
    <w:p>
      <w:pPr>
        <w:pStyle w:val="BodyText"/>
        <w:keepLines/>
      </w:pPr>
      <w:r>
        <w:rPr>
          <w:b/>
          <w:color w:val="365F91"/>
        </w:rPr>
        <w:t>Erledigt, wenn … </w:t>
      </w:r>
      <w:r>
        <w:t xml:space="preserve">Arbeitsmappe, Workflow-SVG und produktive Logik zeigen dieselbe Regelkette; ein neu erzeugtes Sales_All bestätigt die Beispiele ohne Widerspruch.</w:t>
      </w:r>
    </w:p>
    <w:p>
      <w:pPr>
        <w:pBdr>
          <w:bottom w:val="single" w:color="B4C6E7" w:sz="6" w:space="6"/>
        </w:pBdr>
        <w:spacing w:after="100"/>
      </w:pPr>
    </w:p>
    <w:p>
      <w:pPr>
        <w:pStyle w:val="Heading2"/>
      </w:pPr>
      <w:r>
        <w:rPr/>
        <w:t xml:space="preserve">Nr. 29 · Schutz gegen Marge auf Verrechnungspreis greift nur bei Sales Type LRD</w:t>
      </w:r>
    </w:p>
    <w:tbl>
      <w:tblPr>
        <w:tblW w:w="5000" w:type="pct"/>
        <w:tblBorders>
          <w:top w:val="single" w:color="D9E2F3" w:sz="4"/>
          <w:left w:val="single" w:color="D9E2F3" w:sz="4"/>
          <w:bottom w:val="single" w:color="D9E2F3" w:sz="4"/>
          <w:right w:val="single" w:color="D9E2F3" w:sz="4"/>
          <w:insideH w:val="single" w:color="E7E6E6" w:sz="3"/>
          <w:insideV w:val="single" w:color="E7E6E6" w:sz="3"/>
        </w:tblBorders>
      </w:tblPr>
      <w:tblGrid>
        <w:gridCol w:w="1250"/>
        <w:gridCol w:w="3750"/>
        <w:gridCol w:w="1250"/>
        <w:gridCol w:w="3750"/>
      </w:tblGrid>
      <w:tr>
        <w:tc>
          <w:tcPr>
            <w:tcW w:w="1250" w:type="pct"/>
            <w:shd w:val="clear" w:fill="D9E2F3"/>
            <w:tcMar>
              <w:top w:w="70" w:type="dxa"/>
              <w:left w:w="90" w:type="dxa"/>
              <w:bottom w:w="70" w:type="dxa"/>
              <w:right w:w="90" w:type="dxa"/>
            </w:tcMar>
          </w:tcPr>
          <w:p>
            <w:pPr>
              <w:pStyle w:val="Meta"/>
            </w:pPr>
            <w:r>
              <w:rPr>
                <w:b/>
              </w:rPr>
              <w:t>Status</w:t>
            </w:r>
          </w:p>
        </w:tc>
        <w:tc>
          <w:tcPr>
            <w:tcW w:w="3750" w:type="pct"/>
            <w:shd w:val="clear" w:fill="FCE5CD"/>
            <w:tcMar>
              <w:top w:w="70" w:type="dxa"/>
              <w:left w:w="90" w:type="dxa"/>
              <w:bottom w:w="70" w:type="dxa"/>
              <w:right w:w="90" w:type="dxa"/>
            </w:tcMar>
          </w:tcPr>
          <w:p>
            <w:pPr>
              <w:pStyle w:val="Meta"/>
            </w:pPr>
            <w:r>
              <w:rPr/>
              <w:t>Offen</w:t>
            </w:r>
          </w:p>
        </w:tc>
        <w:tc>
          <w:tcPr>
            <w:tcW w:w="1250" w:type="pct"/>
            <w:shd w:val="clear" w:fill="D9E2F3"/>
            <w:tcMar>
              <w:top w:w="70" w:type="dxa"/>
              <w:left w:w="90" w:type="dxa"/>
              <w:bottom w:w="70" w:type="dxa"/>
              <w:right w:w="90" w:type="dxa"/>
            </w:tcMar>
          </w:tcPr>
          <w:p>
            <w:pPr>
              <w:pStyle w:val="Meta"/>
            </w:pPr>
            <w:r>
              <w:rPr>
                <w:b/>
              </w:rPr>
              <w:t>Owner</w:t>
            </w:r>
          </w:p>
        </w:tc>
        <w:tc>
          <w:tcPr>
            <w:tcW w:w="3750" w:type="pct"/>
            <w:shd w:val="clear" w:fill="D9EAF7"/>
            <w:tcMar>
              <w:top w:w="70" w:type="dxa"/>
              <w:left w:w="90" w:type="dxa"/>
              <w:bottom w:w="70" w:type="dxa"/>
              <w:right w:w="90" w:type="dxa"/>
            </w:tcMar>
          </w:tcPr>
          <w:p>
            <w:pPr>
              <w:pStyle w:val="Meta"/>
            </w:pPr>
            <w:r>
              <w:rPr/>
              <w:t>Andreas / Ingo</w:t>
            </w:r>
          </w:p>
        </w:tc>
      </w:tr>
      <w:tr>
        <w:tc>
          <w:tcPr>
            <w:tcW w:w="1250" w:type="pct"/>
            <w:shd w:val="clear" w:fill="D9E2F3"/>
            <w:tcMar>
              <w:top w:w="70" w:type="dxa"/>
              <w:left w:w="90" w:type="dxa"/>
              <w:bottom w:w="70" w:type="dxa"/>
              <w:right w:w="90" w:type="dxa"/>
            </w:tcMar>
          </w:tcPr>
          <w:p>
            <w:pPr>
              <w:pStyle w:val="Meta"/>
            </w:pPr>
            <w:r>
              <w:rPr>
                <w:b/>
              </w:rPr>
              <w:t>Bereich</w:t>
            </w:r>
          </w:p>
        </w:tc>
        <w:tc>
          <w:tcPr>
            <w:tcW w:w="3750" w:type="pct"/>
            <w:shd w:val="clear" w:fill="F2F2F2"/>
            <w:tcMar>
              <w:top w:w="70" w:type="dxa"/>
              <w:left w:w="90" w:type="dxa"/>
              <w:bottom w:w="70" w:type="dxa"/>
              <w:right w:w="90" w:type="dxa"/>
            </w:tcMar>
          </w:tcPr>
          <w:p>
            <w:pPr>
              <w:pStyle w:val="Meta"/>
            </w:pPr>
            <w:r>
              <w:rPr/>
              <w:t>Finance Gruppenmarge</w:t>
            </w:r>
          </w:p>
        </w:tc>
        <w:tc>
          <w:tcPr>
            <w:tcW w:w="1250" w:type="pct"/>
            <w:shd w:val="clear" w:fill="D9E2F3"/>
            <w:tcMar>
              <w:top w:w="70" w:type="dxa"/>
              <w:left w:w="90" w:type="dxa"/>
              <w:bottom w:w="70" w:type="dxa"/>
              <w:right w:w="90" w:type="dxa"/>
            </w:tcMar>
          </w:tcPr>
          <w:p>
            <w:pPr>
              <w:pStyle w:val="Meta"/>
            </w:pPr>
            <w:r>
              <w:rPr>
                <w:b/>
              </w:rPr>
              <w:t>Dringlichkeit</w:t>
            </w:r>
          </w:p>
        </w:tc>
        <w:tc>
          <w:tcPr>
            <w:tcW w:w="3750" w:type="pct"/>
            <w:shd w:val="clear" w:fill="F2F2F2"/>
            <w:tcMar>
              <w:top w:w="70" w:type="dxa"/>
              <w:left w:w="90" w:type="dxa"/>
              <w:bottom w:w="70" w:type="dxa"/>
              <w:right w:w="90" w:type="dxa"/>
            </w:tcMar>
          </w:tcPr>
          <w:p>
            <w:pPr>
              <w:pStyle w:val="Meta"/>
            </w:pPr>
            <w:r>
              <w:rPr/>
              <w:t>Heute</w:t>
            </w:r>
          </w:p>
        </w:tc>
      </w:tr>
    </w:tbl>
    <w:p>
      <w:pPr>
        <w:pStyle w:val="BodyText"/>
        <w:keepLines/>
      </w:pPr>
      <w:r>
        <w:rPr>
          <w:b/>
          <w:color w:val="365F91"/>
        </w:rPr>
        <w:t>Worum geht es? </w:t>
      </w:r>
      <w:r>
        <w:t xml:space="preserve">Der Schutz vor einer Marge auf einem internen Verrechnungspreis greift derzeit nur bei Sales Type LRD. Wird eine liefernde Konzerngesellschaft über Supplier erkannt, aber kein Konzernkostensatz gefunden, kann die Logik trotzdem auf lokale Standardkosten zurückfallen und eine scheinbare Marge anzeigen.</w:t>
      </w:r>
    </w:p>
    <w:p>
      <w:pPr>
        <w:pStyle w:val="BodyText"/>
        <w:keepLines/>
      </w:pPr>
      <w:r>
        <w:rPr>
          <w:b/>
          <w:color w:val="365F91"/>
        </w:rPr>
        <w:t>Was ist zu tun / zu entscheiden? </w:t>
      </w:r>
      <w:r>
        <w:t xml:space="preserve">Zuerst in der Produktivdatenbank messen, wie viele der maximal 19’221 Kandidaten tatsächlich keinen Konzernkostentreffer haben. Andreas entscheidet danach, ob der Schutz auf jede erkannte Konzerngesellschaft erweitert wird und wie ein positiver Kostensatz von einem fehlenden beziehungsweise null Kostensatz unterschieden wird.</w:t>
      </w:r>
    </w:p>
    <w:p>
      <w:pPr>
        <w:pStyle w:val="BodyText"/>
        <w:keepLines/>
      </w:pPr>
      <w:r>
        <w:rPr>
          <w:b/>
          <w:color w:val="365F91"/>
        </w:rPr>
        <w:t>Erledigt, wenn … </w:t>
      </w:r>
      <w:r>
        <w:t xml:space="preserve">Die echte Fallzahl ist belegt, Andreas hat die Schutzregel freigegeben und Tests zeigen, dass kein interner Verrechnungspreis unbemerkt als lokale Herstellkostenbasis verwendet wird.</w:t>
      </w:r>
    </w:p>
    <w:p>
      <w:pPr>
        <w:pBdr>
          <w:bottom w:val="single" w:color="B4C6E7" w:sz="6" w:space="6"/>
        </w:pBdr>
        <w:spacing w:after="100"/>
      </w:pPr>
    </w:p>
    <w:p>
      <w:pPr>
        <w:pStyle w:val="Heading2"/>
      </w:pPr>
      <w:r>
        <w:rPr/>
        <w:t xml:space="preserve">Nr. 30 · Schalter Schweizer STPRS: Beschriftung und Code stimmen nicht überein</w:t>
      </w:r>
    </w:p>
    <w:tbl>
      <w:tblPr>
        <w:tblW w:w="5000" w:type="pct"/>
        <w:tblBorders>
          <w:top w:val="single" w:color="D9E2F3" w:sz="4"/>
          <w:left w:val="single" w:color="D9E2F3" w:sz="4"/>
          <w:bottom w:val="single" w:color="D9E2F3" w:sz="4"/>
          <w:right w:val="single" w:color="D9E2F3" w:sz="4"/>
          <w:insideH w:val="single" w:color="E7E6E6" w:sz="3"/>
          <w:insideV w:val="single" w:color="E7E6E6" w:sz="3"/>
        </w:tblBorders>
      </w:tblPr>
      <w:tblGrid>
        <w:gridCol w:w="1250"/>
        <w:gridCol w:w="3750"/>
        <w:gridCol w:w="1250"/>
        <w:gridCol w:w="3750"/>
      </w:tblGrid>
      <w:tr>
        <w:tc>
          <w:tcPr>
            <w:tcW w:w="1250" w:type="pct"/>
            <w:shd w:val="clear" w:fill="D9E2F3"/>
            <w:tcMar>
              <w:top w:w="70" w:type="dxa"/>
              <w:left w:w="90" w:type="dxa"/>
              <w:bottom w:w="70" w:type="dxa"/>
              <w:right w:w="90" w:type="dxa"/>
            </w:tcMar>
          </w:tcPr>
          <w:p>
            <w:pPr>
              <w:pStyle w:val="Meta"/>
            </w:pPr>
            <w:r>
              <w:rPr>
                <w:b/>
              </w:rPr>
              <w:t>Status</w:t>
            </w:r>
          </w:p>
        </w:tc>
        <w:tc>
          <w:tcPr>
            <w:tcW w:w="3750" w:type="pct"/>
            <w:shd w:val="clear" w:fill="FCE5CD"/>
            <w:tcMar>
              <w:top w:w="70" w:type="dxa"/>
              <w:left w:w="90" w:type="dxa"/>
              <w:bottom w:w="70" w:type="dxa"/>
              <w:right w:w="90" w:type="dxa"/>
            </w:tcMar>
          </w:tcPr>
          <w:p>
            <w:pPr>
              <w:pStyle w:val="Meta"/>
            </w:pPr>
            <w:r>
              <w:rPr/>
              <w:t>Offen</w:t>
            </w:r>
          </w:p>
        </w:tc>
        <w:tc>
          <w:tcPr>
            <w:tcW w:w="1250" w:type="pct"/>
            <w:shd w:val="clear" w:fill="D9E2F3"/>
            <w:tcMar>
              <w:top w:w="70" w:type="dxa"/>
              <w:left w:w="90" w:type="dxa"/>
              <w:bottom w:w="70" w:type="dxa"/>
              <w:right w:w="90" w:type="dxa"/>
            </w:tcMar>
          </w:tcPr>
          <w:p>
            <w:pPr>
              <w:pStyle w:val="Meta"/>
            </w:pPr>
            <w:r>
              <w:rPr>
                <w:b/>
              </w:rPr>
              <w:t>Owner</w:t>
            </w:r>
          </w:p>
        </w:tc>
        <w:tc>
          <w:tcPr>
            <w:tcW w:w="3750" w:type="pct"/>
            <w:shd w:val="clear" w:fill="D9EAF7"/>
            <w:tcMar>
              <w:top w:w="70" w:type="dxa"/>
              <w:left w:w="90" w:type="dxa"/>
              <w:bottom w:w="70" w:type="dxa"/>
              <w:right w:w="90" w:type="dxa"/>
            </w:tcMar>
          </w:tcPr>
          <w:p>
            <w:pPr>
              <w:pStyle w:val="Meta"/>
            </w:pPr>
            <w:r>
              <w:rPr/>
              <w:t>Ingo / Andreas</w:t>
            </w:r>
          </w:p>
        </w:tc>
      </w:tr>
      <w:tr>
        <w:tc>
          <w:tcPr>
            <w:tcW w:w="1250" w:type="pct"/>
            <w:shd w:val="clear" w:fill="D9E2F3"/>
            <w:tcMar>
              <w:top w:w="70" w:type="dxa"/>
              <w:left w:w="90" w:type="dxa"/>
              <w:bottom w:w="70" w:type="dxa"/>
              <w:right w:w="90" w:type="dxa"/>
            </w:tcMar>
          </w:tcPr>
          <w:p>
            <w:pPr>
              <w:pStyle w:val="Meta"/>
            </w:pPr>
            <w:r>
              <w:rPr>
                <w:b/>
              </w:rPr>
              <w:t>Bereich</w:t>
            </w:r>
          </w:p>
        </w:tc>
        <w:tc>
          <w:tcPr>
            <w:tcW w:w="3750" w:type="pct"/>
            <w:shd w:val="clear" w:fill="F2F2F2"/>
            <w:tcMar>
              <w:top w:w="70" w:type="dxa"/>
              <w:left w:w="90" w:type="dxa"/>
              <w:bottom w:w="70" w:type="dxa"/>
              <w:right w:w="90" w:type="dxa"/>
            </w:tcMar>
          </w:tcPr>
          <w:p>
            <w:pPr>
              <w:pStyle w:val="Meta"/>
            </w:pPr>
            <w:r>
              <w:rPr/>
              <w:t>Finance Standardkosten</w:t>
            </w:r>
          </w:p>
        </w:tc>
        <w:tc>
          <w:tcPr>
            <w:tcW w:w="1250" w:type="pct"/>
            <w:shd w:val="clear" w:fill="D9E2F3"/>
            <w:tcMar>
              <w:top w:w="70" w:type="dxa"/>
              <w:left w:w="90" w:type="dxa"/>
              <w:bottom w:w="70" w:type="dxa"/>
              <w:right w:w="90" w:type="dxa"/>
            </w:tcMar>
          </w:tcPr>
          <w:p>
            <w:pPr>
              <w:pStyle w:val="Meta"/>
            </w:pPr>
            <w:r>
              <w:rPr>
                <w:b/>
              </w:rPr>
              <w:t>Dringlichkeit</w:t>
            </w:r>
          </w:p>
        </w:tc>
        <w:tc>
          <w:tcPr>
            <w:tcW w:w="3750" w:type="pct"/>
            <w:shd w:val="clear" w:fill="F2F2F2"/>
            <w:tcMar>
              <w:top w:w="70" w:type="dxa"/>
              <w:left w:w="90" w:type="dxa"/>
              <w:bottom w:w="70" w:type="dxa"/>
              <w:right w:w="90" w:type="dxa"/>
            </w:tcMar>
          </w:tcPr>
          <w:p>
            <w:pPr>
              <w:pStyle w:val="Meta"/>
            </w:pPr>
            <w:r>
              <w:rPr/>
              <w:t>Umsetzung</w:t>
            </w:r>
          </w:p>
        </w:tc>
      </w:tr>
    </w:tbl>
    <w:p>
      <w:pPr>
        <w:pStyle w:val="BodyText"/>
        <w:keepLines/>
      </w:pPr>
      <w:r>
        <w:rPr>
          <w:b/>
          <w:color w:val="365F91"/>
        </w:rPr>
        <w:t>Worum geht es? </w:t>
      </w:r>
      <w:r>
        <w:t xml:space="preserve">Der Schaltertext versprach Schweizer STPRS nur bei internem Lieferanten, während die frühere Codebedingung auch Zeilen ohne erkannte liefernde Gesellschaft erfassen konnte. Die enge Korrektur ist seit 02.09.2026 produktiv: Schweizer STPRS greift nur noch, wenn bereits eine liefernde Konzerngesellschaft erkannt wurde.</w:t>
      </w:r>
    </w:p>
    <w:p>
      <w:pPr>
        <w:pStyle w:val="BodyText"/>
        <w:keepLines/>
      </w:pPr>
      <w:r>
        <w:rPr>
          <w:b/>
          <w:color w:val="365F91"/>
        </w:rPr>
        <w:t>Was ist zu tun / zu entscheiden? </w:t>
      </w:r>
      <w:r>
        <w:t xml:space="preserve">Mit Andreas bestätigen, ob diese enge, zur Beschriftung passende Regel endgültig gewollt ist oder ob bewusst eine breitere MARC-1100-Regel für externe/lokale Fälle benötigt wird. Bei Bestätigung den Punkt schließen; eine breitere Variante wäre ein eigener Modus mit neuer Beschriftung.</w:t>
      </w:r>
    </w:p>
    <w:p>
      <w:pPr>
        <w:pStyle w:val="BodyText"/>
        <w:keepLines/>
      </w:pPr>
      <w:r>
        <w:rPr>
          <w:b/>
          <w:color w:val="365F91"/>
        </w:rPr>
        <w:t>Erledigt, wenn … </w:t>
      </w:r>
      <w:r>
        <w:t xml:space="preserve">Andreas hat die enge Regel bestätigt oder einen getrennten breiten Modus beauftragt; Schaltertext, Dokumentation und produktives Verhalten sind damit fachlich eindeutig.</w:t>
      </w:r>
    </w:p>
    <w:p>
      <w:pPr>
        <w:pBdr>
          <w:bottom w:val="single" w:color="B4C6E7" w:sz="6" w:space="6"/>
        </w:pBdr>
        <w:spacing w:after="100"/>
      </w:pPr>
    </w:p>
    <w:p>
      <w:pPr>
        <w:pStyle w:val="Heading2"/>
      </w:pPr>
      <w:r>
        <w:rPr/>
        <w:t xml:space="preserve">Nr. 31 · 41 Zeilen mit Sales Type FFM und Fremdlieferant Cenlub Systems</w:t>
      </w:r>
    </w:p>
    <w:tbl>
      <w:tblPr>
        <w:tblW w:w="5000" w:type="pct"/>
        <w:tblBorders>
          <w:top w:val="single" w:color="D9E2F3" w:sz="4"/>
          <w:left w:val="single" w:color="D9E2F3" w:sz="4"/>
          <w:bottom w:val="single" w:color="D9E2F3" w:sz="4"/>
          <w:right w:val="single" w:color="D9E2F3" w:sz="4"/>
          <w:insideH w:val="single" w:color="E7E6E6" w:sz="3"/>
          <w:insideV w:val="single" w:color="E7E6E6" w:sz="3"/>
        </w:tblBorders>
      </w:tblPr>
      <w:tblGrid>
        <w:gridCol w:w="1250"/>
        <w:gridCol w:w="3750"/>
        <w:gridCol w:w="1250"/>
        <w:gridCol w:w="3750"/>
      </w:tblGrid>
      <w:tr>
        <w:tc>
          <w:tcPr>
            <w:tcW w:w="1250" w:type="pct"/>
            <w:shd w:val="clear" w:fill="D9E2F3"/>
            <w:tcMar>
              <w:top w:w="70" w:type="dxa"/>
              <w:left w:w="90" w:type="dxa"/>
              <w:bottom w:w="70" w:type="dxa"/>
              <w:right w:w="90" w:type="dxa"/>
            </w:tcMar>
          </w:tcPr>
          <w:p>
            <w:pPr>
              <w:pStyle w:val="Meta"/>
            </w:pPr>
            <w:r>
              <w:rPr>
                <w:b/>
              </w:rPr>
              <w:t>Status</w:t>
            </w:r>
          </w:p>
        </w:tc>
        <w:tc>
          <w:tcPr>
            <w:tcW w:w="3750" w:type="pct"/>
            <w:shd w:val="clear" w:fill="FCE5CD"/>
            <w:tcMar>
              <w:top w:w="70" w:type="dxa"/>
              <w:left w:w="90" w:type="dxa"/>
              <w:bottom w:w="70" w:type="dxa"/>
              <w:right w:w="90" w:type="dxa"/>
            </w:tcMar>
          </w:tcPr>
          <w:p>
            <w:pPr>
              <w:pStyle w:val="Meta"/>
            </w:pPr>
            <w:r>
              <w:rPr/>
              <w:t>Offen</w:t>
            </w:r>
          </w:p>
        </w:tc>
        <w:tc>
          <w:tcPr>
            <w:tcW w:w="1250" w:type="pct"/>
            <w:shd w:val="clear" w:fill="D9E2F3"/>
            <w:tcMar>
              <w:top w:w="70" w:type="dxa"/>
              <w:left w:w="90" w:type="dxa"/>
              <w:bottom w:w="70" w:type="dxa"/>
              <w:right w:w="90" w:type="dxa"/>
            </w:tcMar>
          </w:tcPr>
          <w:p>
            <w:pPr>
              <w:pStyle w:val="Meta"/>
            </w:pPr>
            <w:r>
              <w:rPr>
                <w:b/>
              </w:rPr>
              <w:t>Owner</w:t>
            </w:r>
          </w:p>
        </w:tc>
        <w:tc>
          <w:tcPr>
            <w:tcW w:w="3750" w:type="pct"/>
            <w:shd w:val="clear" w:fill="D9EAF7"/>
            <w:tcMar>
              <w:top w:w="70" w:type="dxa"/>
              <w:left w:w="90" w:type="dxa"/>
              <w:bottom w:w="70" w:type="dxa"/>
              <w:right w:w="90" w:type="dxa"/>
            </w:tcMar>
          </w:tcPr>
          <w:p>
            <w:pPr>
              <w:pStyle w:val="Meta"/>
            </w:pPr>
            <w:r>
              <w:rPr/>
              <w:t>Ingo / Indien</w:t>
            </w:r>
          </w:p>
        </w:tc>
      </w:tr>
      <w:tr>
        <w:tc>
          <w:tcPr>
            <w:tcW w:w="1250" w:type="pct"/>
            <w:shd w:val="clear" w:fill="D9E2F3"/>
            <w:tcMar>
              <w:top w:w="70" w:type="dxa"/>
              <w:left w:w="90" w:type="dxa"/>
              <w:bottom w:w="70" w:type="dxa"/>
              <w:right w:w="90" w:type="dxa"/>
            </w:tcMar>
          </w:tcPr>
          <w:p>
            <w:pPr>
              <w:pStyle w:val="Meta"/>
            </w:pPr>
            <w:r>
              <w:rPr>
                <w:b/>
              </w:rPr>
              <w:t>Bereich</w:t>
            </w:r>
          </w:p>
        </w:tc>
        <w:tc>
          <w:tcPr>
            <w:tcW w:w="3750" w:type="pct"/>
            <w:shd w:val="clear" w:fill="F2F2F2"/>
            <w:tcMar>
              <w:top w:w="70" w:type="dxa"/>
              <w:left w:w="90" w:type="dxa"/>
              <w:bottom w:w="70" w:type="dxa"/>
              <w:right w:w="90" w:type="dxa"/>
            </w:tcMar>
          </w:tcPr>
          <w:p>
            <w:pPr>
              <w:pStyle w:val="Meta"/>
            </w:pPr>
            <w:r>
              <w:rPr/>
              <w:t>Finance IN</w:t>
            </w:r>
          </w:p>
        </w:tc>
        <w:tc>
          <w:tcPr>
            <w:tcW w:w="1250" w:type="pct"/>
            <w:shd w:val="clear" w:fill="D9E2F3"/>
            <w:tcMar>
              <w:top w:w="70" w:type="dxa"/>
              <w:left w:w="90" w:type="dxa"/>
              <w:bottom w:w="70" w:type="dxa"/>
              <w:right w:w="90" w:type="dxa"/>
            </w:tcMar>
          </w:tcPr>
          <w:p>
            <w:pPr>
              <w:pStyle w:val="Meta"/>
            </w:pPr>
            <w:r>
              <w:rPr>
                <w:b/>
              </w:rPr>
              <w:t>Dringlichkeit</w:t>
            </w:r>
          </w:p>
        </w:tc>
        <w:tc>
          <w:tcPr>
            <w:tcW w:w="3750" w:type="pct"/>
            <w:shd w:val="clear" w:fill="F2F2F2"/>
            <w:tcMar>
              <w:top w:w="70" w:type="dxa"/>
              <w:left w:w="90" w:type="dxa"/>
              <w:bottom w:w="70" w:type="dxa"/>
              <w:right w:w="90" w:type="dxa"/>
            </w:tcMar>
          </w:tcPr>
          <w:p>
            <w:pPr>
              <w:pStyle w:val="Meta"/>
            </w:pPr>
            <w:r>
              <w:rPr/>
              <w:t>Nur terminieren</w:t>
            </w:r>
          </w:p>
        </w:tc>
      </w:tr>
    </w:tbl>
    <w:p>
      <w:pPr>
        <w:pStyle w:val="BodyText"/>
        <w:keepLines/>
      </w:pPr>
      <w:r>
        <w:rPr>
          <w:b/>
          <w:color w:val="365F91"/>
        </w:rPr>
        <w:t>Worum geht es? </w:t>
      </w:r>
      <w:r>
        <w:t xml:space="preserve">41 Verkaufszeilen sind widersprüchlich klassifiziert: Sales Type FFM sagt Eigenfertigung, gleichzeitig ist Cenlub Systems als externer Lieferant eingetragen. Alle Konflikte betreffen denselben Lieferanten und sind daher gezielt prüfbar.</w:t>
      </w:r>
    </w:p>
    <w:p>
      <w:pPr>
        <w:pStyle w:val="BodyText"/>
        <w:keepLines/>
      </w:pPr>
      <w:r>
        <w:rPr>
          <w:b/>
          <w:color w:val="365F91"/>
        </w:rPr>
        <w:t>Was ist zu tun / zu entscheiden? </w:t>
      </w:r>
      <w:r>
        <w:t xml:space="preserve">Indien anhand der betroffenen Artikel bestätigen lassen, ob es Eigenfertigung mit historisch/falsch gepflegtem Preferred Vendor oder echte Fremdbeschaffung mit falschem Sales Type ist. Danach das falsche Stammfeld korrigieren und neu exportieren.</w:t>
      </w:r>
    </w:p>
    <w:p>
      <w:pPr>
        <w:pStyle w:val="BodyText"/>
        <w:keepLines/>
      </w:pPr>
      <w:r>
        <w:rPr>
          <w:b/>
          <w:color w:val="365F91"/>
        </w:rPr>
        <w:t>Erledigt, wenn … </w:t>
      </w:r>
      <w:r>
        <w:t xml:space="preserve">Indien hat die Artikel fachlich eingeordnet, der widersprüchliche Stammwert ist korrigiert und der nächste Export zeigt keine ungeklärten FFM/Cenlub-Konflikte mehr.</w:t>
      </w:r>
    </w:p>
    <w:p>
      <w:pPr>
        <w:pBdr>
          <w:bottom w:val="single" w:color="B4C6E7" w:sz="6" w:space="6"/>
        </w:pBdr>
        <w:spacing w:after="100"/>
      </w:pPr>
    </w:p>
    <w:p>
      <w:pPr>
        <w:pStyle w:val="Heading1"/>
        <w:pageBreakBefore/>
      </w:pPr>
      <w:r>
        <w:rPr/>
        <w:t xml:space="preserve">SAP</w:t>
      </w:r>
    </w:p>
    <w:p>
      <w:pPr>
        <w:pStyle w:val="Heading2"/>
      </w:pPr>
      <w:r>
        <w:rPr/>
        <w:t xml:space="preserve">PM-02 · ZC12 Fehler bei Nullmengen</w:t>
      </w:r>
    </w:p>
    <w:tbl>
      <w:tblPr>
        <w:tblW w:w="5000" w:type="pct"/>
        <w:tblBorders>
          <w:top w:val="single" w:color="D9E2F3" w:sz="4"/>
          <w:left w:val="single" w:color="D9E2F3" w:sz="4"/>
          <w:bottom w:val="single" w:color="D9E2F3" w:sz="4"/>
          <w:right w:val="single" w:color="D9E2F3" w:sz="4"/>
          <w:insideH w:val="single" w:color="E7E6E6" w:sz="3"/>
          <w:insideV w:val="single" w:color="E7E6E6" w:sz="3"/>
        </w:tblBorders>
      </w:tblPr>
      <w:tblGrid>
        <w:gridCol w:w="1250"/>
        <w:gridCol w:w="3750"/>
        <w:gridCol w:w="1250"/>
        <w:gridCol w:w="3750"/>
      </w:tblGrid>
      <w:tr>
        <w:tc>
          <w:tcPr>
            <w:tcW w:w="1250" w:type="pct"/>
            <w:shd w:val="clear" w:fill="D9E2F3"/>
            <w:tcMar>
              <w:top w:w="70" w:type="dxa"/>
              <w:left w:w="90" w:type="dxa"/>
              <w:bottom w:w="70" w:type="dxa"/>
              <w:right w:w="90" w:type="dxa"/>
            </w:tcMar>
          </w:tcPr>
          <w:p>
            <w:pPr>
              <w:pStyle w:val="Meta"/>
            </w:pPr>
            <w:r>
              <w:rPr>
                <w:b/>
              </w:rPr>
              <w:t>Status</w:t>
            </w:r>
          </w:p>
        </w:tc>
        <w:tc>
          <w:tcPr>
            <w:tcW w:w="3750" w:type="pct"/>
            <w:shd w:val="clear" w:fill="F4CCCC"/>
            <w:tcMar>
              <w:top w:w="70" w:type="dxa"/>
              <w:left w:w="90" w:type="dxa"/>
              <w:bottom w:w="70" w:type="dxa"/>
              <w:right w:w="90" w:type="dxa"/>
            </w:tcMar>
          </w:tcPr>
          <w:p>
            <w:pPr>
              <w:pStyle w:val="Meta"/>
            </w:pPr>
            <w:r>
              <w:rPr/>
              <w:t>Blockiert</w:t>
            </w:r>
          </w:p>
        </w:tc>
        <w:tc>
          <w:tcPr>
            <w:tcW w:w="1250" w:type="pct"/>
            <w:shd w:val="clear" w:fill="D9E2F3"/>
            <w:tcMar>
              <w:top w:w="70" w:type="dxa"/>
              <w:left w:w="90" w:type="dxa"/>
              <w:bottom w:w="70" w:type="dxa"/>
              <w:right w:w="90" w:type="dxa"/>
            </w:tcMar>
          </w:tcPr>
          <w:p>
            <w:pPr>
              <w:pStyle w:val="Meta"/>
            </w:pPr>
            <w:r>
              <w:rPr>
                <w:b/>
              </w:rPr>
              <w:t>Owner</w:t>
            </w:r>
          </w:p>
        </w:tc>
        <w:tc>
          <w:tcPr>
            <w:tcW w:w="3750" w:type="pct"/>
            <w:shd w:val="clear" w:fill="D9EAF7"/>
            <w:tcMar>
              <w:top w:w="70" w:type="dxa"/>
              <w:left w:w="90" w:type="dxa"/>
              <w:bottom w:w="70" w:type="dxa"/>
              <w:right w:w="90" w:type="dxa"/>
            </w:tcMar>
          </w:tcPr>
          <w:p>
            <w:pPr>
              <w:pStyle w:val="Meta"/>
            </w:pPr>
            <w:r>
              <w:rPr/>
              <w:t>Ingo</w:t>
            </w:r>
          </w:p>
        </w:tc>
      </w:tr>
      <w:tr>
        <w:tc>
          <w:tcPr>
            <w:tcW w:w="1250" w:type="pct"/>
            <w:shd w:val="clear" w:fill="D9E2F3"/>
            <w:tcMar>
              <w:top w:w="70" w:type="dxa"/>
              <w:left w:w="90" w:type="dxa"/>
              <w:bottom w:w="70" w:type="dxa"/>
              <w:right w:w="90" w:type="dxa"/>
            </w:tcMar>
          </w:tcPr>
          <w:p>
            <w:pPr>
              <w:pStyle w:val="Meta"/>
            </w:pPr>
            <w:r>
              <w:rPr>
                <w:b/>
              </w:rPr>
              <w:t>Bereich</w:t>
            </w:r>
          </w:p>
        </w:tc>
        <w:tc>
          <w:tcPr>
            <w:tcW w:w="3750" w:type="pct"/>
            <w:shd w:val="clear" w:fill="F2F2F2"/>
            <w:tcMar>
              <w:top w:w="70" w:type="dxa"/>
              <w:left w:w="90" w:type="dxa"/>
              <w:bottom w:w="70" w:type="dxa"/>
              <w:right w:w="90" w:type="dxa"/>
            </w:tcMar>
          </w:tcPr>
          <w:p>
            <w:pPr>
              <w:pStyle w:val="Meta"/>
            </w:pPr>
            <w:r>
              <w:rPr/>
              <w:t>SAP ZC12</w:t>
            </w:r>
          </w:p>
        </w:tc>
        <w:tc>
          <w:tcPr>
            <w:tcW w:w="1250" w:type="pct"/>
            <w:shd w:val="clear" w:fill="D9E2F3"/>
            <w:tcMar>
              <w:top w:w="70" w:type="dxa"/>
              <w:left w:w="90" w:type="dxa"/>
              <w:bottom w:w="70" w:type="dxa"/>
              <w:right w:w="90" w:type="dxa"/>
            </w:tcMar>
          </w:tcPr>
          <w:p>
            <w:pPr>
              <w:pStyle w:val="Meta"/>
            </w:pPr>
            <w:r>
              <w:rPr>
                <w:b/>
              </w:rPr>
              <w:t>Dringlichkeit</w:t>
            </w:r>
          </w:p>
        </w:tc>
        <w:tc>
          <w:tcPr>
            <w:tcW w:w="3750" w:type="pct"/>
            <w:shd w:val="clear" w:fill="F2F2F2"/>
            <w:tcMar>
              <w:top w:w="70" w:type="dxa"/>
              <w:left w:w="90" w:type="dxa"/>
              <w:bottom w:w="70" w:type="dxa"/>
              <w:right w:w="90" w:type="dxa"/>
            </w:tcMar>
          </w:tcPr>
          <w:p>
            <w:pPr>
              <w:pStyle w:val="Meta"/>
            </w:pPr>
            <w:r>
              <w:rPr/>
              <w:t>Heute</w:t>
            </w:r>
          </w:p>
        </w:tc>
      </w:tr>
    </w:tbl>
    <w:p>
      <w:pPr>
        <w:pStyle w:val="BodyText"/>
        <w:keepLines/>
      </w:pPr>
      <w:r>
        <w:rPr>
          <w:b/>
          <w:color w:val="365F91"/>
        </w:rPr>
        <w:t>Worum geht es? </w:t>
      </w:r>
      <w:r>
        <w:t xml:space="preserve">Bei Vorgabewerten von null formatiert der vermutete Report den Wert als nackte 0. CA02 kann diese BDC-Eingabe ablehnen; die betroffene Zeile wird dann mit Fehlereintrag übersprungen. Noch ist nicht bestätigt, dass die Transaktion ZC12 tatsächlich das analysierte Programm Z_ABGLEICH_KTSCH startet.</w:t>
      </w:r>
    </w:p>
    <w:p>
      <w:pPr>
        <w:pStyle w:val="BodyText"/>
        <w:keepLines/>
      </w:pPr>
      <w:r>
        <w:rPr>
          <w:b/>
          <w:color w:val="365F91"/>
        </w:rPr>
        <w:t>Was ist zu tun / zu entscheiden? </w:t>
      </w:r>
      <w:r>
        <w:t xml:space="preserve">Zuerst in SE93 die Zuordnung von ZC12 prüfen. Falls sie stimmt: Debug-Schalter und Tracing reaktivieren, einen Nullmengenfall reproduzieren und die SAP-Versionshistorie von fmt_quan prüfen. Erst danach den Formatierungsweg korrigieren und mit einem Null- sowie einem Normalfall testen.</w:t>
      </w:r>
    </w:p>
    <w:p>
      <w:pPr>
        <w:pStyle w:val="BodyText"/>
        <w:keepLines/>
      </w:pPr>
      <w:r>
        <w:rPr>
          <w:b/>
          <w:color w:val="365F91"/>
        </w:rPr>
        <w:t>Erledigt, wenn … </w:t>
      </w:r>
      <w:r>
        <w:t xml:space="preserve">Die Transaktionszuordnung ist belegt, der Nullmengenfall läuft ohne stilles Überspringen durch und ein Regressionstest bestätigt, dass normale Mengen unverändert verarbeitet werden.</w:t>
      </w:r>
    </w:p>
    <w:p>
      <w:pPr>
        <w:pBdr>
          <w:bottom w:val="single" w:color="B4C6E7" w:sz="6" w:space="6"/>
        </w:pBdr>
        <w:spacing w:after="100"/>
      </w:pPr>
    </w:p>
    <w:p>
      <w:pPr>
        <w:pStyle w:val="Heading2"/>
      </w:pPr>
      <w:r>
        <w:rPr/>
        <w:t xml:space="preserve">PM-01 · ZLO03 Mengen und Materialien</w:t>
      </w:r>
    </w:p>
    <w:tbl>
      <w:tblPr>
        <w:tblW w:w="5000" w:type="pct"/>
        <w:tblBorders>
          <w:top w:val="single" w:color="D9E2F3" w:sz="4"/>
          <w:left w:val="single" w:color="D9E2F3" w:sz="4"/>
          <w:bottom w:val="single" w:color="D9E2F3" w:sz="4"/>
          <w:right w:val="single" w:color="D9E2F3" w:sz="4"/>
          <w:insideH w:val="single" w:color="E7E6E6" w:sz="3"/>
          <w:insideV w:val="single" w:color="E7E6E6" w:sz="3"/>
        </w:tblBorders>
      </w:tblPr>
      <w:tblGrid>
        <w:gridCol w:w="1250"/>
        <w:gridCol w:w="3750"/>
        <w:gridCol w:w="1250"/>
        <w:gridCol w:w="3750"/>
      </w:tblGrid>
      <w:tr>
        <w:tc>
          <w:tcPr>
            <w:tcW w:w="1250" w:type="pct"/>
            <w:shd w:val="clear" w:fill="D9E2F3"/>
            <w:tcMar>
              <w:top w:w="70" w:type="dxa"/>
              <w:left w:w="90" w:type="dxa"/>
              <w:bottom w:w="70" w:type="dxa"/>
              <w:right w:w="90" w:type="dxa"/>
            </w:tcMar>
          </w:tcPr>
          <w:p>
            <w:pPr>
              <w:pStyle w:val="Meta"/>
            </w:pPr>
            <w:r>
              <w:rPr>
                <w:b/>
              </w:rPr>
              <w:t>Status</w:t>
            </w:r>
          </w:p>
        </w:tc>
        <w:tc>
          <w:tcPr>
            <w:tcW w:w="3750" w:type="pct"/>
            <w:shd w:val="clear" w:fill="FCE5CD"/>
            <w:tcMar>
              <w:top w:w="70" w:type="dxa"/>
              <w:left w:w="90" w:type="dxa"/>
              <w:bottom w:w="70" w:type="dxa"/>
              <w:right w:w="90" w:type="dxa"/>
            </w:tcMar>
          </w:tcPr>
          <w:p>
            <w:pPr>
              <w:pStyle w:val="Meta"/>
            </w:pPr>
            <w:r>
              <w:rPr/>
              <w:t>Offen</w:t>
            </w:r>
          </w:p>
        </w:tc>
        <w:tc>
          <w:tcPr>
            <w:tcW w:w="1250" w:type="pct"/>
            <w:shd w:val="clear" w:fill="D9E2F3"/>
            <w:tcMar>
              <w:top w:w="70" w:type="dxa"/>
              <w:left w:w="90" w:type="dxa"/>
              <w:bottom w:w="70" w:type="dxa"/>
              <w:right w:w="90" w:type="dxa"/>
            </w:tcMar>
          </w:tcPr>
          <w:p>
            <w:pPr>
              <w:pStyle w:val="Meta"/>
            </w:pPr>
            <w:r>
              <w:rPr>
                <w:b/>
              </w:rPr>
              <w:t>Owner</w:t>
            </w:r>
          </w:p>
        </w:tc>
        <w:tc>
          <w:tcPr>
            <w:tcW w:w="3750" w:type="pct"/>
            <w:shd w:val="clear" w:fill="D9EAF7"/>
            <w:tcMar>
              <w:top w:w="70" w:type="dxa"/>
              <w:left w:w="90" w:type="dxa"/>
              <w:bottom w:w="70" w:type="dxa"/>
              <w:right w:w="90" w:type="dxa"/>
            </w:tcMar>
          </w:tcPr>
          <w:p>
            <w:pPr>
              <w:pStyle w:val="Meta"/>
            </w:pPr>
            <w:r>
              <w:rPr/>
              <w:t>Ingo</w:t>
            </w:r>
          </w:p>
        </w:tc>
      </w:tr>
      <w:tr>
        <w:tc>
          <w:tcPr>
            <w:tcW w:w="1250" w:type="pct"/>
            <w:shd w:val="clear" w:fill="D9E2F3"/>
            <w:tcMar>
              <w:top w:w="70" w:type="dxa"/>
              <w:left w:w="90" w:type="dxa"/>
              <w:bottom w:w="70" w:type="dxa"/>
              <w:right w:w="90" w:type="dxa"/>
            </w:tcMar>
          </w:tcPr>
          <w:p>
            <w:pPr>
              <w:pStyle w:val="Meta"/>
            </w:pPr>
            <w:r>
              <w:rPr>
                <w:b/>
              </w:rPr>
              <w:t>Bereich</w:t>
            </w:r>
          </w:p>
        </w:tc>
        <w:tc>
          <w:tcPr>
            <w:tcW w:w="3750" w:type="pct"/>
            <w:shd w:val="clear" w:fill="F2F2F2"/>
            <w:tcMar>
              <w:top w:w="70" w:type="dxa"/>
              <w:left w:w="90" w:type="dxa"/>
              <w:bottom w:w="70" w:type="dxa"/>
              <w:right w:w="90" w:type="dxa"/>
            </w:tcMar>
          </w:tcPr>
          <w:p>
            <w:pPr>
              <w:pStyle w:val="Meta"/>
            </w:pPr>
            <w:r>
              <w:rPr/>
              <w:t>SAP ZLO03</w:t>
            </w:r>
          </w:p>
        </w:tc>
        <w:tc>
          <w:tcPr>
            <w:tcW w:w="1250" w:type="pct"/>
            <w:shd w:val="clear" w:fill="D9E2F3"/>
            <w:tcMar>
              <w:top w:w="70" w:type="dxa"/>
              <w:left w:w="90" w:type="dxa"/>
              <w:bottom w:w="70" w:type="dxa"/>
              <w:right w:w="90" w:type="dxa"/>
            </w:tcMar>
          </w:tcPr>
          <w:p>
            <w:pPr>
              <w:pStyle w:val="Meta"/>
            </w:pPr>
            <w:r>
              <w:rPr>
                <w:b/>
              </w:rPr>
              <w:t>Dringlichkeit</w:t>
            </w:r>
          </w:p>
        </w:tc>
        <w:tc>
          <w:tcPr>
            <w:tcW w:w="3750" w:type="pct"/>
            <w:shd w:val="clear" w:fill="F2F2F2"/>
            <w:tcMar>
              <w:top w:w="70" w:type="dxa"/>
              <w:left w:w="90" w:type="dxa"/>
              <w:bottom w:w="70" w:type="dxa"/>
              <w:right w:w="90" w:type="dxa"/>
            </w:tcMar>
          </w:tcPr>
          <w:p>
            <w:pPr>
              <w:pStyle w:val="Meta"/>
            </w:pPr>
            <w:r>
              <w:rPr/>
              <w:t>Heute</w:t>
            </w:r>
          </w:p>
        </w:tc>
      </w:tr>
    </w:tbl>
    <w:p>
      <w:pPr>
        <w:pStyle w:val="BodyText"/>
        <w:keepLines/>
      </w:pPr>
      <w:r>
        <w:rPr>
          <w:b/>
          <w:color w:val="365F91"/>
        </w:rPr>
        <w:t>Worum geht es? </w:t>
      </w:r>
      <w:r>
        <w:t xml:space="preserve">Die Korrekturen für falsche Mengeninterpretation und fehlende numerische Materialien sind geschrieben, aber die produktive Transaktion ZLO03 startet ein anderes Programm. Damit sind die neuen Fixes im laufenden Prozess noch nicht wirksam.</w:t>
      </w:r>
    </w:p>
    <w:p>
      <w:pPr>
        <w:pStyle w:val="BodyText"/>
        <w:keepLines/>
      </w:pPr>
      <w:r>
        <w:rPr>
          <w:b/>
          <w:color w:val="365F91"/>
        </w:rPr>
        <w:t>Was ist zu tun / zu entscheiden? </w:t>
      </w:r>
      <w:r>
        <w:t xml:space="preserve">Den Diagnoselauf p_diag und den Regressionstest im tatsächlich gestarteten Programm Z_ZLO03_TURBO2 durchführen. Danach die freigegebenen Fixes in dieses Programm übernehmen beziehungsweise transportieren und auf B76 erneut gegen bekannte Fälle prüfen.</w:t>
      </w:r>
    </w:p>
    <w:p>
      <w:pPr>
        <w:pStyle w:val="BodyText"/>
        <w:keepLines/>
      </w:pPr>
      <w:r>
        <w:rPr>
          <w:b/>
          <w:color w:val="365F91"/>
        </w:rPr>
        <w:t>Erledigt, wenn … </w:t>
      </w:r>
      <w:r>
        <w:t xml:space="preserve">ZLO03 läuft mit dem korrigierten produktiven Programm; Mengen und Materialien stimmen in der Regression und der Transport nach B76 ist nachgewiesen.</w:t>
      </w:r>
    </w:p>
    <w:p>
      <w:pPr>
        <w:pBdr>
          <w:bottom w:val="single" w:color="B4C6E7" w:sz="6" w:space="6"/>
        </w:pBdr>
        <w:spacing w:after="100"/>
      </w:pPr>
    </w:p>
    <w:p>
      <w:pPr>
        <w:pStyle w:val="Heading2"/>
      </w:pPr>
      <w:r>
        <w:rPr/>
        <w:t xml:space="preserve">PM-01 · ZLO03 Kommunikationspflicht</w:t>
      </w:r>
    </w:p>
    <w:tbl>
      <w:tblPr>
        <w:tblW w:w="5000" w:type="pct"/>
        <w:tblBorders>
          <w:top w:val="single" w:color="D9E2F3" w:sz="4"/>
          <w:left w:val="single" w:color="D9E2F3" w:sz="4"/>
          <w:bottom w:val="single" w:color="D9E2F3" w:sz="4"/>
          <w:right w:val="single" w:color="D9E2F3" w:sz="4"/>
          <w:insideH w:val="single" w:color="E7E6E6" w:sz="3"/>
          <w:insideV w:val="single" w:color="E7E6E6" w:sz="3"/>
        </w:tblBorders>
      </w:tblPr>
      <w:tblGrid>
        <w:gridCol w:w="1250"/>
        <w:gridCol w:w="3750"/>
        <w:gridCol w:w="1250"/>
        <w:gridCol w:w="3750"/>
      </w:tblGrid>
      <w:tr>
        <w:tc>
          <w:tcPr>
            <w:tcW w:w="1250" w:type="pct"/>
            <w:shd w:val="clear" w:fill="D9E2F3"/>
            <w:tcMar>
              <w:top w:w="70" w:type="dxa"/>
              <w:left w:w="90" w:type="dxa"/>
              <w:bottom w:w="70" w:type="dxa"/>
              <w:right w:w="90" w:type="dxa"/>
            </w:tcMar>
          </w:tcPr>
          <w:p>
            <w:pPr>
              <w:pStyle w:val="Meta"/>
            </w:pPr>
            <w:r>
              <w:rPr>
                <w:b/>
              </w:rPr>
              <w:t>Status</w:t>
            </w:r>
          </w:p>
        </w:tc>
        <w:tc>
          <w:tcPr>
            <w:tcW w:w="3750" w:type="pct"/>
            <w:shd w:val="clear" w:fill="FCE5CD"/>
            <w:tcMar>
              <w:top w:w="70" w:type="dxa"/>
              <w:left w:w="90" w:type="dxa"/>
              <w:bottom w:w="70" w:type="dxa"/>
              <w:right w:w="90" w:type="dxa"/>
            </w:tcMar>
          </w:tcPr>
          <w:p>
            <w:pPr>
              <w:pStyle w:val="Meta"/>
            </w:pPr>
            <w:r>
              <w:rPr/>
              <w:t>Offen</w:t>
            </w:r>
          </w:p>
        </w:tc>
        <w:tc>
          <w:tcPr>
            <w:tcW w:w="1250" w:type="pct"/>
            <w:shd w:val="clear" w:fill="D9E2F3"/>
            <w:tcMar>
              <w:top w:w="70" w:type="dxa"/>
              <w:left w:w="90" w:type="dxa"/>
              <w:bottom w:w="70" w:type="dxa"/>
              <w:right w:w="90" w:type="dxa"/>
            </w:tcMar>
          </w:tcPr>
          <w:p>
            <w:pPr>
              <w:pStyle w:val="Meta"/>
            </w:pPr>
            <w:r>
              <w:rPr>
                <w:b/>
              </w:rPr>
              <w:t>Owner</w:t>
            </w:r>
          </w:p>
        </w:tc>
        <w:tc>
          <w:tcPr>
            <w:tcW w:w="3750" w:type="pct"/>
            <w:shd w:val="clear" w:fill="D9EAF7"/>
            <w:tcMar>
              <w:top w:w="70" w:type="dxa"/>
              <w:left w:w="90" w:type="dxa"/>
              <w:bottom w:w="70" w:type="dxa"/>
              <w:right w:w="90" w:type="dxa"/>
            </w:tcMar>
          </w:tcPr>
          <w:p>
            <w:pPr>
              <w:pStyle w:val="Meta"/>
            </w:pPr>
            <w:r>
              <w:rPr/>
              <w:t>Ingo</w:t>
            </w:r>
          </w:p>
        </w:tc>
      </w:tr>
      <w:tr>
        <w:tc>
          <w:tcPr>
            <w:tcW w:w="1250" w:type="pct"/>
            <w:shd w:val="clear" w:fill="D9E2F3"/>
            <w:tcMar>
              <w:top w:w="70" w:type="dxa"/>
              <w:left w:w="90" w:type="dxa"/>
              <w:bottom w:w="70" w:type="dxa"/>
              <w:right w:w="90" w:type="dxa"/>
            </w:tcMar>
          </w:tcPr>
          <w:p>
            <w:pPr>
              <w:pStyle w:val="Meta"/>
            </w:pPr>
            <w:r>
              <w:rPr>
                <w:b/>
              </w:rPr>
              <w:t>Bereich</w:t>
            </w:r>
          </w:p>
        </w:tc>
        <w:tc>
          <w:tcPr>
            <w:tcW w:w="3750" w:type="pct"/>
            <w:shd w:val="clear" w:fill="F2F2F2"/>
            <w:tcMar>
              <w:top w:w="70" w:type="dxa"/>
              <w:left w:w="90" w:type="dxa"/>
              <w:bottom w:w="70" w:type="dxa"/>
              <w:right w:w="90" w:type="dxa"/>
            </w:tcMar>
          </w:tcPr>
          <w:p>
            <w:pPr>
              <w:pStyle w:val="Meta"/>
            </w:pPr>
            <w:r>
              <w:rPr/>
              <w:t>SAP ZLO03</w:t>
            </w:r>
          </w:p>
        </w:tc>
        <w:tc>
          <w:tcPr>
            <w:tcW w:w="1250" w:type="pct"/>
            <w:shd w:val="clear" w:fill="D9E2F3"/>
            <w:tcMar>
              <w:top w:w="70" w:type="dxa"/>
              <w:left w:w="90" w:type="dxa"/>
              <w:bottom w:w="70" w:type="dxa"/>
              <w:right w:w="90" w:type="dxa"/>
            </w:tcMar>
          </w:tcPr>
          <w:p>
            <w:pPr>
              <w:pStyle w:val="Meta"/>
            </w:pPr>
            <w:r>
              <w:rPr>
                <w:b/>
              </w:rPr>
              <w:t>Dringlichkeit</w:t>
            </w:r>
          </w:p>
        </w:tc>
        <w:tc>
          <w:tcPr>
            <w:tcW w:w="3750" w:type="pct"/>
            <w:shd w:val="clear" w:fill="F2F2F2"/>
            <w:tcMar>
              <w:top w:w="70" w:type="dxa"/>
              <w:left w:w="90" w:type="dxa"/>
              <w:bottom w:w="70" w:type="dxa"/>
              <w:right w:w="90" w:type="dxa"/>
            </w:tcMar>
          </w:tcPr>
          <w:p>
            <w:pPr>
              <w:pStyle w:val="Meta"/>
            </w:pPr>
            <w:r>
              <w:rPr/>
              <w:t>Heute</w:t>
            </w:r>
          </w:p>
        </w:tc>
      </w:tr>
    </w:tbl>
    <w:p>
      <w:pPr>
        <w:pStyle w:val="BodyText"/>
        <w:keepLines/>
      </w:pPr>
      <w:r>
        <w:rPr>
          <w:b/>
          <w:color w:val="365F91"/>
        </w:rPr>
        <w:t>Worum geht es? </w:t>
      </w:r>
      <w:r>
        <w:t xml:space="preserve">Die Spalte Exklusiv erhält künftig neben leer und X auch den Wert ?. Er bedeutet, dass die Exklusivität mit den vorhandenen Daten nicht sicher entschieden werden kann. Eine Fehlinterpretation als X könnte zur Kündigung eines noch benötigten Mengenkontrakts führen.</w:t>
      </w:r>
    </w:p>
    <w:p>
      <w:pPr>
        <w:pStyle w:val="BodyText"/>
        <w:keepLines/>
      </w:pPr>
      <w:r>
        <w:rPr>
          <w:b/>
          <w:color w:val="365F91"/>
        </w:rPr>
        <w:t>Was ist zu tun / zu entscheiden? </w:t>
      </w:r>
      <w:r>
        <w:t xml:space="preserve">Ann-Katrin Michel vor dem produktiven Einsatz über den dritten Wert, seine Bedeutung und das richtige Vorgehen bei ? informieren. Die Information soll vor der nächsten operativen Auswertung erfolgen.</w:t>
      </w:r>
    </w:p>
    <w:p>
      <w:pPr>
        <w:pStyle w:val="BodyText"/>
        <w:keepLines/>
      </w:pPr>
      <w:r>
        <w:rPr>
          <w:b/>
          <w:color w:val="365F91"/>
        </w:rPr>
        <w:t>Erledigt, wenn … </w:t>
      </w:r>
      <w:r>
        <w:t xml:space="preserve">Ann-Katrin hat die Änderung bestätigt und weiß, dass ? manuell geprüft werden muss und nicht wie X behandelt werden darf.</w:t>
      </w:r>
    </w:p>
    <w:p>
      <w:pPr>
        <w:pBdr>
          <w:bottom w:val="single" w:color="B4C6E7" w:sz="6" w:space="6"/>
        </w:pBdr>
        <w:spacing w:after="100"/>
      </w:pPr>
    </w:p>
    <w:p>
      <w:pPr>
        <w:pStyle w:val="Heading2"/>
      </w:pPr>
      <w:r>
        <w:rPr/>
        <w:t xml:space="preserve">PM-03 · ZZPRDAT Abnahme einholen</w:t>
      </w:r>
    </w:p>
    <w:tbl>
      <w:tblPr>
        <w:tblW w:w="5000" w:type="pct"/>
        <w:tblBorders>
          <w:top w:val="single" w:color="D9E2F3" w:sz="4"/>
          <w:left w:val="single" w:color="D9E2F3" w:sz="4"/>
          <w:bottom w:val="single" w:color="D9E2F3" w:sz="4"/>
          <w:right w:val="single" w:color="D9E2F3" w:sz="4"/>
          <w:insideH w:val="single" w:color="E7E6E6" w:sz="3"/>
          <w:insideV w:val="single" w:color="E7E6E6" w:sz="3"/>
        </w:tblBorders>
      </w:tblPr>
      <w:tblGrid>
        <w:gridCol w:w="1250"/>
        <w:gridCol w:w="3750"/>
        <w:gridCol w:w="1250"/>
        <w:gridCol w:w="3750"/>
      </w:tblGrid>
      <w:tr>
        <w:tc>
          <w:tcPr>
            <w:tcW w:w="1250" w:type="pct"/>
            <w:shd w:val="clear" w:fill="D9E2F3"/>
            <w:tcMar>
              <w:top w:w="70" w:type="dxa"/>
              <w:left w:w="90" w:type="dxa"/>
              <w:bottom w:w="70" w:type="dxa"/>
              <w:right w:w="90" w:type="dxa"/>
            </w:tcMar>
          </w:tcPr>
          <w:p>
            <w:pPr>
              <w:pStyle w:val="Meta"/>
            </w:pPr>
            <w:r>
              <w:rPr>
                <w:b/>
              </w:rPr>
              <w:t>Status</w:t>
            </w:r>
          </w:p>
        </w:tc>
        <w:tc>
          <w:tcPr>
            <w:tcW w:w="3750" w:type="pct"/>
            <w:shd w:val="clear" w:fill="D9EAD3"/>
            <w:tcMar>
              <w:top w:w="70" w:type="dxa"/>
              <w:left w:w="90" w:type="dxa"/>
              <w:bottom w:w="70" w:type="dxa"/>
              <w:right w:w="90" w:type="dxa"/>
            </w:tcMar>
          </w:tcPr>
          <w:p>
            <w:pPr>
              <w:pStyle w:val="Meta"/>
            </w:pPr>
            <w:r>
              <w:rPr/>
              <w:t>Läuft</w:t>
            </w:r>
          </w:p>
        </w:tc>
        <w:tc>
          <w:tcPr>
            <w:tcW w:w="1250" w:type="pct"/>
            <w:shd w:val="clear" w:fill="D9E2F3"/>
            <w:tcMar>
              <w:top w:w="70" w:type="dxa"/>
              <w:left w:w="90" w:type="dxa"/>
              <w:bottom w:w="70" w:type="dxa"/>
              <w:right w:w="90" w:type="dxa"/>
            </w:tcMar>
          </w:tcPr>
          <w:p>
            <w:pPr>
              <w:pStyle w:val="Meta"/>
            </w:pPr>
            <w:r>
              <w:rPr>
                <w:b/>
              </w:rPr>
              <w:t>Owner</w:t>
            </w:r>
          </w:p>
        </w:tc>
        <w:tc>
          <w:tcPr>
            <w:tcW w:w="3750" w:type="pct"/>
            <w:shd w:val="clear" w:fill="D9EAF7"/>
            <w:tcMar>
              <w:top w:w="70" w:type="dxa"/>
              <w:left w:w="90" w:type="dxa"/>
              <w:bottom w:w="70" w:type="dxa"/>
              <w:right w:w="90" w:type="dxa"/>
            </w:tcMar>
          </w:tcPr>
          <w:p>
            <w:pPr>
              <w:pStyle w:val="Meta"/>
            </w:pPr>
            <w:r>
              <w:rPr/>
              <w:t>Ingo</w:t>
            </w:r>
          </w:p>
        </w:tc>
      </w:tr>
      <w:tr>
        <w:tc>
          <w:tcPr>
            <w:tcW w:w="1250" w:type="pct"/>
            <w:shd w:val="clear" w:fill="D9E2F3"/>
            <w:tcMar>
              <w:top w:w="70" w:type="dxa"/>
              <w:left w:w="90" w:type="dxa"/>
              <w:bottom w:w="70" w:type="dxa"/>
              <w:right w:w="90" w:type="dxa"/>
            </w:tcMar>
          </w:tcPr>
          <w:p>
            <w:pPr>
              <w:pStyle w:val="Meta"/>
            </w:pPr>
            <w:r>
              <w:rPr>
                <w:b/>
              </w:rPr>
              <w:t>Bereich</w:t>
            </w:r>
          </w:p>
        </w:tc>
        <w:tc>
          <w:tcPr>
            <w:tcW w:w="3750" w:type="pct"/>
            <w:shd w:val="clear" w:fill="F2F2F2"/>
            <w:tcMar>
              <w:top w:w="70" w:type="dxa"/>
              <w:left w:w="90" w:type="dxa"/>
              <w:bottom w:w="70" w:type="dxa"/>
              <w:right w:w="90" w:type="dxa"/>
            </w:tcMar>
          </w:tcPr>
          <w:p>
            <w:pPr>
              <w:pStyle w:val="Meta"/>
            </w:pPr>
            <w:r>
              <w:rPr/>
              <w:t>SAP ZZPRDAT</w:t>
            </w:r>
          </w:p>
        </w:tc>
        <w:tc>
          <w:tcPr>
            <w:tcW w:w="1250" w:type="pct"/>
            <w:shd w:val="clear" w:fill="D9E2F3"/>
            <w:tcMar>
              <w:top w:w="70" w:type="dxa"/>
              <w:left w:w="90" w:type="dxa"/>
              <w:bottom w:w="70" w:type="dxa"/>
              <w:right w:w="90" w:type="dxa"/>
            </w:tcMar>
          </w:tcPr>
          <w:p>
            <w:pPr>
              <w:pStyle w:val="Meta"/>
            </w:pPr>
            <w:r>
              <w:rPr>
                <w:b/>
              </w:rPr>
              <w:t>Dringlichkeit</w:t>
            </w:r>
          </w:p>
        </w:tc>
        <w:tc>
          <w:tcPr>
            <w:tcW w:w="3750" w:type="pct"/>
            <w:shd w:val="clear" w:fill="F2F2F2"/>
            <w:tcMar>
              <w:top w:w="70" w:type="dxa"/>
              <w:left w:w="90" w:type="dxa"/>
              <w:bottom w:w="70" w:type="dxa"/>
              <w:right w:w="90" w:type="dxa"/>
            </w:tcMar>
          </w:tcPr>
          <w:p>
            <w:pPr>
              <w:pStyle w:val="Meta"/>
            </w:pPr>
            <w:r>
              <w:rPr/>
              <w:t>Heute</w:t>
            </w:r>
          </w:p>
        </w:tc>
      </w:tr>
    </w:tbl>
    <w:p>
      <w:pPr>
        <w:pStyle w:val="BodyText"/>
        <w:keepLines/>
      </w:pPr>
      <w:r>
        <w:rPr>
          <w:b/>
          <w:color w:val="365F91"/>
        </w:rPr>
        <w:t>Worum geht es? </w:t>
      </w:r>
      <w:r>
        <w:t xml:space="preserve">Die Lösung ist am 03. und 04.09.2026 gebaut, im Paket ZPP1 und im Transportauftrag T76K912490 abgelegt und auf sieben Wegen nachgetestet. Trigger und Quellfeld GLTRP sind geklärt. Offen ist nur noch die fachliche Abnahme; der Auftrag bleibt bis dahin bewusst unfreigegeben, damit der Fachbereich genau die Objekte abnimmt, die später ausgeliefert werden.</w:t>
      </w:r>
    </w:p>
    <w:p>
      <w:pPr>
        <w:pStyle w:val="BodyText"/>
        <w:keepLines/>
      </w:pPr>
      <w:r>
        <w:rPr>
          <w:b/>
          <w:color w:val="365F91"/>
        </w:rPr>
        <w:t>Was ist zu tun / zu entscheiden? </w:t>
      </w:r>
      <w:r>
        <w:t xml:space="preserve">Das Anschreiben liegt als Outlook-Entwurf mit Betreff und angehängtem Lösungsdokument. Vor dem Versand die Empfängeradressen eintragen (für Lucas Castro, Florian Wächter, Marco Di Menco und Fabio Palma in docs/ANSPRECHPARTNER.md nicht hinterlegt) und den Text aus docs/ZZPRDAT_Mail_Abnahme_2026-09-04.html hineinkopieren, weil Outlook an diesem Arbeitsplatz jede Zuweisung an den Nachrichtentext verwirft.</w:t>
      </w:r>
    </w:p>
    <w:p>
      <w:pPr>
        <w:pStyle w:val="BodyText"/>
        <w:keepLines/>
      </w:pPr>
      <w:r>
        <w:rPr>
          <w:b/>
          <w:color w:val="365F91"/>
        </w:rPr>
        <w:t>Erledigt, wenn … </w:t>
      </w:r>
      <w:r>
        <w:t xml:space="preserve">Die fachliche Abnahme liegt schriftlich vor und Marco hat bestätigt, ob Etikett und Typenschild dasselbe Feld verwenden. Erst danach wird der Auftrag freigegeben; das Nachfüllen der Altbestände ist ein eigener, später zu entscheidender Schritt.</w:t>
      </w:r>
    </w:p>
    <w:p>
      <w:pPr>
        <w:pBdr>
          <w:bottom w:val="single" w:color="B4C6E7" w:sz="6" w:space="6"/>
        </w:pBdr>
        <w:spacing w:after="100"/>
      </w:pPr>
    </w:p>
    <w:p>
      <w:pPr>
        <w:pStyle w:val="Heading1"/>
        <w:pageBreakBefore/>
      </w:pPr>
      <w:r>
        <w:rPr/>
        <w:t xml:space="preserve">Einkauf</w:t>
      </w:r>
    </w:p>
    <w:p>
      <w:pPr>
        <w:pStyle w:val="Heading2"/>
      </w:pPr>
      <w:r>
        <w:rPr/>
        <w:t xml:space="preserve">PM-04 · Einkauf Restpunkte SAP</w:t>
      </w:r>
    </w:p>
    <w:tbl>
      <w:tblPr>
        <w:tblW w:w="5000" w:type="pct"/>
        <w:tblBorders>
          <w:top w:val="single" w:color="D9E2F3" w:sz="4"/>
          <w:left w:val="single" w:color="D9E2F3" w:sz="4"/>
          <w:bottom w:val="single" w:color="D9E2F3" w:sz="4"/>
          <w:right w:val="single" w:color="D9E2F3" w:sz="4"/>
          <w:insideH w:val="single" w:color="E7E6E6" w:sz="3"/>
          <w:insideV w:val="single" w:color="E7E6E6" w:sz="3"/>
        </w:tblBorders>
      </w:tblPr>
      <w:tblGrid>
        <w:gridCol w:w="1250"/>
        <w:gridCol w:w="3750"/>
        <w:gridCol w:w="1250"/>
        <w:gridCol w:w="3750"/>
      </w:tblGrid>
      <w:tr>
        <w:tc>
          <w:tcPr>
            <w:tcW w:w="1250" w:type="pct"/>
            <w:shd w:val="clear" w:fill="D9E2F3"/>
            <w:tcMar>
              <w:top w:w="70" w:type="dxa"/>
              <w:left w:w="90" w:type="dxa"/>
              <w:bottom w:w="70" w:type="dxa"/>
              <w:right w:w="90" w:type="dxa"/>
            </w:tcMar>
          </w:tcPr>
          <w:p>
            <w:pPr>
              <w:pStyle w:val="Meta"/>
            </w:pPr>
            <w:r>
              <w:rPr>
                <w:b/>
              </w:rPr>
              <w:t>Status</w:t>
            </w:r>
          </w:p>
        </w:tc>
        <w:tc>
          <w:tcPr>
            <w:tcW w:w="3750" w:type="pct"/>
            <w:shd w:val="clear" w:fill="FCE5CD"/>
            <w:tcMar>
              <w:top w:w="70" w:type="dxa"/>
              <w:left w:w="90" w:type="dxa"/>
              <w:bottom w:w="70" w:type="dxa"/>
              <w:right w:w="90" w:type="dxa"/>
            </w:tcMar>
          </w:tcPr>
          <w:p>
            <w:pPr>
              <w:pStyle w:val="Meta"/>
            </w:pPr>
            <w:r>
              <w:rPr/>
              <w:t>Offen</w:t>
            </w:r>
          </w:p>
        </w:tc>
        <w:tc>
          <w:tcPr>
            <w:tcW w:w="1250" w:type="pct"/>
            <w:shd w:val="clear" w:fill="D9E2F3"/>
            <w:tcMar>
              <w:top w:w="70" w:type="dxa"/>
              <w:left w:w="90" w:type="dxa"/>
              <w:bottom w:w="70" w:type="dxa"/>
              <w:right w:w="90" w:type="dxa"/>
            </w:tcMar>
          </w:tcPr>
          <w:p>
            <w:pPr>
              <w:pStyle w:val="Meta"/>
            </w:pPr>
            <w:r>
              <w:rPr>
                <w:b/>
              </w:rPr>
              <w:t>Owner</w:t>
            </w:r>
          </w:p>
        </w:tc>
        <w:tc>
          <w:tcPr>
            <w:tcW w:w="3750" w:type="pct"/>
            <w:shd w:val="clear" w:fill="D9EAF7"/>
            <w:tcMar>
              <w:top w:w="70" w:type="dxa"/>
              <w:left w:w="90" w:type="dxa"/>
              <w:bottom w:w="70" w:type="dxa"/>
              <w:right w:w="90" w:type="dxa"/>
            </w:tcMar>
          </w:tcPr>
          <w:p>
            <w:pPr>
              <w:pStyle w:val="Meta"/>
            </w:pPr>
            <w:r>
              <w:rPr/>
              <w:t>Ingo</w:t>
            </w:r>
          </w:p>
        </w:tc>
      </w:tr>
      <w:tr>
        <w:tc>
          <w:tcPr>
            <w:tcW w:w="1250" w:type="pct"/>
            <w:shd w:val="clear" w:fill="D9E2F3"/>
            <w:tcMar>
              <w:top w:w="70" w:type="dxa"/>
              <w:left w:w="90" w:type="dxa"/>
              <w:bottom w:w="70" w:type="dxa"/>
              <w:right w:w="90" w:type="dxa"/>
            </w:tcMar>
          </w:tcPr>
          <w:p>
            <w:pPr>
              <w:pStyle w:val="Meta"/>
            </w:pPr>
            <w:r>
              <w:rPr>
                <w:b/>
              </w:rPr>
              <w:t>Bereich</w:t>
            </w:r>
          </w:p>
        </w:tc>
        <w:tc>
          <w:tcPr>
            <w:tcW w:w="3750" w:type="pct"/>
            <w:shd w:val="clear" w:fill="F2F2F2"/>
            <w:tcMar>
              <w:top w:w="70" w:type="dxa"/>
              <w:left w:w="90" w:type="dxa"/>
              <w:bottom w:w="70" w:type="dxa"/>
              <w:right w:w="90" w:type="dxa"/>
            </w:tcMar>
          </w:tcPr>
          <w:p>
            <w:pPr>
              <w:pStyle w:val="Meta"/>
            </w:pPr>
            <w:r>
              <w:rPr/>
              <w:t>Einkauf</w:t>
            </w:r>
          </w:p>
        </w:tc>
        <w:tc>
          <w:tcPr>
            <w:tcW w:w="1250" w:type="pct"/>
            <w:shd w:val="clear" w:fill="D9E2F3"/>
            <w:tcMar>
              <w:top w:w="70" w:type="dxa"/>
              <w:left w:w="90" w:type="dxa"/>
              <w:bottom w:w="70" w:type="dxa"/>
              <w:right w:w="90" w:type="dxa"/>
            </w:tcMar>
          </w:tcPr>
          <w:p>
            <w:pPr>
              <w:pStyle w:val="Meta"/>
            </w:pPr>
            <w:r>
              <w:rPr>
                <w:b/>
              </w:rPr>
              <w:t>Dringlichkeit</w:t>
            </w:r>
          </w:p>
        </w:tc>
        <w:tc>
          <w:tcPr>
            <w:tcW w:w="3750" w:type="pct"/>
            <w:shd w:val="clear" w:fill="F2F2F2"/>
            <w:tcMar>
              <w:top w:w="70" w:type="dxa"/>
              <w:left w:w="90" w:type="dxa"/>
              <w:bottom w:w="70" w:type="dxa"/>
              <w:right w:w="90" w:type="dxa"/>
            </w:tcMar>
          </w:tcPr>
          <w:p>
            <w:pPr>
              <w:pStyle w:val="Meta"/>
            </w:pPr>
            <w:r>
              <w:rPr/>
              <w:t>Umsetzung</w:t>
            </w:r>
          </w:p>
        </w:tc>
      </w:tr>
    </w:tbl>
    <w:p>
      <w:pPr>
        <w:pStyle w:val="BodyText"/>
        <w:keepLines/>
      </w:pPr>
      <w:r>
        <w:rPr>
          <w:b/>
          <w:color w:val="365F91"/>
        </w:rPr>
        <w:t>Worum geht es? </w:t>
      </w:r>
      <w:r>
        <w:t xml:space="preserve">Die SAP-basierte Produktgruppenlogik im Einkaufsdashboard läuft produktiv. Zwei nicht blockierende Stammdaten-/Metadatenpunkte bleiben: D1 und D5 haben keinen Text, und DISPO ist allein kein eindeutiger Schlüssel.</w:t>
      </w:r>
    </w:p>
    <w:p>
      <w:pPr>
        <w:pStyle w:val="BodyText"/>
        <w:keepLines/>
      </w:pPr>
      <w:r>
        <w:rPr>
          <w:b/>
          <w:color w:val="365F91"/>
        </w:rPr>
        <w:t>Was ist zu tun / zu entscheiden? </w:t>
      </w:r>
      <w:r>
        <w:t xml:space="preserve">Texte für D1/D5 in ZDISPO_SPART pflegen und den SEGW-Schlüssel von ZDISPO_GRP auf DISPO_KZ plus DISPO erweitern. Danach Metadaten, OData-Antwort und Delta-Lauf prüfen.</w:t>
      </w:r>
    </w:p>
    <w:p>
      <w:pPr>
        <w:pStyle w:val="BodyText"/>
        <w:keepLines/>
      </w:pPr>
      <w:r>
        <w:rPr>
          <w:b/>
          <w:color w:val="365F91"/>
        </w:rPr>
        <w:t>Erledigt, wenn … </w:t>
      </w:r>
      <w:r>
        <w:t xml:space="preserve">D1/D5 werden mit Text angezeigt, der zusammengesetzte Schlüssel ist im produktiven Metadata sichtbar und alle Gruppen werden ohne Überschreiben oder Duplikate geladen.</w:t>
      </w:r>
    </w:p>
    <w:p>
      <w:pPr>
        <w:pBdr>
          <w:bottom w:val="single" w:color="B4C6E7" w:sz="6" w:space="6"/>
        </w:pBdr>
        <w:spacing w:after="100"/>
      </w:pPr>
    </w:p>
    <w:p>
      <w:pPr>
        <w:pStyle w:val="Heading2"/>
      </w:pPr>
      <w:r>
        <w:rPr/>
        <w:t xml:space="preserve">Nr. 23 · Lagerwert Einkaufsteile</w:t>
      </w:r>
    </w:p>
    <w:tbl>
      <w:tblPr>
        <w:tblW w:w="5000" w:type="pct"/>
        <w:tblBorders>
          <w:top w:val="single" w:color="D9E2F3" w:sz="4"/>
          <w:left w:val="single" w:color="D9E2F3" w:sz="4"/>
          <w:bottom w:val="single" w:color="D9E2F3" w:sz="4"/>
          <w:right w:val="single" w:color="D9E2F3" w:sz="4"/>
          <w:insideH w:val="single" w:color="E7E6E6" w:sz="3"/>
          <w:insideV w:val="single" w:color="E7E6E6" w:sz="3"/>
        </w:tblBorders>
      </w:tblPr>
      <w:tblGrid>
        <w:gridCol w:w="1250"/>
        <w:gridCol w:w="3750"/>
        <w:gridCol w:w="1250"/>
        <w:gridCol w:w="3750"/>
      </w:tblGrid>
      <w:tr>
        <w:tc>
          <w:tcPr>
            <w:tcW w:w="1250" w:type="pct"/>
            <w:shd w:val="clear" w:fill="D9E2F3"/>
            <w:tcMar>
              <w:top w:w="70" w:type="dxa"/>
              <w:left w:w="90" w:type="dxa"/>
              <w:bottom w:w="70" w:type="dxa"/>
              <w:right w:w="90" w:type="dxa"/>
            </w:tcMar>
          </w:tcPr>
          <w:p>
            <w:pPr>
              <w:pStyle w:val="Meta"/>
            </w:pPr>
            <w:r>
              <w:rPr>
                <w:b/>
              </w:rPr>
              <w:t>Status</w:t>
            </w:r>
          </w:p>
        </w:tc>
        <w:tc>
          <w:tcPr>
            <w:tcW w:w="3750" w:type="pct"/>
            <w:shd w:val="clear" w:fill="D9EAD3"/>
            <w:tcMar>
              <w:top w:w="70" w:type="dxa"/>
              <w:left w:w="90" w:type="dxa"/>
              <w:bottom w:w="70" w:type="dxa"/>
              <w:right w:w="90" w:type="dxa"/>
            </w:tcMar>
          </w:tcPr>
          <w:p>
            <w:pPr>
              <w:pStyle w:val="Meta"/>
            </w:pPr>
            <w:r>
              <w:rPr/>
              <w:t>Teil umgesetzt, Nachweis offen</w:t>
            </w:r>
          </w:p>
        </w:tc>
        <w:tc>
          <w:tcPr>
            <w:tcW w:w="1250" w:type="pct"/>
            <w:shd w:val="clear" w:fill="D9E2F3"/>
            <w:tcMar>
              <w:top w:w="70" w:type="dxa"/>
              <w:left w:w="90" w:type="dxa"/>
              <w:bottom w:w="70" w:type="dxa"/>
              <w:right w:w="90" w:type="dxa"/>
            </w:tcMar>
          </w:tcPr>
          <w:p>
            <w:pPr>
              <w:pStyle w:val="Meta"/>
            </w:pPr>
            <w:r>
              <w:rPr>
                <w:b/>
              </w:rPr>
              <w:t>Owner</w:t>
            </w:r>
          </w:p>
        </w:tc>
        <w:tc>
          <w:tcPr>
            <w:tcW w:w="3750" w:type="pct"/>
            <w:shd w:val="clear" w:fill="D9EAF7"/>
            <w:tcMar>
              <w:top w:w="70" w:type="dxa"/>
              <w:left w:w="90" w:type="dxa"/>
              <w:bottom w:w="70" w:type="dxa"/>
              <w:right w:w="90" w:type="dxa"/>
            </w:tcMar>
          </w:tcPr>
          <w:p>
            <w:pPr>
              <w:pStyle w:val="Meta"/>
            </w:pPr>
            <w:r>
              <w:rPr/>
              <w:t>Ingo</w:t>
            </w:r>
          </w:p>
        </w:tc>
      </w:tr>
      <w:tr>
        <w:tc>
          <w:tcPr>
            <w:tcW w:w="1250" w:type="pct"/>
            <w:shd w:val="clear" w:fill="D9E2F3"/>
            <w:tcMar>
              <w:top w:w="70" w:type="dxa"/>
              <w:left w:w="90" w:type="dxa"/>
              <w:bottom w:w="70" w:type="dxa"/>
              <w:right w:w="90" w:type="dxa"/>
            </w:tcMar>
          </w:tcPr>
          <w:p>
            <w:pPr>
              <w:pStyle w:val="Meta"/>
            </w:pPr>
            <w:r>
              <w:rPr>
                <w:b/>
              </w:rPr>
              <w:t>Bereich</w:t>
            </w:r>
          </w:p>
        </w:tc>
        <w:tc>
          <w:tcPr>
            <w:tcW w:w="3750" w:type="pct"/>
            <w:shd w:val="clear" w:fill="F2F2F2"/>
            <w:tcMar>
              <w:top w:w="70" w:type="dxa"/>
              <w:left w:w="90" w:type="dxa"/>
              <w:bottom w:w="70" w:type="dxa"/>
              <w:right w:w="90" w:type="dxa"/>
            </w:tcMar>
          </w:tcPr>
          <w:p>
            <w:pPr>
              <w:pStyle w:val="Meta"/>
            </w:pPr>
            <w:r>
              <w:rPr/>
              <w:t>Einkauf</w:t>
            </w:r>
          </w:p>
        </w:tc>
        <w:tc>
          <w:tcPr>
            <w:tcW w:w="1250" w:type="pct"/>
            <w:shd w:val="clear" w:fill="D9E2F3"/>
            <w:tcMar>
              <w:top w:w="70" w:type="dxa"/>
              <w:left w:w="90" w:type="dxa"/>
              <w:bottom w:w="70" w:type="dxa"/>
              <w:right w:w="90" w:type="dxa"/>
            </w:tcMar>
          </w:tcPr>
          <w:p>
            <w:pPr>
              <w:pStyle w:val="Meta"/>
            </w:pPr>
            <w:r>
              <w:rPr>
                <w:b/>
              </w:rPr>
              <w:t>Dringlichkeit</w:t>
            </w:r>
          </w:p>
        </w:tc>
        <w:tc>
          <w:tcPr>
            <w:tcW w:w="3750" w:type="pct"/>
            <w:shd w:val="clear" w:fill="F2F2F2"/>
            <w:tcMar>
              <w:top w:w="70" w:type="dxa"/>
              <w:left w:w="90" w:type="dxa"/>
              <w:bottom w:w="70" w:type="dxa"/>
              <w:right w:w="90" w:type="dxa"/>
            </w:tcMar>
          </w:tcPr>
          <w:p>
            <w:pPr>
              <w:pStyle w:val="Meta"/>
            </w:pPr>
            <w:r>
              <w:rPr/>
              <w:t>Heute</w:t>
            </w:r>
          </w:p>
        </w:tc>
      </w:tr>
    </w:tbl>
    <w:p>
      <w:pPr>
        <w:pStyle w:val="BodyText"/>
        <w:keepLines/>
      </w:pPr>
      <w:r>
        <w:rPr>
          <w:b/>
          <w:color w:val="365F91"/>
        </w:rPr>
        <w:t>Worum geht es? </w:t>
      </w:r>
      <w:r>
        <w:t xml:space="preserve">Der Lagerwert für Einkaufsteile ist technisch teilweise umgesetzt und nutzt die Disponenten 001 bis 005. Die Zahl ist noch nicht fachlich freigegeben, weil der Abgleich gegen SAP MB5L und der vollständige produktive Datenlauf fehlen.</w:t>
      </w:r>
    </w:p>
    <w:p>
      <w:pPr>
        <w:pStyle w:val="BodyText"/>
        <w:keepLines/>
      </w:pPr>
      <w:r>
        <w:rPr>
          <w:b/>
          <w:color w:val="365F91"/>
        </w:rPr>
        <w:t>Was ist zu tun / zu entscheiden? </w:t>
      </w:r>
      <w:r>
        <w:t xml:space="preserve">MB5L für denselben Stichtag und Bewertungsumfang gegen die Dashboard-Summe abgleichen. Danach den serverseitigen Einkauf-Lauf ausführen und die Kette SAP-Quelle, Cache und Anzeige mit Summen und Zeitstempeln nachweisen.</w:t>
      </w:r>
    </w:p>
    <w:p>
      <w:pPr>
        <w:pStyle w:val="BodyText"/>
        <w:keepLines/>
      </w:pPr>
      <w:r>
        <w:rPr>
          <w:b/>
          <w:color w:val="365F91"/>
        </w:rPr>
        <w:t>Erledigt, wenn … </w:t>
      </w:r>
      <w:r>
        <w:t xml:space="preserve">MB5L und Dashboard stimmen für den vereinbarten Umfang nachvollziehbar überein und ein erfolgreicher produktiver Lauf belegt die vollständige Datenkette.</w:t>
      </w:r>
    </w:p>
    <w:p>
      <w:pPr>
        <w:pBdr>
          <w:bottom w:val="single" w:color="B4C6E7" w:sz="6" w:space="6"/>
        </w:pBdr>
        <w:spacing w:after="100"/>
      </w:pPr>
    </w:p>
    <w:p>
      <w:pPr>
        <w:pStyle w:val="Heading1"/>
        <w:pageBreakBefore/>
      </w:pPr>
      <w:r>
        <w:rPr/>
        <w:t xml:space="preserve">Railway</w:t>
      </w:r>
    </w:p>
    <w:p>
      <w:pPr>
        <w:pStyle w:val="Heading2"/>
      </w:pPr>
      <w:r>
        <w:rPr/>
        <w:t xml:space="preserve">PM-08 · Railway Kundenname Deutschland</w:t>
      </w:r>
    </w:p>
    <w:tbl>
      <w:tblPr>
        <w:tblW w:w="5000" w:type="pct"/>
        <w:tblBorders>
          <w:top w:val="single" w:color="D9E2F3" w:sz="4"/>
          <w:left w:val="single" w:color="D9E2F3" w:sz="4"/>
          <w:bottom w:val="single" w:color="D9E2F3" w:sz="4"/>
          <w:right w:val="single" w:color="D9E2F3" w:sz="4"/>
          <w:insideH w:val="single" w:color="E7E6E6" w:sz="3"/>
          <w:insideV w:val="single" w:color="E7E6E6" w:sz="3"/>
        </w:tblBorders>
      </w:tblPr>
      <w:tblGrid>
        <w:gridCol w:w="1250"/>
        <w:gridCol w:w="3750"/>
        <w:gridCol w:w="1250"/>
        <w:gridCol w:w="3750"/>
      </w:tblGrid>
      <w:tr>
        <w:tc>
          <w:tcPr>
            <w:tcW w:w="1250" w:type="pct"/>
            <w:shd w:val="clear" w:fill="D9E2F3"/>
            <w:tcMar>
              <w:top w:w="70" w:type="dxa"/>
              <w:left w:w="90" w:type="dxa"/>
              <w:bottom w:w="70" w:type="dxa"/>
              <w:right w:w="90" w:type="dxa"/>
            </w:tcMar>
          </w:tcPr>
          <w:p>
            <w:pPr>
              <w:pStyle w:val="Meta"/>
            </w:pPr>
            <w:r>
              <w:rPr>
                <w:b/>
              </w:rPr>
              <w:t>Status</w:t>
            </w:r>
          </w:p>
        </w:tc>
        <w:tc>
          <w:tcPr>
            <w:tcW w:w="3750" w:type="pct"/>
            <w:shd w:val="clear" w:fill="F4CCCC"/>
            <w:tcMar>
              <w:top w:w="70" w:type="dxa"/>
              <w:left w:w="90" w:type="dxa"/>
              <w:bottom w:w="70" w:type="dxa"/>
              <w:right w:w="90" w:type="dxa"/>
            </w:tcMar>
          </w:tcPr>
          <w:p>
            <w:pPr>
              <w:pStyle w:val="Meta"/>
            </w:pPr>
            <w:r>
              <w:rPr/>
              <w:t>Blockiert</w:t>
            </w:r>
          </w:p>
        </w:tc>
        <w:tc>
          <w:tcPr>
            <w:tcW w:w="1250" w:type="pct"/>
            <w:shd w:val="clear" w:fill="D9E2F3"/>
            <w:tcMar>
              <w:top w:w="70" w:type="dxa"/>
              <w:left w:w="90" w:type="dxa"/>
              <w:bottom w:w="70" w:type="dxa"/>
              <w:right w:w="90" w:type="dxa"/>
            </w:tcMar>
          </w:tcPr>
          <w:p>
            <w:pPr>
              <w:pStyle w:val="Meta"/>
            </w:pPr>
            <w:r>
              <w:rPr>
                <w:b/>
              </w:rPr>
              <w:t>Owner</w:t>
            </w:r>
          </w:p>
        </w:tc>
        <w:tc>
          <w:tcPr>
            <w:tcW w:w="3750" w:type="pct"/>
            <w:shd w:val="clear" w:fill="D9EAF7"/>
            <w:tcMar>
              <w:top w:w="70" w:type="dxa"/>
              <w:left w:w="90" w:type="dxa"/>
              <w:bottom w:w="70" w:type="dxa"/>
              <w:right w:w="90" w:type="dxa"/>
            </w:tcMar>
          </w:tcPr>
          <w:p>
            <w:pPr>
              <w:pStyle w:val="Meta"/>
            </w:pPr>
            <w:r>
              <w:rPr/>
              <w:t>Ingo</w:t>
            </w:r>
          </w:p>
        </w:tc>
      </w:tr>
      <w:tr>
        <w:tc>
          <w:tcPr>
            <w:tcW w:w="1250" w:type="pct"/>
            <w:shd w:val="clear" w:fill="D9E2F3"/>
            <w:tcMar>
              <w:top w:w="70" w:type="dxa"/>
              <w:left w:w="90" w:type="dxa"/>
              <w:bottom w:w="70" w:type="dxa"/>
              <w:right w:w="90" w:type="dxa"/>
            </w:tcMar>
          </w:tcPr>
          <w:p>
            <w:pPr>
              <w:pStyle w:val="Meta"/>
            </w:pPr>
            <w:r>
              <w:rPr>
                <w:b/>
              </w:rPr>
              <w:t>Bereich</w:t>
            </w:r>
          </w:p>
        </w:tc>
        <w:tc>
          <w:tcPr>
            <w:tcW w:w="3750" w:type="pct"/>
            <w:shd w:val="clear" w:fill="F2F2F2"/>
            <w:tcMar>
              <w:top w:w="70" w:type="dxa"/>
              <w:left w:w="90" w:type="dxa"/>
              <w:bottom w:w="70" w:type="dxa"/>
              <w:right w:w="90" w:type="dxa"/>
            </w:tcMar>
          </w:tcPr>
          <w:p>
            <w:pPr>
              <w:pStyle w:val="Meta"/>
            </w:pPr>
            <w:r>
              <w:rPr/>
              <w:t>Railway</w:t>
            </w:r>
          </w:p>
        </w:tc>
        <w:tc>
          <w:tcPr>
            <w:tcW w:w="1250" w:type="pct"/>
            <w:shd w:val="clear" w:fill="D9E2F3"/>
            <w:tcMar>
              <w:top w:w="70" w:type="dxa"/>
              <w:left w:w="90" w:type="dxa"/>
              <w:bottom w:w="70" w:type="dxa"/>
              <w:right w:w="90" w:type="dxa"/>
            </w:tcMar>
          </w:tcPr>
          <w:p>
            <w:pPr>
              <w:pStyle w:val="Meta"/>
            </w:pPr>
            <w:r>
              <w:rPr>
                <w:b/>
              </w:rPr>
              <w:t>Dringlichkeit</w:t>
            </w:r>
          </w:p>
        </w:tc>
        <w:tc>
          <w:tcPr>
            <w:tcW w:w="3750" w:type="pct"/>
            <w:shd w:val="clear" w:fill="F2F2F2"/>
            <w:tcMar>
              <w:top w:w="70" w:type="dxa"/>
              <w:left w:w="90" w:type="dxa"/>
              <w:bottom w:w="70" w:type="dxa"/>
              <w:right w:w="90" w:type="dxa"/>
            </w:tcMar>
          </w:tcPr>
          <w:p>
            <w:pPr>
              <w:pStyle w:val="Meta"/>
            </w:pPr>
            <w:r>
              <w:rPr/>
              <w:t>Heute</w:t>
            </w:r>
          </w:p>
        </w:tc>
      </w:tr>
    </w:tbl>
    <w:p>
      <w:pPr>
        <w:pStyle w:val="BodyText"/>
        <w:keepLines/>
      </w:pPr>
      <w:r>
        <w:rPr>
          <w:b/>
          <w:color w:val="365F91"/>
        </w:rPr>
        <w:t>Worum geht es? </w:t>
      </w:r>
      <w:r>
        <w:t xml:space="preserve">Alle deutschen Verkaufszeilen enthalten Kundennummern, aber weder Kundenname noch Kundenland. Dadurch kann das Railway-Segment für Deutschland nicht über die Marktumfrage zugeordnet werden; eine Null im Export wäre irreführend.</w:t>
      </w:r>
    </w:p>
    <w:p>
      <w:pPr>
        <w:pStyle w:val="BodyText"/>
        <w:keepLines/>
      </w:pPr>
      <w:r>
        <w:rPr>
          <w:b/>
          <w:color w:val="365F91"/>
        </w:rPr>
        <w:t>Was ist zu tun / zu entscheiden? </w:t>
      </w:r>
      <w:r>
        <w:t xml:space="preserve">Auf dem Alphaplan-System einen read-only INFORMATION_SCHEMA-Auszug für Adress-, Kunden- und Rechnungsbezug holen. Danach die reale Beziehung von RechnungsAdressenID zum Kundennamen in der eigenen Export-SQL ergänzen; keine Tabellen- oder Feldnamen raten.</w:t>
      </w:r>
    </w:p>
    <w:p>
      <w:pPr>
        <w:pStyle w:val="BodyText"/>
        <w:keepLines/>
      </w:pPr>
      <w:r>
        <w:rPr>
          <w:b/>
          <w:color w:val="365F91"/>
        </w:rPr>
        <w:t>Erledigt, wenn … </w:t>
      </w:r>
      <w:r>
        <w:t xml:space="preserve">TRDE liefert Kundennamen, der Railway-Abgleich erzeugt deutsche Vorschläge und Stichproben verbinden Kundennummer, Name und Umsatz korrekt.</w:t>
      </w:r>
    </w:p>
    <w:p>
      <w:pPr>
        <w:pBdr>
          <w:bottom w:val="single" w:color="B4C6E7" w:sz="6" w:space="6"/>
        </w:pBdr>
        <w:spacing w:after="100"/>
      </w:pPr>
    </w:p>
    <w:p>
      <w:pPr>
        <w:pStyle w:val="Heading2"/>
      </w:pPr>
      <w:r>
        <w:rPr/>
        <w:t xml:space="preserve">PM-08 · Railway Zuordnung prüfen lassen</w:t>
      </w:r>
    </w:p>
    <w:tbl>
      <w:tblPr>
        <w:tblW w:w="5000" w:type="pct"/>
        <w:tblBorders>
          <w:top w:val="single" w:color="D9E2F3" w:sz="4"/>
          <w:left w:val="single" w:color="D9E2F3" w:sz="4"/>
          <w:bottom w:val="single" w:color="D9E2F3" w:sz="4"/>
          <w:right w:val="single" w:color="D9E2F3" w:sz="4"/>
          <w:insideH w:val="single" w:color="E7E6E6" w:sz="3"/>
          <w:insideV w:val="single" w:color="E7E6E6" w:sz="3"/>
        </w:tblBorders>
      </w:tblPr>
      <w:tblGrid>
        <w:gridCol w:w="1250"/>
        <w:gridCol w:w="3750"/>
        <w:gridCol w:w="1250"/>
        <w:gridCol w:w="3750"/>
      </w:tblGrid>
      <w:tr>
        <w:tc>
          <w:tcPr>
            <w:tcW w:w="1250" w:type="pct"/>
            <w:shd w:val="clear" w:fill="D9E2F3"/>
            <w:tcMar>
              <w:top w:w="70" w:type="dxa"/>
              <w:left w:w="90" w:type="dxa"/>
              <w:bottom w:w="70" w:type="dxa"/>
              <w:right w:w="90" w:type="dxa"/>
            </w:tcMar>
          </w:tcPr>
          <w:p>
            <w:pPr>
              <w:pStyle w:val="Meta"/>
            </w:pPr>
            <w:r>
              <w:rPr>
                <w:b/>
              </w:rPr>
              <w:t>Status</w:t>
            </w:r>
          </w:p>
        </w:tc>
        <w:tc>
          <w:tcPr>
            <w:tcW w:w="3750" w:type="pct"/>
            <w:shd w:val="clear" w:fill="FCE5CD"/>
            <w:tcMar>
              <w:top w:w="70" w:type="dxa"/>
              <w:left w:w="90" w:type="dxa"/>
              <w:bottom w:w="70" w:type="dxa"/>
              <w:right w:w="90" w:type="dxa"/>
            </w:tcMar>
          </w:tcPr>
          <w:p>
            <w:pPr>
              <w:pStyle w:val="Meta"/>
            </w:pPr>
            <w:r>
              <w:rPr/>
              <w:t>Offen</w:t>
            </w:r>
          </w:p>
        </w:tc>
        <w:tc>
          <w:tcPr>
            <w:tcW w:w="1250" w:type="pct"/>
            <w:shd w:val="clear" w:fill="D9E2F3"/>
            <w:tcMar>
              <w:top w:w="70" w:type="dxa"/>
              <w:left w:w="90" w:type="dxa"/>
              <w:bottom w:w="70" w:type="dxa"/>
              <w:right w:w="90" w:type="dxa"/>
            </w:tcMar>
          </w:tcPr>
          <w:p>
            <w:pPr>
              <w:pStyle w:val="Meta"/>
            </w:pPr>
            <w:r>
              <w:rPr>
                <w:b/>
              </w:rPr>
              <w:t>Owner</w:t>
            </w:r>
          </w:p>
        </w:tc>
        <w:tc>
          <w:tcPr>
            <w:tcW w:w="3750" w:type="pct"/>
            <w:shd w:val="clear" w:fill="D9EAF7"/>
            <w:tcMar>
              <w:top w:w="70" w:type="dxa"/>
              <w:left w:w="90" w:type="dxa"/>
              <w:bottom w:w="70" w:type="dxa"/>
              <w:right w:w="90" w:type="dxa"/>
            </w:tcMar>
          </w:tcPr>
          <w:p>
            <w:pPr>
              <w:pStyle w:val="Meta"/>
            </w:pPr>
            <w:r>
              <w:rPr/>
              <w:t>Patrik</w:t>
            </w:r>
          </w:p>
        </w:tc>
      </w:tr>
      <w:tr>
        <w:tc>
          <w:tcPr>
            <w:tcW w:w="1250" w:type="pct"/>
            <w:shd w:val="clear" w:fill="D9E2F3"/>
            <w:tcMar>
              <w:top w:w="70" w:type="dxa"/>
              <w:left w:w="90" w:type="dxa"/>
              <w:bottom w:w="70" w:type="dxa"/>
              <w:right w:w="90" w:type="dxa"/>
            </w:tcMar>
          </w:tcPr>
          <w:p>
            <w:pPr>
              <w:pStyle w:val="Meta"/>
            </w:pPr>
            <w:r>
              <w:rPr>
                <w:b/>
              </w:rPr>
              <w:t>Bereich</w:t>
            </w:r>
          </w:p>
        </w:tc>
        <w:tc>
          <w:tcPr>
            <w:tcW w:w="3750" w:type="pct"/>
            <w:shd w:val="clear" w:fill="F2F2F2"/>
            <w:tcMar>
              <w:top w:w="70" w:type="dxa"/>
              <w:left w:w="90" w:type="dxa"/>
              <w:bottom w:w="70" w:type="dxa"/>
              <w:right w:w="90" w:type="dxa"/>
            </w:tcMar>
          </w:tcPr>
          <w:p>
            <w:pPr>
              <w:pStyle w:val="Meta"/>
            </w:pPr>
            <w:r>
              <w:rPr/>
              <w:t>Railway</w:t>
            </w:r>
          </w:p>
        </w:tc>
        <w:tc>
          <w:tcPr>
            <w:tcW w:w="1250" w:type="pct"/>
            <w:shd w:val="clear" w:fill="D9E2F3"/>
            <w:tcMar>
              <w:top w:w="70" w:type="dxa"/>
              <w:left w:w="90" w:type="dxa"/>
              <w:bottom w:w="70" w:type="dxa"/>
              <w:right w:w="90" w:type="dxa"/>
            </w:tcMar>
          </w:tcPr>
          <w:p>
            <w:pPr>
              <w:pStyle w:val="Meta"/>
            </w:pPr>
            <w:r>
              <w:rPr>
                <w:b/>
              </w:rPr>
              <w:t>Dringlichkeit</w:t>
            </w:r>
          </w:p>
        </w:tc>
        <w:tc>
          <w:tcPr>
            <w:tcW w:w="3750" w:type="pct"/>
            <w:shd w:val="clear" w:fill="F2F2F2"/>
            <w:tcMar>
              <w:top w:w="70" w:type="dxa"/>
              <w:left w:w="90" w:type="dxa"/>
              <w:bottom w:w="70" w:type="dxa"/>
              <w:right w:w="90" w:type="dxa"/>
            </w:tcMar>
          </w:tcPr>
          <w:p>
            <w:pPr>
              <w:pStyle w:val="Meta"/>
            </w:pPr>
            <w:r>
              <w:rPr/>
              <w:t>Heute</w:t>
            </w:r>
          </w:p>
        </w:tc>
      </w:tr>
    </w:tbl>
    <w:p>
      <w:pPr>
        <w:pStyle w:val="BodyText"/>
        <w:keepLines/>
      </w:pPr>
      <w:r>
        <w:rPr>
          <w:b/>
          <w:color w:val="365F91"/>
        </w:rPr>
        <w:t>Worum geht es? </w:t>
      </w:r>
      <w:r>
        <w:t xml:space="preserve">Die Anwendung hat 173 Railway-Kundenvorschläge erzeugt, aber noch keiner ist fachlich bestätigt. Unbestätigte Vorschläge fließen bewusst nicht in den Umsatz ein; besonders breit tätige Kunden wie Siemens benötigen Vertriebswissen.</w:t>
      </w:r>
    </w:p>
    <w:p>
      <w:pPr>
        <w:pStyle w:val="BodyText"/>
        <w:keepLines/>
      </w:pPr>
      <w:r>
        <w:rPr>
          <w:b/>
          <w:color w:val="365F91"/>
        </w:rPr>
        <w:t>Was ist zu tun / zu entscheiden? </w:t>
      </w:r>
      <w:r>
        <w:t xml:space="preserve">Patrik prüft zuerst die 30 mengenstärksten Vorschläge, bestätigt oder verwirft sie und entscheidet Zweifelsfälle anhand der tatsächlichen Kundenanwendung. Alternativ pflegt er die Zuordnung direkt selbst.</w:t>
      </w:r>
    </w:p>
    <w:p>
      <w:pPr>
        <w:pStyle w:val="BodyText"/>
        <w:keepLines/>
      </w:pPr>
      <w:r>
        <w:rPr>
          <w:b/>
          <w:color w:val="365F91"/>
        </w:rPr>
        <w:t>Erledigt, wenn … </w:t>
      </w:r>
      <w:r>
        <w:t xml:space="preserve">Die priorisierten Vorschläge sind fachlich bewertet und die bestätigten Kunden erscheinen mit nachvollziehbarem Railway-Umsatz im Ergebnis.</w:t>
      </w:r>
    </w:p>
    <w:p>
      <w:pPr>
        <w:pBdr>
          <w:bottom w:val="single" w:color="B4C6E7" w:sz="6" w:space="6"/>
        </w:pBdr>
        <w:spacing w:after="100"/>
      </w:pPr>
    </w:p>
    <w:p>
      <w:pPr>
        <w:pStyle w:val="Heading2"/>
      </w:pPr>
      <w:r>
        <w:rPr/>
        <w:t xml:space="preserve">PM-08 · Railway Export für Rohail Munir</w:t>
      </w:r>
    </w:p>
    <w:tbl>
      <w:tblPr>
        <w:tblW w:w="5000" w:type="pct"/>
        <w:tblBorders>
          <w:top w:val="single" w:color="D9E2F3" w:sz="4"/>
          <w:left w:val="single" w:color="D9E2F3" w:sz="4"/>
          <w:bottom w:val="single" w:color="D9E2F3" w:sz="4"/>
          <w:right w:val="single" w:color="D9E2F3" w:sz="4"/>
          <w:insideH w:val="single" w:color="E7E6E6" w:sz="3"/>
          <w:insideV w:val="single" w:color="E7E6E6" w:sz="3"/>
        </w:tblBorders>
      </w:tblPr>
      <w:tblGrid>
        <w:gridCol w:w="1250"/>
        <w:gridCol w:w="3750"/>
        <w:gridCol w:w="1250"/>
        <w:gridCol w:w="3750"/>
      </w:tblGrid>
      <w:tr>
        <w:tc>
          <w:tcPr>
            <w:tcW w:w="1250" w:type="pct"/>
            <w:shd w:val="clear" w:fill="D9E2F3"/>
            <w:tcMar>
              <w:top w:w="70" w:type="dxa"/>
              <w:left w:w="90" w:type="dxa"/>
              <w:bottom w:w="70" w:type="dxa"/>
              <w:right w:w="90" w:type="dxa"/>
            </w:tcMar>
          </w:tcPr>
          <w:p>
            <w:pPr>
              <w:pStyle w:val="Meta"/>
            </w:pPr>
            <w:r>
              <w:rPr>
                <w:b/>
              </w:rPr>
              <w:t>Status</w:t>
            </w:r>
          </w:p>
        </w:tc>
        <w:tc>
          <w:tcPr>
            <w:tcW w:w="3750" w:type="pct"/>
            <w:shd w:val="clear" w:fill="FFF2CC"/>
            <w:tcMar>
              <w:top w:w="70" w:type="dxa"/>
              <w:left w:w="90" w:type="dxa"/>
              <w:bottom w:w="70" w:type="dxa"/>
              <w:right w:w="90" w:type="dxa"/>
            </w:tcMar>
          </w:tcPr>
          <w:p>
            <w:pPr>
              <w:pStyle w:val="Meta"/>
            </w:pPr>
            <w:r>
              <w:rPr/>
              <w:t>Wartet auf andere</w:t>
            </w:r>
          </w:p>
        </w:tc>
        <w:tc>
          <w:tcPr>
            <w:tcW w:w="1250" w:type="pct"/>
            <w:shd w:val="clear" w:fill="D9E2F3"/>
            <w:tcMar>
              <w:top w:w="70" w:type="dxa"/>
              <w:left w:w="90" w:type="dxa"/>
              <w:bottom w:w="70" w:type="dxa"/>
              <w:right w:w="90" w:type="dxa"/>
            </w:tcMar>
          </w:tcPr>
          <w:p>
            <w:pPr>
              <w:pStyle w:val="Meta"/>
            </w:pPr>
            <w:r>
              <w:rPr>
                <w:b/>
              </w:rPr>
              <w:t>Owner</w:t>
            </w:r>
          </w:p>
        </w:tc>
        <w:tc>
          <w:tcPr>
            <w:tcW w:w="3750" w:type="pct"/>
            <w:shd w:val="clear" w:fill="D9EAF7"/>
            <w:tcMar>
              <w:top w:w="70" w:type="dxa"/>
              <w:left w:w="90" w:type="dxa"/>
              <w:bottom w:w="70" w:type="dxa"/>
              <w:right w:w="90" w:type="dxa"/>
            </w:tcMar>
          </w:tcPr>
          <w:p>
            <w:pPr>
              <w:pStyle w:val="Meta"/>
            </w:pPr>
            <w:r>
              <w:rPr/>
              <w:t>Ingo</w:t>
            </w:r>
          </w:p>
        </w:tc>
      </w:tr>
      <w:tr>
        <w:tc>
          <w:tcPr>
            <w:tcW w:w="1250" w:type="pct"/>
            <w:shd w:val="clear" w:fill="D9E2F3"/>
            <w:tcMar>
              <w:top w:w="70" w:type="dxa"/>
              <w:left w:w="90" w:type="dxa"/>
              <w:bottom w:w="70" w:type="dxa"/>
              <w:right w:w="90" w:type="dxa"/>
            </w:tcMar>
          </w:tcPr>
          <w:p>
            <w:pPr>
              <w:pStyle w:val="Meta"/>
            </w:pPr>
            <w:r>
              <w:rPr>
                <w:b/>
              </w:rPr>
              <w:t>Bereich</w:t>
            </w:r>
          </w:p>
        </w:tc>
        <w:tc>
          <w:tcPr>
            <w:tcW w:w="3750" w:type="pct"/>
            <w:shd w:val="clear" w:fill="F2F2F2"/>
            <w:tcMar>
              <w:top w:w="70" w:type="dxa"/>
              <w:left w:w="90" w:type="dxa"/>
              <w:bottom w:w="70" w:type="dxa"/>
              <w:right w:w="90" w:type="dxa"/>
            </w:tcMar>
          </w:tcPr>
          <w:p>
            <w:pPr>
              <w:pStyle w:val="Meta"/>
            </w:pPr>
            <w:r>
              <w:rPr/>
              <w:t>Railway</w:t>
            </w:r>
          </w:p>
        </w:tc>
        <w:tc>
          <w:tcPr>
            <w:tcW w:w="1250" w:type="pct"/>
            <w:shd w:val="clear" w:fill="D9E2F3"/>
            <w:tcMar>
              <w:top w:w="70" w:type="dxa"/>
              <w:left w:w="90" w:type="dxa"/>
              <w:bottom w:w="70" w:type="dxa"/>
              <w:right w:w="90" w:type="dxa"/>
            </w:tcMar>
          </w:tcPr>
          <w:p>
            <w:pPr>
              <w:pStyle w:val="Meta"/>
            </w:pPr>
            <w:r>
              <w:rPr>
                <w:b/>
              </w:rPr>
              <w:t>Dringlichkeit</w:t>
            </w:r>
          </w:p>
        </w:tc>
        <w:tc>
          <w:tcPr>
            <w:tcW w:w="3750" w:type="pct"/>
            <w:shd w:val="clear" w:fill="F2F2F2"/>
            <w:tcMar>
              <w:top w:w="70" w:type="dxa"/>
              <w:left w:w="90" w:type="dxa"/>
              <w:bottom w:w="70" w:type="dxa"/>
              <w:right w:w="90" w:type="dxa"/>
            </w:tcMar>
          </w:tcPr>
          <w:p>
            <w:pPr>
              <w:pStyle w:val="Meta"/>
            </w:pPr>
            <w:r>
              <w:rPr/>
              <w:t>Nur terminieren</w:t>
            </w:r>
          </w:p>
        </w:tc>
      </w:tr>
    </w:tbl>
    <w:p>
      <w:pPr>
        <w:pStyle w:val="BodyText"/>
        <w:keepLines/>
      </w:pPr>
      <w:r>
        <w:rPr>
          <w:b/>
          <w:color w:val="365F91"/>
        </w:rPr>
        <w:t>Worum geht es? </w:t>
      </w:r>
      <w:r>
        <w:t xml:space="preserve">Rohail Munir benötigt den Railway-Export bis 08.09.2026. Das Exportwerkzeug ist produktiv, aber ohne bestätigte Kundenzuordnungen bleibt das Ergebnis leer; Deutschland ist zusätzlich wegen fehlender Kundennamen blockiert.</w:t>
      </w:r>
    </w:p>
    <w:p>
      <w:pPr>
        <w:pStyle w:val="BodyText"/>
        <w:keepLines/>
      </w:pPr>
      <w:r>
        <w:rPr>
          <w:b/>
          <w:color w:val="365F91"/>
        </w:rPr>
        <w:t>Was ist zu tun / zu entscheiden? </w:t>
      </w:r>
      <w:r>
        <w:t xml:space="preserve">Nach Patriks Bestätigung den Excel-Export erzeugen und die Summen je Land prüfen. Falls Deutschland bis zum Termin nicht lösbar ist, die Lücke sichtbar im Export und in der Übergabe benennen statt still null Umsatz auszuweisen.</w:t>
      </w:r>
    </w:p>
    <w:p>
      <w:pPr>
        <w:pStyle w:val="BodyText"/>
        <w:keepLines/>
      </w:pPr>
      <w:r>
        <w:rPr>
          <w:b/>
          <w:color w:val="365F91"/>
        </w:rPr>
        <w:t>Erledigt, wenn … </w:t>
      </w:r>
      <w:r>
        <w:t xml:space="preserve">Rohail erhält bis zum Termin eine geprüfte Datei mit bestätigten Zuordnungen und einem transparenten Hinweis zu jeder verbleibenden Datenlücke, insbesondere Deutschland.</w:t>
      </w:r>
    </w:p>
    <w:p>
      <w:pPr>
        <w:pBdr>
          <w:bottom w:val="single" w:color="B4C6E7" w:sz="6" w:space="6"/>
        </w:pBdr>
        <w:spacing w:after="100"/>
      </w:pPr>
    </w:p>
    <w:p>
      <w:pPr>
        <w:pStyle w:val="Heading1"/>
        <w:pageBreakBefore/>
      </w:pPr>
      <w:r>
        <w:rPr/>
        <w:t xml:space="preserve">Marktsegmente</w:t>
      </w:r>
    </w:p>
    <w:p>
      <w:pPr>
        <w:pStyle w:val="Heading2"/>
      </w:pPr>
      <w:r>
        <w:rPr/>
        <w:t xml:space="preserve">Nr. 17 · Sichtprüfläufe produktiv nachholen</w:t>
      </w:r>
    </w:p>
    <w:tbl>
      <w:tblPr>
        <w:tblW w:w="5000" w:type="pct"/>
        <w:tblBorders>
          <w:top w:val="single" w:color="D9E2F3" w:sz="4"/>
          <w:left w:val="single" w:color="D9E2F3" w:sz="4"/>
          <w:bottom w:val="single" w:color="D9E2F3" w:sz="4"/>
          <w:right w:val="single" w:color="D9E2F3" w:sz="4"/>
          <w:insideH w:val="single" w:color="E7E6E6" w:sz="3"/>
          <w:insideV w:val="single" w:color="E7E6E6" w:sz="3"/>
        </w:tblBorders>
      </w:tblPr>
      <w:tblGrid>
        <w:gridCol w:w="1250"/>
        <w:gridCol w:w="3750"/>
        <w:gridCol w:w="1250"/>
        <w:gridCol w:w="3750"/>
      </w:tblGrid>
      <w:tr>
        <w:tc>
          <w:tcPr>
            <w:tcW w:w="1250" w:type="pct"/>
            <w:shd w:val="clear" w:fill="D9E2F3"/>
            <w:tcMar>
              <w:top w:w="70" w:type="dxa"/>
              <w:left w:w="90" w:type="dxa"/>
              <w:bottom w:w="70" w:type="dxa"/>
              <w:right w:w="90" w:type="dxa"/>
            </w:tcMar>
          </w:tcPr>
          <w:p>
            <w:pPr>
              <w:pStyle w:val="Meta"/>
            </w:pPr>
            <w:r>
              <w:rPr>
                <w:b/>
              </w:rPr>
              <w:t>Status</w:t>
            </w:r>
          </w:p>
        </w:tc>
        <w:tc>
          <w:tcPr>
            <w:tcW w:w="3750" w:type="pct"/>
            <w:shd w:val="clear" w:fill="FCE5CD"/>
            <w:tcMar>
              <w:top w:w="70" w:type="dxa"/>
              <w:left w:w="90" w:type="dxa"/>
              <w:bottom w:w="70" w:type="dxa"/>
              <w:right w:w="90" w:type="dxa"/>
            </w:tcMar>
          </w:tcPr>
          <w:p>
            <w:pPr>
              <w:pStyle w:val="Meta"/>
            </w:pPr>
            <w:r>
              <w:rPr/>
              <w:t>Offen</w:t>
            </w:r>
          </w:p>
        </w:tc>
        <w:tc>
          <w:tcPr>
            <w:tcW w:w="1250" w:type="pct"/>
            <w:shd w:val="clear" w:fill="D9E2F3"/>
            <w:tcMar>
              <w:top w:w="70" w:type="dxa"/>
              <w:left w:w="90" w:type="dxa"/>
              <w:bottom w:w="70" w:type="dxa"/>
              <w:right w:w="90" w:type="dxa"/>
            </w:tcMar>
          </w:tcPr>
          <w:p>
            <w:pPr>
              <w:pStyle w:val="Meta"/>
            </w:pPr>
            <w:r>
              <w:rPr>
                <w:b/>
              </w:rPr>
              <w:t>Owner</w:t>
            </w:r>
          </w:p>
        </w:tc>
        <w:tc>
          <w:tcPr>
            <w:tcW w:w="3750" w:type="pct"/>
            <w:shd w:val="clear" w:fill="D9EAF7"/>
            <w:tcMar>
              <w:top w:w="70" w:type="dxa"/>
              <w:left w:w="90" w:type="dxa"/>
              <w:bottom w:w="70" w:type="dxa"/>
              <w:right w:w="90" w:type="dxa"/>
            </w:tcMar>
          </w:tcPr>
          <w:p>
            <w:pPr>
              <w:pStyle w:val="Meta"/>
            </w:pPr>
            <w:r>
              <w:rPr/>
              <w:t>Ingo</w:t>
            </w:r>
          </w:p>
        </w:tc>
      </w:tr>
      <w:tr>
        <w:tc>
          <w:tcPr>
            <w:tcW w:w="1250" w:type="pct"/>
            <w:shd w:val="clear" w:fill="D9E2F3"/>
            <w:tcMar>
              <w:top w:w="70" w:type="dxa"/>
              <w:left w:w="90" w:type="dxa"/>
              <w:bottom w:w="70" w:type="dxa"/>
              <w:right w:w="90" w:type="dxa"/>
            </w:tcMar>
          </w:tcPr>
          <w:p>
            <w:pPr>
              <w:pStyle w:val="Meta"/>
            </w:pPr>
            <w:r>
              <w:rPr>
                <w:b/>
              </w:rPr>
              <w:t>Bereich</w:t>
            </w:r>
          </w:p>
        </w:tc>
        <w:tc>
          <w:tcPr>
            <w:tcW w:w="3750" w:type="pct"/>
            <w:shd w:val="clear" w:fill="F2F2F2"/>
            <w:tcMar>
              <w:top w:w="70" w:type="dxa"/>
              <w:left w:w="90" w:type="dxa"/>
              <w:bottom w:w="70" w:type="dxa"/>
              <w:right w:w="90" w:type="dxa"/>
            </w:tcMar>
          </w:tcPr>
          <w:p>
            <w:pPr>
              <w:pStyle w:val="Meta"/>
            </w:pPr>
            <w:r>
              <w:rPr/>
              <w:t>Marktsegmente</w:t>
            </w:r>
          </w:p>
        </w:tc>
        <w:tc>
          <w:tcPr>
            <w:tcW w:w="1250" w:type="pct"/>
            <w:shd w:val="clear" w:fill="D9E2F3"/>
            <w:tcMar>
              <w:top w:w="70" w:type="dxa"/>
              <w:left w:w="90" w:type="dxa"/>
              <w:bottom w:w="70" w:type="dxa"/>
              <w:right w:w="90" w:type="dxa"/>
            </w:tcMar>
          </w:tcPr>
          <w:p>
            <w:pPr>
              <w:pStyle w:val="Meta"/>
            </w:pPr>
            <w:r>
              <w:rPr>
                <w:b/>
              </w:rPr>
              <w:t>Dringlichkeit</w:t>
            </w:r>
          </w:p>
        </w:tc>
        <w:tc>
          <w:tcPr>
            <w:tcW w:w="3750" w:type="pct"/>
            <w:shd w:val="clear" w:fill="F2F2F2"/>
            <w:tcMar>
              <w:top w:w="70" w:type="dxa"/>
              <w:left w:w="90" w:type="dxa"/>
              <w:bottom w:w="70" w:type="dxa"/>
              <w:right w:w="90" w:type="dxa"/>
            </w:tcMar>
          </w:tcPr>
          <w:p>
            <w:pPr>
              <w:pStyle w:val="Meta"/>
            </w:pPr>
            <w:r>
              <w:rPr/>
              <w:t>Umsetzung</w:t>
            </w:r>
          </w:p>
        </w:tc>
      </w:tr>
    </w:tbl>
    <w:p>
      <w:pPr>
        <w:pStyle w:val="BodyText"/>
        <w:keepLines/>
      </w:pPr>
      <w:r>
        <w:rPr>
          <w:b/>
          <w:color w:val="365F91"/>
        </w:rPr>
        <w:t>Worum geht es? </w:t>
      </w:r>
      <w:r>
        <w:t xml:space="preserve">Drei bereits produktiv ausgelieferte Marktsegment-Funktionen wurden technisch geprüft, aber noch nicht von einem Anwender im Browser abgenommen: Segmentanzeige, Marktumfrage und Jahresfilter.</w:t>
      </w:r>
    </w:p>
    <w:p>
      <w:pPr>
        <w:pStyle w:val="BodyText"/>
        <w:keepLines/>
      </w:pPr>
      <w:r>
        <w:rPr>
          <w:b/>
          <w:color w:val="365F91"/>
        </w:rPr>
        <w:t>Was ist zu tun / zu entscheiden? </w:t>
      </w:r>
      <w:r>
        <w:t xml:space="preserve">Die drei Funktionen im produktiven System mit realistischen Filtern öffnen, Werte und Navigation plausibilisieren und auffällige Abweichungen mit Screenshot beziehungsweise konkretem Datensatz notieren.</w:t>
      </w:r>
    </w:p>
    <w:p>
      <w:pPr>
        <w:pStyle w:val="BodyText"/>
        <w:keepLines/>
      </w:pPr>
      <w:r>
        <w:rPr>
          <w:b/>
          <w:color w:val="365F91"/>
        </w:rPr>
        <w:t>Erledigt, wenn … </w:t>
      </w:r>
      <w:r>
        <w:t xml:space="preserve">Alle drei Sichtprüfläufe sind dokumentiert bestanden oder gefundene Fehler wurden als eigene Punkte mit Reproduktionsschritten erfasst.</w:t>
      </w:r>
    </w:p>
    <w:p>
      <w:pPr>
        <w:pBdr>
          <w:bottom w:val="single" w:color="B4C6E7" w:sz="6" w:space="6"/>
        </w:pBdr>
        <w:spacing w:after="100"/>
      </w:pPr>
    </w:p>
    <w:p>
      <w:pPr>
        <w:pStyle w:val="Heading1"/>
        <w:pageBreakBefore/>
      </w:pPr>
      <w:r>
        <w:rPr/>
        <w:t xml:space="preserve">HR</w:t>
      </w:r>
    </w:p>
    <w:p>
      <w:pPr>
        <w:pStyle w:val="Heading2"/>
      </w:pPr>
      <w:r>
        <w:rPr/>
        <w:t xml:space="preserve">PM-07 · REXX automatische Auswertung</w:t>
      </w:r>
    </w:p>
    <w:tbl>
      <w:tblPr>
        <w:tblW w:w="5000" w:type="pct"/>
        <w:tblBorders>
          <w:top w:val="single" w:color="D9E2F3" w:sz="4"/>
          <w:left w:val="single" w:color="D9E2F3" w:sz="4"/>
          <w:bottom w:val="single" w:color="D9E2F3" w:sz="4"/>
          <w:right w:val="single" w:color="D9E2F3" w:sz="4"/>
          <w:insideH w:val="single" w:color="E7E6E6" w:sz="3"/>
          <w:insideV w:val="single" w:color="E7E6E6" w:sz="3"/>
        </w:tblBorders>
      </w:tblPr>
      <w:tblGrid>
        <w:gridCol w:w="1250"/>
        <w:gridCol w:w="3750"/>
        <w:gridCol w:w="1250"/>
        <w:gridCol w:w="3750"/>
      </w:tblGrid>
      <w:tr>
        <w:tc>
          <w:tcPr>
            <w:tcW w:w="1250" w:type="pct"/>
            <w:shd w:val="clear" w:fill="D9E2F3"/>
            <w:tcMar>
              <w:top w:w="70" w:type="dxa"/>
              <w:left w:w="90" w:type="dxa"/>
              <w:bottom w:w="70" w:type="dxa"/>
              <w:right w:w="90" w:type="dxa"/>
            </w:tcMar>
          </w:tcPr>
          <w:p>
            <w:pPr>
              <w:pStyle w:val="Meta"/>
            </w:pPr>
            <w:r>
              <w:rPr>
                <w:b/>
              </w:rPr>
              <w:t>Status</w:t>
            </w:r>
          </w:p>
        </w:tc>
        <w:tc>
          <w:tcPr>
            <w:tcW w:w="3750" w:type="pct"/>
            <w:shd w:val="clear" w:fill="FFF2CC"/>
            <w:tcMar>
              <w:top w:w="70" w:type="dxa"/>
              <w:left w:w="90" w:type="dxa"/>
              <w:bottom w:w="70" w:type="dxa"/>
              <w:right w:w="90" w:type="dxa"/>
            </w:tcMar>
          </w:tcPr>
          <w:p>
            <w:pPr>
              <w:pStyle w:val="Meta"/>
            </w:pPr>
            <w:r>
              <w:rPr/>
              <w:t>Wartet auf externe Firma</w:t>
            </w:r>
          </w:p>
        </w:tc>
        <w:tc>
          <w:tcPr>
            <w:tcW w:w="1250" w:type="pct"/>
            <w:shd w:val="clear" w:fill="D9E2F3"/>
            <w:tcMar>
              <w:top w:w="70" w:type="dxa"/>
              <w:left w:w="90" w:type="dxa"/>
              <w:bottom w:w="70" w:type="dxa"/>
              <w:right w:w="90" w:type="dxa"/>
            </w:tcMar>
          </w:tcPr>
          <w:p>
            <w:pPr>
              <w:pStyle w:val="Meta"/>
            </w:pPr>
            <w:r>
              <w:rPr>
                <w:b/>
              </w:rPr>
              <w:t>Owner</w:t>
            </w:r>
          </w:p>
        </w:tc>
        <w:tc>
          <w:tcPr>
            <w:tcW w:w="3750" w:type="pct"/>
            <w:shd w:val="clear" w:fill="D9EAF7"/>
            <w:tcMar>
              <w:top w:w="70" w:type="dxa"/>
              <w:left w:w="90" w:type="dxa"/>
              <w:bottom w:w="70" w:type="dxa"/>
              <w:right w:w="90" w:type="dxa"/>
            </w:tcMar>
          </w:tcPr>
          <w:p>
            <w:pPr>
              <w:pStyle w:val="Meta"/>
            </w:pPr>
            <w:r>
              <w:rPr/>
              <w:t>Ingo</w:t>
            </w:r>
          </w:p>
        </w:tc>
      </w:tr>
      <w:tr>
        <w:tc>
          <w:tcPr>
            <w:tcW w:w="1250" w:type="pct"/>
            <w:shd w:val="clear" w:fill="D9E2F3"/>
            <w:tcMar>
              <w:top w:w="70" w:type="dxa"/>
              <w:left w:w="90" w:type="dxa"/>
              <w:bottom w:w="70" w:type="dxa"/>
              <w:right w:w="90" w:type="dxa"/>
            </w:tcMar>
          </w:tcPr>
          <w:p>
            <w:pPr>
              <w:pStyle w:val="Meta"/>
            </w:pPr>
            <w:r>
              <w:rPr>
                <w:b/>
              </w:rPr>
              <w:t>Bereich</w:t>
            </w:r>
          </w:p>
        </w:tc>
        <w:tc>
          <w:tcPr>
            <w:tcW w:w="3750" w:type="pct"/>
            <w:shd w:val="clear" w:fill="F2F2F2"/>
            <w:tcMar>
              <w:top w:w="70" w:type="dxa"/>
              <w:left w:w="90" w:type="dxa"/>
              <w:bottom w:w="70" w:type="dxa"/>
              <w:right w:w="90" w:type="dxa"/>
            </w:tcMar>
          </w:tcPr>
          <w:p>
            <w:pPr>
              <w:pStyle w:val="Meta"/>
            </w:pPr>
            <w:r>
              <w:rPr/>
              <w:t>HR</w:t>
            </w:r>
          </w:p>
        </w:tc>
        <w:tc>
          <w:tcPr>
            <w:tcW w:w="1250" w:type="pct"/>
            <w:shd w:val="clear" w:fill="D9E2F3"/>
            <w:tcMar>
              <w:top w:w="70" w:type="dxa"/>
              <w:left w:w="90" w:type="dxa"/>
              <w:bottom w:w="70" w:type="dxa"/>
              <w:right w:w="90" w:type="dxa"/>
            </w:tcMar>
          </w:tcPr>
          <w:p>
            <w:pPr>
              <w:pStyle w:val="Meta"/>
            </w:pPr>
            <w:r>
              <w:rPr>
                <w:b/>
              </w:rPr>
              <w:t>Dringlichkeit</w:t>
            </w:r>
          </w:p>
        </w:tc>
        <w:tc>
          <w:tcPr>
            <w:tcW w:w="3750" w:type="pct"/>
            <w:shd w:val="clear" w:fill="F2F2F2"/>
            <w:tcMar>
              <w:top w:w="70" w:type="dxa"/>
              <w:left w:w="90" w:type="dxa"/>
              <w:bottom w:w="70" w:type="dxa"/>
              <w:right w:w="90" w:type="dxa"/>
            </w:tcMar>
          </w:tcPr>
          <w:p>
            <w:pPr>
              <w:pStyle w:val="Meta"/>
            </w:pPr>
            <w:r>
              <w:rPr/>
              <w:t>Nur terminieren</w:t>
            </w:r>
          </w:p>
        </w:tc>
      </w:tr>
    </w:tbl>
    <w:p>
      <w:pPr>
        <w:pStyle w:val="BodyText"/>
        <w:keepLines/>
      </w:pPr>
      <w:r>
        <w:rPr>
          <w:b/>
          <w:color w:val="365F91"/>
        </w:rPr>
        <w:t>Worum geht es? </w:t>
      </w:r>
      <w:r>
        <w:t xml:space="preserve">Das HR-Cockpit verarbeitet bisher einen einmaligen manuellen REXX-Datenstand. Eine externe Firma baut einen periodischen Exporter; ohne dessen Ablagepfad, Format und Frequenz kann die automatische Auswertung nicht belastbar angebunden werden.</w:t>
      </w:r>
    </w:p>
    <w:p>
      <w:pPr>
        <w:pStyle w:val="BodyText"/>
        <w:keepLines/>
      </w:pPr>
      <w:r>
        <w:rPr>
          <w:b/>
          <w:color w:val="365F91"/>
        </w:rPr>
        <w:t>Was ist zu tun / zu entscheiden? </w:t>
      </w:r>
      <w:r>
        <w:t xml:space="preserve">Fertigstellung des externen Exporters abwarten und danach Schnittstelle, Dateinamensschema, Format, Aktualisierungsrhythmus, Datenschutz/Berechtigungen und Fehlerverhalten dokumentieren. Anschließend Import und Aktualisierung planen.</w:t>
      </w:r>
    </w:p>
    <w:p>
      <w:pPr>
        <w:pStyle w:val="BodyText"/>
        <w:keepLines/>
      </w:pPr>
      <w:r>
        <w:rPr>
          <w:b/>
          <w:color w:val="365F91"/>
        </w:rPr>
        <w:t>Erledigt, wenn … </w:t>
      </w:r>
      <w:r>
        <w:t xml:space="preserve">Ein stabiler Testexport samt Schnittstellenbeschreibung liegt vor und das HR-Cockpit verarbeitet einen neuen Lauf automatisch mit plausibler Aktualisierungs- und Fehleranzeige.</w:t>
      </w:r>
    </w:p>
    <w:p>
      <w:pPr>
        <w:pBdr>
          <w:bottom w:val="single" w:color="B4C6E7" w:sz="6" w:space="6"/>
        </w:pBdr>
        <w:spacing w:after="100"/>
      </w:pPr>
    </w:p>
    <w:sectPr>
      <w:headerReference xmlns:r="http://schemas.openxmlformats.org/officeDocument/2006/relationships" w:type="default" r:id="R48112dc04ef74b48"/>
      <w:footerReference xmlns:r="http://schemas.openxmlformats.org/officeDocument/2006/relationships" w:type="default" r:id="Ra9dafa2f514541d7"/>
      <w:pgSz w:w="11906" w:h="16838"/>
      <w:pgMar w:top="900" w:right="900" w:bottom="900" w:left="900" w:header="400" w:footer="400"/>
    </w:sectPr>
  </w:body>
</w:document>
</file>

<file path=word/footer1.xml><?xml version="1.0" encoding="utf-8"?>
<w:ftr xmlns:w="http://schemas.openxmlformats.org/wordprocessingml/2006/main">
  <w:p>
    <w:pPr>
      <w:pStyle w:val="Meta"/>
      <w:jc w:val="right"/>
    </w:pPr>
    <w:r>
      <w:t>Seite </w:t>
    </w:r>
    <w:r>
      <w:fldChar w:fldCharType="begin"/>
    </w:r>
    <w:r>
      <w:instrText> PAGE </w:instrText>
    </w:r>
    <w:r>
      <w:fldChar w:fldCharType="end"/>
    </w:r>
  </w:p>
</w:ftr>
</file>

<file path=word/header1.xml><?xml version="1.0" encoding="utf-8"?>
<w:hdr xmlns:w="http://schemas.openxmlformats.org/wordprocessingml/2006/main">
  <w:p>
    <w:pPr>
      <w:pStyle w:val="Meta"/>
    </w:pPr>
    <w:r>
      <w:rPr>
        <w:color w:val="6F7782"/>
        <w:sz w:val="17"/>
      </w:rPr>
      <w:t xml:space="preserve">Projektmanagement · Offene Wochen-Todos</w:t>
    </w:r>
  </w:p>
</w:hdr>
</file>

<file path=word/numbering.xml><?xml version="1.0" encoding="utf-8"?>
<w:numbering xmlns:w="http://schemas.openxmlformats.org/wordprocessingml/2006/main">
  <w:abstractNum w:abstractNumId="1">
    <w:lvl w:ilvl="0">
      <w:numFmt w:val="bullet"/>
      <w:lvlText w:val="•"/>
      <w:lvlJc w:val="left"/>
      <w:pPr>
        <w:ind w:left="540" w:hanging="260"/>
      </w:pPr>
      <w:rPr>
        <w:rFonts w:ascii="Aptos" w:hAnsi="Aptos"/>
      </w:rPr>
    </w:lvl>
  </w:abstractNum>
  <w:num w:numId="1">
    <w:abstractNumId w:val="1"/>
  </w:num>
</w:numbering>
</file>

<file path=word/styles.xml><?xml version="1.0" encoding="utf-8"?>
<w:styles xmlns:w="http://schemas.openxmlformats.org/wordprocessingml/2006/main">
  <w:docDefaults>
    <w:rPrDefault>
      <w:rPr>
        <w:rFonts w:ascii="Aptos" w:hAnsi="Aptos" w:eastAsia="Aptos"/>
        <w:sz w:val="21"/>
        <w:lang w:val="de-CH"/>
      </w:rPr>
    </w:rPrDefault>
    <w:pPrDefault>
      <w:pPr>
        <w:spacing w:after="120" w:line="276" w:lineRule="auto"/>
      </w:pPr>
    </w:pPrDefault>
  </w:docDefaults>
  <w:style w:type="paragraph" w:styleId="Normal" w:customStyle="true">
    <w:name w:val="Normal"/>
    <w:basedOn w:val="Normal"/>
    <w:next w:val="Normal"/>
    <w:pPr>
      <w:spacing w:before="0" w:after="120" w:line="276" w:lineRule="auto"/>
    </w:pPr>
    <w:rPr>
      <w:rFonts w:ascii="Aptos" w:hAnsi="Aptos" w:eastAsia="Aptos"/>
      <w:color w:val="202020"/>
      <w:sz w:val="21"/>
    </w:rPr>
  </w:style>
  <w:style w:type="paragraph" w:styleId="Title" w:customStyle="true">
    <w:name w:val="Titel"/>
    <w:basedOn w:val="Normal"/>
    <w:next w:val="Normal"/>
    <w:pPr>
      <w:spacing w:before="0" w:after="90" w:line="276" w:lineRule="auto"/>
    </w:pPr>
    <w:rPr>
      <w:rFonts w:ascii="Aptos" w:hAnsi="Aptos" w:eastAsia="Aptos"/>
      <w:b/>
      <w:color w:val="17365D"/>
      <w:sz w:val="38"/>
    </w:rPr>
  </w:style>
  <w:style w:type="paragraph" w:styleId="Subtitle" w:customStyle="true">
    <w:name w:val="Untertitel"/>
    <w:basedOn w:val="Normal"/>
    <w:next w:val="Normal"/>
    <w:pPr>
      <w:spacing w:before="0" w:after="260" w:line="276" w:lineRule="auto"/>
    </w:pPr>
    <w:rPr>
      <w:rFonts w:ascii="Aptos" w:hAnsi="Aptos" w:eastAsia="Aptos"/>
      <w:i/>
      <w:color w:val="5B6573"/>
      <w:sz w:val="22"/>
    </w:rPr>
  </w:style>
  <w:style w:type="paragraph" w:styleId="Intro" w:customStyle="true">
    <w:name w:val="Einleitung"/>
    <w:basedOn w:val="Normal"/>
    <w:next w:val="Normal"/>
    <w:pPr>
      <w:spacing w:before="0" w:after="220" w:line="276" w:lineRule="auto"/>
    </w:pPr>
    <w:rPr>
      <w:rFonts w:ascii="Aptos" w:hAnsi="Aptos" w:eastAsia="Aptos"/>
      <w:color w:val="303030"/>
      <w:sz w:val="22"/>
    </w:rPr>
  </w:style>
  <w:style w:type="paragraph" w:styleId="Heading1" w:customStyle="true">
    <w:name w:val="Überschrift 1"/>
    <w:basedOn w:val="Normal"/>
    <w:next w:val="Normal"/>
    <w:pPr>
      <w:keepNext/>
      <w:spacing w:before="260" w:after="140" w:line="276" w:lineRule="auto"/>
    </w:pPr>
    <w:rPr>
      <w:rFonts w:ascii="Aptos" w:hAnsi="Aptos" w:eastAsia="Aptos"/>
      <w:b/>
      <w:color w:val="17365D"/>
      <w:sz w:val="30"/>
    </w:rPr>
  </w:style>
  <w:style w:type="paragraph" w:styleId="Heading2" w:customStyle="true">
    <w:name w:val="Überschrift 2"/>
    <w:basedOn w:val="Normal"/>
    <w:next w:val="Normal"/>
    <w:pPr>
      <w:keepNext/>
      <w:spacing w:before="220" w:after="90" w:line="276" w:lineRule="auto"/>
    </w:pPr>
    <w:rPr>
      <w:rFonts w:ascii="Aptos" w:hAnsi="Aptos" w:eastAsia="Aptos"/>
      <w:b/>
      <w:color w:val="365F91"/>
      <w:sz w:val="24"/>
    </w:rPr>
  </w:style>
  <w:style w:type="paragraph" w:styleId="Meta" w:customStyle="true">
    <w:name w:val="Metadaten"/>
    <w:basedOn w:val="Normal"/>
    <w:next w:val="Normal"/>
    <w:pPr>
      <w:spacing w:before="0" w:after="0" w:line="276" w:lineRule="auto"/>
    </w:pPr>
    <w:rPr>
      <w:rFonts w:ascii="Aptos" w:hAnsi="Aptos" w:eastAsia="Aptos"/>
      <w:color w:val="303030"/>
      <w:sz w:val="18"/>
    </w:rPr>
  </w:style>
  <w:style w:type="paragraph" w:styleId="BodyText" w:customStyle="true">
    <w:name w:val="Textkörper"/>
    <w:basedOn w:val="Normal"/>
    <w:next w:val="Normal"/>
    <w:pPr>
      <w:spacing w:before="0" w:after="120" w:line="276" w:lineRule="auto"/>
    </w:pPr>
    <w:rPr>
      <w:rFonts w:ascii="Aptos" w:hAnsi="Aptos" w:eastAsia="Aptos"/>
      <w:color w:val="202020"/>
      <w:sz w:val="21"/>
    </w:rPr>
  </w:style>
</w:styles>
</file>

<file path=word/_rels/document.xml.rels>&#65279;<?xml version="1.0" encoding="utf-8"?><Relationships xmlns="http://schemas.openxmlformats.org/package/2006/relationships"><Relationship Type="http://schemas.openxmlformats.org/officeDocument/2006/relationships/styles" Target="/word/styles.xml" Id="Rbc7d8589a7924f97" /><Relationship Type="http://schemas.openxmlformats.org/officeDocument/2006/relationships/numbering" Target="/word/numbering.xml" Id="R0cb8d62ec55648c1" /><Relationship Type="http://schemas.openxmlformats.org/officeDocument/2006/relationships/header" Target="/word/header1.xml" Id="R48112dc04ef74b48" /><Relationship Type="http://schemas.openxmlformats.org/officeDocument/2006/relationships/footer" Target="/word/footer1.xml" Id="Ra9dafa2f514541d7" /></Relationships>
</file>