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D800" w14:textId="1BCEFA0E" w:rsidR="00476F5B" w:rsidRDefault="00684118">
      <w:r>
        <w:rPr>
          <w:noProof/>
        </w:rPr>
        <w:drawing>
          <wp:inline distT="0" distB="0" distL="0" distR="0" wp14:anchorId="6E5B999D" wp14:editId="7C22407D">
            <wp:extent cx="1397000" cy="677545"/>
            <wp:effectExtent l="0" t="0" r="0" b="8255"/>
            <wp:docPr id="14300191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19183" name=""/>
                    <pic:cNvPicPr/>
                  </pic:nvPicPr>
                  <pic:blipFill>
                    <a:blip r:embed="rId5">
                      <a:extLst>
                        <a:ext uri="{28A0092B-C50C-407E-A947-70E740481C1C}">
                          <a14:useLocalDpi xmlns:a14="http://schemas.microsoft.com/office/drawing/2010/main" val="0"/>
                        </a:ext>
                      </a:extLst>
                    </a:blip>
                    <a:stretch>
                      <a:fillRect/>
                    </a:stretch>
                  </pic:blipFill>
                  <pic:spPr>
                    <a:xfrm>
                      <a:off x="0" y="0"/>
                      <a:ext cx="1397000" cy="677545"/>
                    </a:xfrm>
                    <a:prstGeom prst="rect">
                      <a:avLst/>
                    </a:prstGeom>
                  </pic:spPr>
                </pic:pic>
              </a:graphicData>
            </a:graphic>
          </wp:inline>
        </w:drawing>
      </w:r>
    </w:p>
    <w:p w14:paraId="2B580A5F" w14:textId="6B929E33" w:rsidR="00684118" w:rsidRDefault="00684118" w:rsidP="00684118">
      <w:pPr>
        <w:spacing w:after="120"/>
        <w:rPr>
          <w:b/>
          <w:color w:val="1E1E1E"/>
          <w:sz w:val="38"/>
        </w:rPr>
      </w:pPr>
      <w:r>
        <w:rPr>
          <w:b/>
          <w:color w:val="1E1E1E"/>
          <w:sz w:val="38"/>
        </w:rPr>
        <w:t>Rüstzeit vs. Bearbeitungszeit in der SAP-Kalkulation</w:t>
      </w:r>
    </w:p>
    <w:p w14:paraId="154961C6" w14:textId="3B38AE8A" w:rsidR="00684118" w:rsidRDefault="00684118" w:rsidP="00684118">
      <w:pPr>
        <w:spacing w:after="120"/>
        <w:rPr>
          <w:i/>
          <w:color w:val="6E6E6E"/>
        </w:rPr>
      </w:pPr>
      <w:r>
        <w:rPr>
          <w:i/>
          <w:color w:val="6E6E6E"/>
        </w:rPr>
        <w:t>Lösungsvorschlag für Andreas – 30. Juli 2026</w:t>
      </w:r>
    </w:p>
    <w:p w14:paraId="18E83C13" w14:textId="77777777" w:rsidR="00684118" w:rsidRDefault="00684118" w:rsidP="00684118">
      <w:pPr>
        <w:spacing w:after="120"/>
        <w:rPr>
          <w:color w:val="1E1E1E"/>
        </w:rPr>
      </w:pPr>
    </w:p>
    <w:p w14:paraId="05856EE8" w14:textId="6AFC60A4" w:rsidR="00684118" w:rsidRDefault="00684118" w:rsidP="00684118">
      <w:pPr>
        <w:spacing w:after="120"/>
        <w:rPr>
          <w:color w:val="1E1E1E"/>
        </w:rPr>
      </w:pPr>
      <w:r>
        <w:rPr>
          <w:color w:val="1E1E1E"/>
        </w:rPr>
        <w:t>Hallo Andreas,</w:t>
      </w:r>
    </w:p>
    <w:p w14:paraId="7EAA9166" w14:textId="38290858" w:rsidR="00684118" w:rsidRDefault="00684118" w:rsidP="00684118">
      <w:pPr>
        <w:spacing w:after="120"/>
        <w:rPr>
          <w:color w:val="1E1E1E"/>
        </w:rPr>
      </w:pPr>
      <w:r>
        <w:rPr>
          <w:color w:val="1E1E1E"/>
        </w:rPr>
        <w:t>zu deiner Frage aus dem Meeting: Wie unterscheidet SAP eigentlich Rüstzeit von Bearbeitungszeit in der Kalkulation? Da Adil gerade im Urlaub ist, habe ich das für dich analysiert – auf Basis von allgemeinem SAP-Wissen, noch nicht live in unserem System nachvollzogen.</w:t>
      </w:r>
    </w:p>
    <w:p w14:paraId="2A78767F" w14:textId="6A66AB25" w:rsidR="00684118" w:rsidRDefault="00684118" w:rsidP="00684118">
      <w:pPr>
        <w:spacing w:before="180" w:after="120"/>
        <w:rPr>
          <w:b/>
          <w:color w:val="C55A11"/>
          <w:sz w:val="26"/>
        </w:rPr>
      </w:pPr>
      <w:r>
        <w:rPr>
          <w:b/>
          <w:color w:val="C55A11"/>
          <w:sz w:val="26"/>
        </w:rPr>
        <w:t>Kurzantwort</w:t>
      </w:r>
    </w:p>
    <w:p w14:paraId="194BDC90" w14:textId="0E593331" w:rsidR="00684118" w:rsidRDefault="00684118" w:rsidP="00684118">
      <w:pPr>
        <w:spacing w:after="120"/>
        <w:rPr>
          <w:color w:val="1E1E1E"/>
        </w:rPr>
      </w:pPr>
      <w:r>
        <w:rPr>
          <w:color w:val="1E1E1E"/>
        </w:rPr>
        <w:t>Es gibt kein einzelnes Feld, das „fix“ oder „mengenabhängig“ markiert. Die Unterscheidung entsteht in zwei Schritten:</w:t>
      </w:r>
    </w:p>
    <w:p w14:paraId="189D095A" w14:textId="5B7C8CEC" w:rsidR="00684118" w:rsidRDefault="00684118" w:rsidP="00684118">
      <w:pPr>
        <w:spacing w:after="120"/>
        <w:rPr>
          <w:color w:val="1E1E1E"/>
        </w:rPr>
      </w:pPr>
      <w:r>
        <w:rPr>
          <w:color w:val="1E1E1E"/>
        </w:rPr>
        <w:t>1. Im Arbeitsplan steht nur der reine Zeitwert je Vorgang, zum Beispiel „Rüsten 0,5 Std“ oder „Maschine 0,02 Std/Stück“. Diese Zahl allein sagt nichts darüber, wie sie mit der Menge skaliert.</w:t>
      </w:r>
    </w:p>
    <w:p w14:paraId="621327C2" w14:textId="74BF5B97" w:rsidR="00684118" w:rsidRDefault="00684118" w:rsidP="00684118">
      <w:pPr>
        <w:spacing w:after="120"/>
        <w:rPr>
          <w:color w:val="1E1E1E"/>
        </w:rPr>
      </w:pPr>
      <w:r>
        <w:rPr>
          <w:color w:val="1E1E1E"/>
        </w:rPr>
        <w:t>2. Am Arbeitsplatz ist pro Zeitart eine Formel hinterlegt (getrennt für Kalkulation, Terminierung und Kapazität – für dich ist der Reiter „Kalkulation“ relevant). Diese Formel entscheidet, wie aus dem Zeitwert eine Menge wird: Die Rüstzeit-Formel übernimmt den Wert konstant. Die Formel für Maschinen- bzw. Bearbeitungszeit multipliziert ihn mit Vorgangsmenge geteilt durch Basismenge – deshalb wächst sie mit der Menge.</w:t>
      </w:r>
    </w:p>
    <w:p w14:paraId="12BC2A95" w14:textId="23CB6CC5" w:rsidR="00684118" w:rsidRDefault="00684118" w:rsidP="00684118">
      <w:pPr>
        <w:spacing w:after="120"/>
        <w:rPr>
          <w:color w:val="1E1E1E"/>
        </w:rPr>
      </w:pPr>
      <w:r>
        <w:rPr>
          <w:color w:val="1E1E1E"/>
        </w:rPr>
        <w:t>Wichtig für die Interpretation: Die Formel liefert nicht den Betrag, sondern eine Leistungsmenge (also Stunden). Zu Franken wird das erst durch den Tarif der zugeordneten Leistungsart, gepflegt in KP26. Deshalb können zwei Arbeitsplätze mit identischen Zeiten unterschiedlich teuer sein.</w:t>
      </w:r>
    </w:p>
    <w:p w14:paraId="208A7C68" w14:textId="75131B4D" w:rsidR="00684118" w:rsidRDefault="00684118" w:rsidP="00684118">
      <w:pPr>
        <w:spacing w:after="120"/>
        <w:rPr>
          <w:color w:val="1E1E1E"/>
        </w:rPr>
      </w:pPr>
      <w:r>
        <w:rPr>
          <w:color w:val="1E1E1E"/>
        </w:rPr>
        <w:t>Und: Das gilt für die übliche Standardkonfiguration. Ob es bei uns tatsächlich so ist, entscheidet die konkret hinterlegte Formel – bei eigenen Z-Formeln kann die Logik abweichen. Zusätzlich muss der Vorgang über seinen Steuerschlüssel überhaupt kalkulationsrelevant sein; bei fremdbearbeiteten Vorgängen greift eine andere Bewertungslogik (Einkaufs- bzw. Fremdleistungspreis statt Zeit mal Tarif).</w:t>
      </w:r>
    </w:p>
    <w:p w14:paraId="4299EE68" w14:textId="265BE207" w:rsidR="00684118" w:rsidRDefault="00684118" w:rsidP="00684118">
      <w:pPr>
        <w:spacing w:before="180" w:after="120"/>
        <w:rPr>
          <w:b/>
          <w:color w:val="C55A11"/>
          <w:sz w:val="26"/>
        </w:rPr>
      </w:pPr>
      <w:r>
        <w:rPr>
          <w:b/>
          <w:color w:val="C55A11"/>
          <w:sz w:val="26"/>
        </w:rPr>
        <w:t>Wo du das im System nachschauen kannst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684118" w14:paraId="61D1F31F" w14:textId="77777777" w:rsidTr="00684118">
        <w:trPr>
          <w:cantSplit/>
          <w:tblHeader/>
        </w:trPr>
        <w:tc>
          <w:tcPr>
            <w:tcW w:w="3024" w:type="dxa"/>
            <w:shd w:val="clear" w:color="auto" w:fill="F0E8E0"/>
          </w:tcPr>
          <w:p w14:paraId="42685402" w14:textId="44246C73" w:rsidR="00684118" w:rsidRPr="00684118" w:rsidRDefault="00684118" w:rsidP="00684118">
            <w:pPr>
              <w:spacing w:before="180" w:after="120"/>
              <w:rPr>
                <w:b/>
                <w:color w:val="1E1E1E"/>
                <w:sz w:val="20"/>
              </w:rPr>
            </w:pPr>
            <w:r w:rsidRPr="00684118">
              <w:rPr>
                <w:b/>
                <w:color w:val="1E1E1E"/>
                <w:sz w:val="20"/>
              </w:rPr>
              <w:t>Was</w:t>
            </w:r>
          </w:p>
        </w:tc>
        <w:tc>
          <w:tcPr>
            <w:tcW w:w="3024" w:type="dxa"/>
            <w:shd w:val="clear" w:color="auto" w:fill="F0E8E0"/>
          </w:tcPr>
          <w:p w14:paraId="376BA41F" w14:textId="44614FBE" w:rsidR="00684118" w:rsidRPr="00684118" w:rsidRDefault="00684118" w:rsidP="00684118">
            <w:pPr>
              <w:spacing w:before="180" w:after="120"/>
              <w:rPr>
                <w:b/>
                <w:color w:val="1E1E1E"/>
                <w:sz w:val="20"/>
              </w:rPr>
            </w:pPr>
            <w:r w:rsidRPr="00684118">
              <w:rPr>
                <w:b/>
                <w:color w:val="1E1E1E"/>
                <w:sz w:val="20"/>
              </w:rPr>
              <w:t>Wo</w:t>
            </w:r>
          </w:p>
        </w:tc>
        <w:tc>
          <w:tcPr>
            <w:tcW w:w="3024" w:type="dxa"/>
            <w:shd w:val="clear" w:color="auto" w:fill="F0E8E0"/>
          </w:tcPr>
          <w:p w14:paraId="37841978" w14:textId="643D0F4D" w:rsidR="00684118" w:rsidRPr="00684118" w:rsidRDefault="00684118" w:rsidP="00684118">
            <w:pPr>
              <w:spacing w:before="180" w:after="120"/>
              <w:rPr>
                <w:b/>
                <w:color w:val="1E1E1E"/>
                <w:sz w:val="20"/>
              </w:rPr>
            </w:pPr>
            <w:r w:rsidRPr="00684118">
              <w:rPr>
                <w:b/>
                <w:color w:val="1E1E1E"/>
                <w:sz w:val="20"/>
              </w:rPr>
              <w:t>Worauf achten</w:t>
            </w:r>
          </w:p>
        </w:tc>
      </w:tr>
      <w:tr w:rsidR="00684118" w14:paraId="6048F31F" w14:textId="77777777" w:rsidTr="00684118">
        <w:trPr>
          <w:cantSplit/>
        </w:trPr>
        <w:tc>
          <w:tcPr>
            <w:tcW w:w="3024" w:type="dxa"/>
          </w:tcPr>
          <w:p w14:paraId="4E68E6FE" w14:textId="1580F0AA" w:rsidR="00684118" w:rsidRPr="00684118" w:rsidRDefault="00684118" w:rsidP="00684118">
            <w:pPr>
              <w:spacing w:before="180" w:after="120"/>
              <w:rPr>
                <w:color w:val="1E1E1E"/>
                <w:sz w:val="20"/>
              </w:rPr>
            </w:pPr>
            <w:r w:rsidRPr="00684118">
              <w:rPr>
                <w:color w:val="1E1E1E"/>
                <w:sz w:val="20"/>
              </w:rPr>
              <w:t>Zeitwerte je Vorgang</w:t>
            </w:r>
          </w:p>
        </w:tc>
        <w:tc>
          <w:tcPr>
            <w:tcW w:w="3024" w:type="dxa"/>
          </w:tcPr>
          <w:p w14:paraId="29728C58" w14:textId="0E9D6E9F" w:rsidR="00684118" w:rsidRPr="00684118" w:rsidRDefault="00684118" w:rsidP="00684118">
            <w:pPr>
              <w:spacing w:before="180" w:after="120"/>
              <w:rPr>
                <w:color w:val="1E1E1E"/>
                <w:sz w:val="20"/>
              </w:rPr>
            </w:pPr>
            <w:r w:rsidRPr="00684118">
              <w:rPr>
                <w:color w:val="1E1E1E"/>
                <w:sz w:val="20"/>
              </w:rPr>
              <w:t>Arbeitsplan anzeigen (CA03) → Vorgang → Reiter „Vorgabewerte“</w:t>
            </w:r>
          </w:p>
        </w:tc>
        <w:tc>
          <w:tcPr>
            <w:tcW w:w="3024" w:type="dxa"/>
          </w:tcPr>
          <w:p w14:paraId="2A7EDF4A" w14:textId="48A97A77" w:rsidR="00684118" w:rsidRPr="00684118" w:rsidRDefault="00684118" w:rsidP="00684118">
            <w:pPr>
              <w:spacing w:before="180" w:after="120"/>
              <w:rPr>
                <w:color w:val="1E1E1E"/>
                <w:sz w:val="20"/>
              </w:rPr>
            </w:pPr>
            <w:r w:rsidRPr="00684118">
              <w:rPr>
                <w:color w:val="1E1E1E"/>
                <w:sz w:val="20"/>
              </w:rPr>
              <w:t>Die Rohwerte, z. B. „Rüsten 0,5 Std“, „Maschine 0,02 Std/Stück“</w:t>
            </w:r>
          </w:p>
        </w:tc>
      </w:tr>
      <w:tr w:rsidR="00684118" w14:paraId="0C8BFCC9" w14:textId="77777777" w:rsidTr="00684118">
        <w:trPr>
          <w:cantSplit/>
        </w:trPr>
        <w:tc>
          <w:tcPr>
            <w:tcW w:w="3024" w:type="dxa"/>
          </w:tcPr>
          <w:p w14:paraId="69A3D2E9" w14:textId="28CC039E" w:rsidR="00684118" w:rsidRPr="00684118" w:rsidRDefault="00684118" w:rsidP="00684118">
            <w:pPr>
              <w:spacing w:before="180" w:after="120"/>
              <w:rPr>
                <w:color w:val="1E1E1E"/>
                <w:sz w:val="20"/>
              </w:rPr>
            </w:pPr>
            <w:r w:rsidRPr="00684118">
              <w:rPr>
                <w:color w:val="1E1E1E"/>
                <w:sz w:val="20"/>
              </w:rPr>
              <w:t>Formel und Leistungsart je Zeitart</w:t>
            </w:r>
          </w:p>
        </w:tc>
        <w:tc>
          <w:tcPr>
            <w:tcW w:w="3024" w:type="dxa"/>
          </w:tcPr>
          <w:p w14:paraId="4CDF2F01" w14:textId="35B39CD1" w:rsidR="00684118" w:rsidRPr="00684118" w:rsidRDefault="00684118" w:rsidP="00684118">
            <w:pPr>
              <w:spacing w:before="180" w:after="120"/>
              <w:rPr>
                <w:color w:val="1E1E1E"/>
                <w:sz w:val="20"/>
              </w:rPr>
            </w:pPr>
            <w:r w:rsidRPr="00684118">
              <w:rPr>
                <w:color w:val="1E1E1E"/>
                <w:sz w:val="20"/>
              </w:rPr>
              <w:t>Arbeitsplatz anzeigen (CR03) → Reiter „Kalkulation“</w:t>
            </w:r>
          </w:p>
        </w:tc>
        <w:tc>
          <w:tcPr>
            <w:tcW w:w="3024" w:type="dxa"/>
          </w:tcPr>
          <w:p w14:paraId="291B0498" w14:textId="4693BE4A" w:rsidR="00684118" w:rsidRPr="00684118" w:rsidRDefault="00684118" w:rsidP="00684118">
            <w:pPr>
              <w:spacing w:before="180" w:after="120"/>
              <w:rPr>
                <w:color w:val="1E1E1E"/>
                <w:sz w:val="20"/>
              </w:rPr>
            </w:pPr>
            <w:r w:rsidRPr="00684118">
              <w:rPr>
                <w:color w:val="1E1E1E"/>
                <w:sz w:val="20"/>
              </w:rPr>
              <w:t>Welche Formel und welche Leistungsart für Rüsten, Maschine und Lohn hinterlegt sind</w:t>
            </w:r>
          </w:p>
        </w:tc>
      </w:tr>
      <w:tr w:rsidR="00684118" w14:paraId="68FCD542" w14:textId="77777777" w:rsidTr="00684118">
        <w:trPr>
          <w:cantSplit/>
        </w:trPr>
        <w:tc>
          <w:tcPr>
            <w:tcW w:w="3024" w:type="dxa"/>
          </w:tcPr>
          <w:p w14:paraId="716D5C05" w14:textId="2CF7F7D9" w:rsidR="00684118" w:rsidRPr="00684118" w:rsidRDefault="00684118" w:rsidP="00684118">
            <w:pPr>
              <w:spacing w:before="180" w:after="120"/>
              <w:rPr>
                <w:color w:val="1E1E1E"/>
                <w:sz w:val="20"/>
              </w:rPr>
            </w:pPr>
            <w:r w:rsidRPr="00684118">
              <w:rPr>
                <w:color w:val="1E1E1E"/>
                <w:sz w:val="20"/>
              </w:rPr>
              <w:t>Formeldefinition im Klartext</w:t>
            </w:r>
          </w:p>
        </w:tc>
        <w:tc>
          <w:tcPr>
            <w:tcW w:w="3024" w:type="dxa"/>
          </w:tcPr>
          <w:p w14:paraId="0B702414" w14:textId="3FEC06F0" w:rsidR="00684118" w:rsidRPr="00684118" w:rsidRDefault="00684118" w:rsidP="00684118">
            <w:pPr>
              <w:spacing w:before="180" w:after="120"/>
              <w:rPr>
                <w:color w:val="1E1E1E"/>
                <w:sz w:val="20"/>
              </w:rPr>
            </w:pPr>
            <w:r w:rsidRPr="00684118">
              <w:rPr>
                <w:color w:val="1E1E1E"/>
                <w:sz w:val="20"/>
              </w:rPr>
              <w:t>Customizing: Produktion → Grunddaten → Arbeitsplatz → Kalkulation → Formeln (Transaktion OP54, Parameter in OP51)</w:t>
            </w:r>
          </w:p>
        </w:tc>
        <w:tc>
          <w:tcPr>
            <w:tcW w:w="3024" w:type="dxa"/>
          </w:tcPr>
          <w:p w14:paraId="6824DB45" w14:textId="5CD30D7C" w:rsidR="00684118" w:rsidRPr="00684118" w:rsidRDefault="00684118" w:rsidP="00684118">
            <w:pPr>
              <w:spacing w:before="180" w:after="120"/>
              <w:rPr>
                <w:color w:val="1E1E1E"/>
                <w:sz w:val="20"/>
              </w:rPr>
            </w:pPr>
            <w:r w:rsidRPr="00684118">
              <w:rPr>
                <w:color w:val="1E1E1E"/>
                <w:sz w:val="20"/>
              </w:rPr>
              <w:t>Ob die Formel die Vorgangsmenge bzw. Basismenge einbezieht oder nicht</w:t>
            </w:r>
          </w:p>
        </w:tc>
      </w:tr>
      <w:tr w:rsidR="00684118" w14:paraId="19F31745" w14:textId="77777777" w:rsidTr="00684118">
        <w:trPr>
          <w:cantSplit/>
        </w:trPr>
        <w:tc>
          <w:tcPr>
            <w:tcW w:w="3024" w:type="dxa"/>
          </w:tcPr>
          <w:p w14:paraId="468E3418" w14:textId="27B94842" w:rsidR="00684118" w:rsidRPr="00684118" w:rsidRDefault="00684118" w:rsidP="00684118">
            <w:pPr>
              <w:spacing w:before="180" w:after="120"/>
              <w:rPr>
                <w:color w:val="1E1E1E"/>
                <w:sz w:val="20"/>
              </w:rPr>
            </w:pPr>
            <w:r w:rsidRPr="00684118">
              <w:rPr>
                <w:color w:val="1E1E1E"/>
                <w:sz w:val="20"/>
              </w:rPr>
              <w:lastRenderedPageBreak/>
              <w:t>Bedeutung der Zeit-Slots 1–6</w:t>
            </w:r>
          </w:p>
        </w:tc>
        <w:tc>
          <w:tcPr>
            <w:tcW w:w="3024" w:type="dxa"/>
          </w:tcPr>
          <w:p w14:paraId="587164DE" w14:textId="0A15C946" w:rsidR="00684118" w:rsidRPr="00684118" w:rsidRDefault="00684118" w:rsidP="00684118">
            <w:pPr>
              <w:spacing w:before="180" w:after="120"/>
              <w:rPr>
                <w:color w:val="1E1E1E"/>
                <w:sz w:val="20"/>
              </w:rPr>
            </w:pPr>
            <w:r w:rsidRPr="00684118">
              <w:rPr>
                <w:color w:val="1E1E1E"/>
                <w:sz w:val="20"/>
              </w:rPr>
              <w:t>Customizing: Vorgabewertschlüssel (Transaktion OP19)</w:t>
            </w:r>
          </w:p>
        </w:tc>
        <w:tc>
          <w:tcPr>
            <w:tcW w:w="3024" w:type="dxa"/>
          </w:tcPr>
          <w:p w14:paraId="113784EC" w14:textId="00D725E0" w:rsidR="00684118" w:rsidRPr="00684118" w:rsidRDefault="00684118" w:rsidP="00684118">
            <w:pPr>
              <w:spacing w:before="180" w:after="120"/>
              <w:rPr>
                <w:color w:val="1E1E1E"/>
                <w:sz w:val="20"/>
              </w:rPr>
            </w:pPr>
            <w:r w:rsidRPr="00684118">
              <w:rPr>
                <w:color w:val="1E1E1E"/>
                <w:sz w:val="20"/>
              </w:rPr>
              <w:t>Welcher Slot „Rüsten“ heisst und welcher „Maschine“ bzw. „Lohn“</w:t>
            </w:r>
          </w:p>
        </w:tc>
      </w:tr>
      <w:tr w:rsidR="00684118" w14:paraId="25FF09B7" w14:textId="77777777" w:rsidTr="00684118">
        <w:trPr>
          <w:cantSplit/>
        </w:trPr>
        <w:tc>
          <w:tcPr>
            <w:tcW w:w="3024" w:type="dxa"/>
          </w:tcPr>
          <w:p w14:paraId="1DD07B20" w14:textId="58D4B2A1" w:rsidR="00684118" w:rsidRPr="00684118" w:rsidRDefault="00684118" w:rsidP="00684118">
            <w:pPr>
              <w:spacing w:before="180" w:after="120"/>
              <w:rPr>
                <w:color w:val="1E1E1E"/>
                <w:sz w:val="20"/>
              </w:rPr>
            </w:pPr>
            <w:r w:rsidRPr="00684118">
              <w:rPr>
                <w:color w:val="1E1E1E"/>
                <w:sz w:val="20"/>
              </w:rPr>
              <w:t>Tarif je Leistungsart</w:t>
            </w:r>
          </w:p>
        </w:tc>
        <w:tc>
          <w:tcPr>
            <w:tcW w:w="3024" w:type="dxa"/>
          </w:tcPr>
          <w:p w14:paraId="621031EC" w14:textId="72D5A36D" w:rsidR="00684118" w:rsidRPr="00684118" w:rsidRDefault="00684118" w:rsidP="00684118">
            <w:pPr>
              <w:spacing w:before="180" w:after="120"/>
              <w:rPr>
                <w:color w:val="1E1E1E"/>
                <w:sz w:val="20"/>
              </w:rPr>
            </w:pPr>
            <w:r w:rsidRPr="00684118">
              <w:rPr>
                <w:color w:val="1E1E1E"/>
                <w:sz w:val="20"/>
              </w:rPr>
              <w:t>KP26</w:t>
            </w:r>
          </w:p>
        </w:tc>
        <w:tc>
          <w:tcPr>
            <w:tcW w:w="3024" w:type="dxa"/>
          </w:tcPr>
          <w:p w14:paraId="22580686" w14:textId="08EB8935" w:rsidR="00684118" w:rsidRPr="00684118" w:rsidRDefault="00684118" w:rsidP="00684118">
            <w:pPr>
              <w:spacing w:before="180" w:after="120"/>
              <w:rPr>
                <w:color w:val="1E1E1E"/>
                <w:sz w:val="20"/>
              </w:rPr>
            </w:pPr>
            <w:r w:rsidRPr="00684118">
              <w:rPr>
                <w:color w:val="1E1E1E"/>
                <w:sz w:val="20"/>
              </w:rPr>
              <w:t>Hier entstehen aus den Stunden die Franken</w:t>
            </w:r>
          </w:p>
        </w:tc>
      </w:tr>
    </w:tbl>
    <w:p w14:paraId="0BEF5EF7" w14:textId="77777777" w:rsidR="00684118" w:rsidRDefault="00684118" w:rsidP="00684118">
      <w:pPr>
        <w:spacing w:before="180" w:after="120"/>
        <w:rPr>
          <w:b/>
          <w:color w:val="C55A11"/>
          <w:sz w:val="26"/>
        </w:rPr>
      </w:pPr>
    </w:p>
    <w:p w14:paraId="1E7B77F4" w14:textId="01B583C4" w:rsidR="00684118" w:rsidRDefault="00684118" w:rsidP="00684118">
      <w:pPr>
        <w:spacing w:before="180" w:after="120"/>
        <w:rPr>
          <w:b/>
          <w:color w:val="C55A11"/>
          <w:sz w:val="26"/>
        </w:rPr>
      </w:pPr>
      <w:r>
        <w:rPr>
          <w:b/>
          <w:color w:val="C55A11"/>
          <w:sz w:val="26"/>
        </w:rPr>
        <w:t>Praktischer Weg, auch ohne Adil</w:t>
      </w:r>
    </w:p>
    <w:p w14:paraId="4E9E26A7" w14:textId="243DAAC3" w:rsidR="00684118" w:rsidRDefault="00684118" w:rsidP="00684118">
      <w:pPr>
        <w:spacing w:after="120"/>
        <w:rPr>
          <w:color w:val="1E1E1E"/>
        </w:rPr>
      </w:pPr>
      <w:r>
        <w:rPr>
          <w:color w:val="1E1E1E"/>
        </w:rPr>
        <w:t>Ich würde in drei Schritten vorgehen – vom Schnellen zum Belastbaren:</w:t>
      </w:r>
    </w:p>
    <w:p w14:paraId="0755DC6A" w14:textId="03F58A14" w:rsidR="00684118" w:rsidRDefault="00684118" w:rsidP="00684118">
      <w:pPr>
        <w:spacing w:after="120"/>
        <w:rPr>
          <w:color w:val="1E1E1E"/>
        </w:rPr>
      </w:pPr>
      <w:r>
        <w:rPr>
          <w:color w:val="1E1E1E"/>
        </w:rPr>
        <w:t>1. CR03: Nachsehen, welche Formeln für Rüsten und Maschine an den relevanten Arbeitsplätzen hinterlegt sind.</w:t>
      </w:r>
    </w:p>
    <w:p w14:paraId="1F4753ED" w14:textId="0E6B7B80" w:rsidR="00684118" w:rsidRDefault="00684118" w:rsidP="00684118">
      <w:pPr>
        <w:spacing w:after="120"/>
        <w:rPr>
          <w:color w:val="1E1E1E"/>
        </w:rPr>
      </w:pPr>
      <w:r>
        <w:rPr>
          <w:color w:val="1E1E1E"/>
        </w:rPr>
        <w:t>2. CR04 („Arbeitsplatzformeln testen“): Die Formel direkt durchrechnen und die Menge als Parameter variieren. Das zeigt das Skalierungsverhalten sofort und eindeutig – schneller als der Kalkulationsweg.</w:t>
      </w:r>
    </w:p>
    <w:p w14:paraId="21CCFF17" w14:textId="5062DABD" w:rsidR="00684118" w:rsidRDefault="00684118" w:rsidP="00684118">
      <w:pPr>
        <w:spacing w:after="120"/>
        <w:rPr>
          <w:color w:val="1E1E1E"/>
        </w:rPr>
      </w:pPr>
      <w:r>
        <w:rPr>
          <w:color w:val="1E1E1E"/>
        </w:rPr>
        <w:t>3. CK11N: Zwei Testkalkulationen mit unterschiedlicher Losgrösse rechnen, als End-to-End-Nachweis, dass es sich im echten Kostennachweis auch so auswirkt.</w:t>
      </w:r>
    </w:p>
    <w:p w14:paraId="555158FB" w14:textId="2CCF7039" w:rsidR="00684118" w:rsidRDefault="00684118" w:rsidP="00684118">
      <w:pPr>
        <w:spacing w:after="120"/>
        <w:rPr>
          <w:color w:val="1E1E1E"/>
        </w:rPr>
      </w:pPr>
      <w:r>
        <w:rPr>
          <w:color w:val="1E1E1E"/>
        </w:rPr>
        <w:t>Zwei Fallstricke beim CK11N-Vergleich, sonst liest man das Ergebnis falsch herum:</w:t>
      </w:r>
    </w:p>
    <w:p w14:paraId="018AC4D7" w14:textId="43AE19F6" w:rsidR="00684118" w:rsidRDefault="00684118" w:rsidP="00684118">
      <w:pPr>
        <w:spacing w:after="120"/>
        <w:rPr>
          <w:color w:val="1E1E1E"/>
        </w:rPr>
      </w:pPr>
      <w:r>
        <w:rPr>
          <w:color w:val="1E1E1E"/>
        </w:rPr>
        <w:t>• Die Anzeige auf Gesamtwerte stellen, nicht auf „pro Einheit“. Pro Stück sinkt der Rüstanteil mit steigender Losgrösse – das sieht dann nach „mengenabhängig“ aus, obwohl der Gesamtbetrag konstant bleibt.</w:t>
      </w:r>
    </w:p>
    <w:p w14:paraId="31665F87" w14:textId="3F6B8E84" w:rsidR="00684118" w:rsidRDefault="00684118" w:rsidP="00684118">
      <w:pPr>
        <w:spacing w:after="120"/>
        <w:rPr>
          <w:color w:val="1E1E1E"/>
        </w:rPr>
      </w:pPr>
      <w:r>
        <w:rPr>
          <w:color w:val="1E1E1E"/>
        </w:rPr>
        <w:t>• Beide Losgrössen im selben Losgrössenintervall halten. Sonst zieht SAP womöglich einen anderen Arbeitsplan oder eine andere Stücklistenalternative, und man vergleicht zwei verschiedene Fertigungswege statt nur die Mengenwirkung.</w:t>
      </w:r>
    </w:p>
    <w:p w14:paraId="73ACF2FC" w14:textId="4CF299AB" w:rsidR="00684118" w:rsidRDefault="00684118" w:rsidP="00684118">
      <w:pPr>
        <w:spacing w:before="180" w:after="120"/>
        <w:rPr>
          <w:b/>
          <w:color w:val="C55A11"/>
          <w:sz w:val="26"/>
        </w:rPr>
      </w:pPr>
      <w:r>
        <w:rPr>
          <w:b/>
          <w:color w:val="C55A11"/>
          <w:sz w:val="26"/>
        </w:rPr>
        <w:t>Meine Empfehlung</w:t>
      </w:r>
    </w:p>
    <w:p w14:paraId="5B31BDCC" w14:textId="1E4B13E7" w:rsidR="00684118" w:rsidRDefault="00684118" w:rsidP="00684118">
      <w:pPr>
        <w:spacing w:after="120"/>
        <w:rPr>
          <w:color w:val="1E1E1E"/>
        </w:rPr>
      </w:pPr>
      <w:r>
        <w:rPr>
          <w:color w:val="1E1E1E"/>
        </w:rPr>
        <w:t>Für deine Frage reichen Schritt 1 und 2. Für eine spätere Automatisierung bräuchten wir zusätzlich die Formelzuordnung über alle Arbeitsplätze – das würde ich vorher mit Adil gegenprüfen.</w:t>
      </w:r>
    </w:p>
    <w:p w14:paraId="65B29C32" w14:textId="101F1983" w:rsidR="00684118" w:rsidRDefault="00684118" w:rsidP="00684118">
      <w:pPr>
        <w:spacing w:before="180" w:after="120"/>
        <w:rPr>
          <w:b/>
          <w:color w:val="C55A11"/>
          <w:sz w:val="26"/>
        </w:rPr>
      </w:pPr>
      <w:r>
        <w:rPr>
          <w:b/>
          <w:color w:val="C55A11"/>
          <w:sz w:val="26"/>
        </w:rPr>
        <w:t>Was noch offen ist</w:t>
      </w:r>
    </w:p>
    <w:p w14:paraId="06D32548" w14:textId="6D4A01D0" w:rsidR="00684118" w:rsidRDefault="00684118" w:rsidP="00684118">
      <w:pPr>
        <w:spacing w:after="120"/>
        <w:rPr>
          <w:color w:val="1E1E1E"/>
        </w:rPr>
      </w:pPr>
      <w:r>
        <w:rPr>
          <w:color w:val="1E1E1E"/>
        </w:rPr>
        <w:t>• Die genannten Transaktionen sind SAP-Standard und geprüft. Ob unsere Arbeitsplätze Standardformeln oder eigene Z-Formeln nutzen, sieht man erst im System.</w:t>
      </w:r>
    </w:p>
    <w:p w14:paraId="3556683B" w14:textId="4EE9686A" w:rsidR="00684118" w:rsidRDefault="00684118" w:rsidP="00684118">
      <w:pPr>
        <w:spacing w:after="120"/>
        <w:rPr>
          <w:color w:val="1E1E1E"/>
        </w:rPr>
      </w:pPr>
      <w:r>
        <w:rPr>
          <w:color w:val="1E1E1E"/>
        </w:rPr>
        <w:t>• Ebenfalls offen: ob alle Arbeitsplätze dieselbe Formellogik nutzen, oder es Ausnahmen gibt, zum Beispiel bei extern gefertigten Vorgängen.</w:t>
      </w:r>
    </w:p>
    <w:p w14:paraId="17046170" w14:textId="1E1ACC59" w:rsidR="00684118" w:rsidRDefault="00684118" w:rsidP="00684118">
      <w:pPr>
        <w:keepNext/>
        <w:spacing w:after="120"/>
        <w:rPr>
          <w:color w:val="1E1E1E"/>
        </w:rPr>
      </w:pPr>
      <w:r>
        <w:rPr>
          <w:color w:val="1E1E1E"/>
        </w:rPr>
        <w:t>Meld dich einfach, wenn du das gemeinsam am System durchgehen willst oder noch Fragen hast.</w:t>
      </w:r>
    </w:p>
    <w:p w14:paraId="7243D4DB" w14:textId="2F49DD54" w:rsidR="00684118" w:rsidRDefault="00684118" w:rsidP="00684118">
      <w:pPr>
        <w:keepNext/>
        <w:spacing w:after="120"/>
        <w:rPr>
          <w:color w:val="1E1E1E"/>
        </w:rPr>
      </w:pPr>
      <w:r>
        <w:rPr>
          <w:color w:val="1E1E1E"/>
        </w:rPr>
        <w:t>Beste Grüsse</w:t>
      </w:r>
    </w:p>
    <w:p w14:paraId="46E320F0" w14:textId="127364E4" w:rsidR="00684118" w:rsidRDefault="00684118" w:rsidP="00684118">
      <w:pPr>
        <w:keepNext/>
        <w:spacing w:after="120"/>
        <w:rPr>
          <w:color w:val="1E1E1E"/>
        </w:rPr>
      </w:pPr>
      <w:r>
        <w:rPr>
          <w:color w:val="1E1E1E"/>
        </w:rPr>
        <w:t>Ingo</w:t>
      </w:r>
    </w:p>
    <w:p w14:paraId="3B947415" w14:textId="77777777" w:rsidR="00684118" w:rsidRPr="00684118" w:rsidRDefault="00684118" w:rsidP="00684118">
      <w:pPr>
        <w:spacing w:after="120"/>
        <w:rPr>
          <w:color w:val="1E1E1E"/>
        </w:rPr>
      </w:pPr>
    </w:p>
    <w:sectPr w:rsidR="00684118" w:rsidRPr="0068411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E5B99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Orange_Quadrat"/>
      </v:shape>
    </w:pict>
  </w:numPicBullet>
  <w:abstractNum w:abstractNumId="0" w15:restartNumberingAfterBreak="0">
    <w:nsid w:val="04294F27"/>
    <w:multiLevelType w:val="multilevel"/>
    <w:tmpl w:val="FB324368"/>
    <w:styleLink w:val="ListeAuf"/>
    <w:lvl w:ilvl="0">
      <w:start w:val="1"/>
      <w:numFmt w:val="bullet"/>
      <w:pStyle w:val="Aufzhlungszeichen"/>
      <w:lvlText w:val=""/>
      <w:lvlPicBulletId w:val="0"/>
      <w:lvlJc w:val="left"/>
      <w:pPr>
        <w:ind w:left="170" w:hanging="170"/>
      </w:pPr>
      <w:rPr>
        <w:rFonts w:ascii="Symbol" w:hAnsi="Symbol" w:hint="default"/>
        <w:color w:val="auto"/>
        <w:sz w:val="12"/>
      </w:rPr>
    </w:lvl>
    <w:lvl w:ilvl="1">
      <w:start w:val="1"/>
      <w:numFmt w:val="bullet"/>
      <w:pStyle w:val="Aufzhlungszeichen2"/>
      <w:lvlText w:val=""/>
      <w:lvlPicBulletId w:val="0"/>
      <w:lvlJc w:val="left"/>
      <w:pPr>
        <w:ind w:left="340" w:hanging="170"/>
      </w:pPr>
      <w:rPr>
        <w:rFonts w:ascii="Symbol" w:hAnsi="Symbol" w:hint="default"/>
        <w:color w:val="auto"/>
        <w:sz w:val="12"/>
      </w:rPr>
    </w:lvl>
    <w:lvl w:ilvl="2">
      <w:start w:val="1"/>
      <w:numFmt w:val="bullet"/>
      <w:pStyle w:val="Aufzhlungszeichen3"/>
      <w:lvlText w:val=""/>
      <w:lvlPicBulletId w:val="0"/>
      <w:lvlJc w:val="left"/>
      <w:pPr>
        <w:ind w:left="510" w:hanging="170"/>
      </w:pPr>
      <w:rPr>
        <w:rFonts w:ascii="Symbol" w:hAnsi="Symbol" w:hint="default"/>
        <w:color w:val="auto"/>
        <w:sz w:val="12"/>
      </w:rPr>
    </w:lvl>
    <w:lvl w:ilvl="3">
      <w:start w:val="1"/>
      <w:numFmt w:val="none"/>
      <w:lvlText w:val=""/>
      <w:lvlJc w:val="left"/>
      <w:pPr>
        <w:ind w:left="510" w:firstLine="0"/>
      </w:pPr>
      <w:rPr>
        <w:rFonts w:hint="default"/>
      </w:rPr>
    </w:lvl>
    <w:lvl w:ilvl="4">
      <w:start w:val="1"/>
      <w:numFmt w:val="none"/>
      <w:lvlText w:val=""/>
      <w:lvlJc w:val="left"/>
      <w:pPr>
        <w:ind w:left="510" w:firstLine="0"/>
      </w:pPr>
      <w:rPr>
        <w:rFonts w:hint="default"/>
      </w:rPr>
    </w:lvl>
    <w:lvl w:ilvl="5">
      <w:start w:val="1"/>
      <w:numFmt w:val="none"/>
      <w:lvlText w:val=""/>
      <w:lvlJc w:val="left"/>
      <w:pPr>
        <w:ind w:left="510" w:firstLine="0"/>
      </w:pPr>
      <w:rPr>
        <w:rFonts w:hint="default"/>
      </w:rPr>
    </w:lvl>
    <w:lvl w:ilvl="6">
      <w:start w:val="1"/>
      <w:numFmt w:val="none"/>
      <w:lvlText w:val=""/>
      <w:lvlJc w:val="left"/>
      <w:pPr>
        <w:ind w:left="510" w:firstLine="0"/>
      </w:pPr>
      <w:rPr>
        <w:rFonts w:hint="default"/>
      </w:rPr>
    </w:lvl>
    <w:lvl w:ilvl="7">
      <w:start w:val="1"/>
      <w:numFmt w:val="none"/>
      <w:lvlText w:val=""/>
      <w:lvlJc w:val="left"/>
      <w:pPr>
        <w:ind w:left="510" w:firstLine="0"/>
      </w:pPr>
      <w:rPr>
        <w:rFonts w:hint="default"/>
      </w:rPr>
    </w:lvl>
    <w:lvl w:ilvl="8">
      <w:start w:val="1"/>
      <w:numFmt w:val="none"/>
      <w:lvlText w:val=""/>
      <w:lvlJc w:val="left"/>
      <w:pPr>
        <w:ind w:left="510" w:firstLine="0"/>
      </w:pPr>
      <w:rPr>
        <w:rFonts w:hint="default"/>
      </w:rPr>
    </w:lvl>
  </w:abstractNum>
  <w:abstractNum w:abstractNumId="1" w15:restartNumberingAfterBreak="0">
    <w:nsid w:val="4D446D11"/>
    <w:multiLevelType w:val="multilevel"/>
    <w:tmpl w:val="F256804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809396445">
    <w:abstractNumId w:val="0"/>
  </w:num>
  <w:num w:numId="2" w16cid:durableId="1860310006">
    <w:abstractNumId w:val="1"/>
  </w:num>
  <w:num w:numId="3" w16cid:durableId="1497921613">
    <w:abstractNumId w:val="0"/>
  </w:num>
  <w:num w:numId="4" w16cid:durableId="1235429805">
    <w:abstractNumId w:val="0"/>
  </w:num>
  <w:num w:numId="5" w16cid:durableId="119223900">
    <w:abstractNumId w:val="0"/>
  </w:num>
  <w:num w:numId="6" w16cid:durableId="1721590329">
    <w:abstractNumId w:val="1"/>
  </w:num>
  <w:num w:numId="7" w16cid:durableId="1679650021">
    <w:abstractNumId w:val="0"/>
  </w:num>
  <w:num w:numId="8" w16cid:durableId="1329479035">
    <w:abstractNumId w:val="1"/>
  </w:num>
  <w:num w:numId="9" w16cid:durableId="85267305">
    <w:abstractNumId w:val="1"/>
  </w:num>
  <w:num w:numId="10" w16cid:durableId="1212614659">
    <w:abstractNumId w:val="1"/>
  </w:num>
  <w:num w:numId="11" w16cid:durableId="204567937">
    <w:abstractNumId w:val="1"/>
  </w:num>
  <w:num w:numId="12" w16cid:durableId="159125494">
    <w:abstractNumId w:val="1"/>
  </w:num>
  <w:num w:numId="13" w16cid:durableId="1977175081">
    <w:abstractNumId w:val="1"/>
  </w:num>
  <w:num w:numId="14" w16cid:durableId="677776028">
    <w:abstractNumId w:val="1"/>
  </w:num>
  <w:num w:numId="15" w16cid:durableId="817573573">
    <w:abstractNumId w:val="1"/>
  </w:num>
  <w:num w:numId="16" w16cid:durableId="1307082008">
    <w:abstractNumId w:val="0"/>
  </w:num>
  <w:num w:numId="17" w16cid:durableId="717122957">
    <w:abstractNumId w:val="0"/>
  </w:num>
  <w:num w:numId="18" w16cid:durableId="1972633852">
    <w:abstractNumId w:val="0"/>
  </w:num>
  <w:num w:numId="19" w16cid:durableId="1801532295">
    <w:abstractNumId w:val="1"/>
  </w:num>
  <w:num w:numId="20" w16cid:durableId="500464975">
    <w:abstractNumId w:val="0"/>
  </w:num>
  <w:num w:numId="21" w16cid:durableId="867067717">
    <w:abstractNumId w:val="1"/>
  </w:num>
  <w:num w:numId="22" w16cid:durableId="1557279907">
    <w:abstractNumId w:val="1"/>
  </w:num>
  <w:num w:numId="23" w16cid:durableId="1712193740">
    <w:abstractNumId w:val="1"/>
  </w:num>
  <w:num w:numId="24" w16cid:durableId="1249313053">
    <w:abstractNumId w:val="1"/>
  </w:num>
  <w:num w:numId="25" w16cid:durableId="1157527231">
    <w:abstractNumId w:val="1"/>
  </w:num>
  <w:num w:numId="26" w16cid:durableId="1615597852">
    <w:abstractNumId w:val="1"/>
  </w:num>
  <w:num w:numId="27" w16cid:durableId="1540706495">
    <w:abstractNumId w:val="1"/>
  </w:num>
  <w:num w:numId="28" w16cid:durableId="108818858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18"/>
    <w:rsid w:val="00046D3B"/>
    <w:rsid w:val="001A3B85"/>
    <w:rsid w:val="00240A40"/>
    <w:rsid w:val="00476F5B"/>
    <w:rsid w:val="004906A8"/>
    <w:rsid w:val="004A6047"/>
    <w:rsid w:val="00561534"/>
    <w:rsid w:val="005705AB"/>
    <w:rsid w:val="005F756C"/>
    <w:rsid w:val="00684118"/>
    <w:rsid w:val="00762C56"/>
    <w:rsid w:val="009B7E5D"/>
    <w:rsid w:val="009D4E9B"/>
    <w:rsid w:val="00AC6F75"/>
    <w:rsid w:val="00B55E8F"/>
    <w:rsid w:val="00D16032"/>
    <w:rsid w:val="00DA1E1E"/>
    <w:rsid w:val="00DF6BC8"/>
    <w:rsid w:val="00E637A2"/>
    <w:rsid w:val="00EA3AB9"/>
    <w:rsid w:val="00EB0C04"/>
    <w:rsid w:val="00FB208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8DB71"/>
  <w15:chartTrackingRefBased/>
  <w15:docId w15:val="{EBD3D476-A34B-4BF6-A4A1-3231C9962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de-CH"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A3AB9"/>
    <w:rPr>
      <w:rFonts w:ascii="Calibri" w:hAnsi="Calibri" w:cs="Calibri"/>
      <w:sz w:val="22"/>
    </w:rPr>
  </w:style>
  <w:style w:type="paragraph" w:styleId="berschrift1">
    <w:name w:val="heading 1"/>
    <w:basedOn w:val="Standard"/>
    <w:link w:val="berschrift1Zchn"/>
    <w:uiPriority w:val="9"/>
    <w:qFormat/>
    <w:rsid w:val="00EA3AB9"/>
    <w:pPr>
      <w:numPr>
        <w:numId w:val="28"/>
      </w:numPr>
      <w:spacing w:before="240" w:after="120"/>
      <w:outlineLvl w:val="0"/>
    </w:pPr>
    <w:rPr>
      <w:rFonts w:eastAsia="Times New Roman" w:cs="Times New Roman"/>
      <w:b/>
      <w:bCs/>
      <w:kern w:val="36"/>
      <w:sz w:val="28"/>
      <w:szCs w:val="48"/>
      <w:lang w:eastAsia="de-CH"/>
    </w:rPr>
  </w:style>
  <w:style w:type="paragraph" w:styleId="berschrift2">
    <w:name w:val="heading 2"/>
    <w:basedOn w:val="berschrift1"/>
    <w:link w:val="berschrift2Zchn"/>
    <w:autoRedefine/>
    <w:uiPriority w:val="9"/>
    <w:qFormat/>
    <w:rsid w:val="00EA3AB9"/>
    <w:pPr>
      <w:numPr>
        <w:ilvl w:val="1"/>
      </w:numPr>
      <w:outlineLvl w:val="1"/>
    </w:pPr>
    <w:rPr>
      <w:sz w:val="24"/>
    </w:rPr>
  </w:style>
  <w:style w:type="paragraph" w:styleId="berschrift3">
    <w:name w:val="heading 3"/>
    <w:basedOn w:val="berschrift2"/>
    <w:next w:val="Standard"/>
    <w:link w:val="berschrift3Zchn"/>
    <w:uiPriority w:val="9"/>
    <w:unhideWhenUsed/>
    <w:qFormat/>
    <w:rsid w:val="00EA3AB9"/>
    <w:pPr>
      <w:numPr>
        <w:ilvl w:val="2"/>
      </w:numPr>
      <w:outlineLvl w:val="2"/>
    </w:pPr>
    <w:rPr>
      <w:sz w:val="20"/>
    </w:rPr>
  </w:style>
  <w:style w:type="paragraph" w:styleId="berschrift4">
    <w:name w:val="heading 4"/>
    <w:basedOn w:val="berschrift3"/>
    <w:next w:val="Standard"/>
    <w:link w:val="berschrift4Zchn"/>
    <w:uiPriority w:val="9"/>
    <w:unhideWhenUsed/>
    <w:rsid w:val="00EA3AB9"/>
    <w:pPr>
      <w:numPr>
        <w:ilvl w:val="3"/>
      </w:numPr>
      <w:outlineLvl w:val="3"/>
    </w:pPr>
  </w:style>
  <w:style w:type="paragraph" w:styleId="berschrift5">
    <w:name w:val="heading 5"/>
    <w:basedOn w:val="berschrift4"/>
    <w:next w:val="Standard"/>
    <w:link w:val="berschrift5Zchn"/>
    <w:uiPriority w:val="9"/>
    <w:unhideWhenUsed/>
    <w:rsid w:val="00EA3AB9"/>
    <w:pPr>
      <w:numPr>
        <w:ilvl w:val="4"/>
      </w:numPr>
      <w:outlineLvl w:val="4"/>
    </w:pPr>
  </w:style>
  <w:style w:type="paragraph" w:styleId="berschrift6">
    <w:name w:val="heading 6"/>
    <w:basedOn w:val="Standard"/>
    <w:next w:val="Standard"/>
    <w:link w:val="berschrift6Zchn"/>
    <w:uiPriority w:val="9"/>
    <w:semiHidden/>
    <w:unhideWhenUsed/>
    <w:rsid w:val="00EA3AB9"/>
    <w:pPr>
      <w:keepNext/>
      <w:keepLines/>
      <w:numPr>
        <w:ilvl w:val="5"/>
        <w:numId w:val="28"/>
      </w:numPr>
      <w:spacing w:before="40" w:after="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unhideWhenUsed/>
    <w:qFormat/>
    <w:rsid w:val="00EA3AB9"/>
    <w:pPr>
      <w:keepNext/>
      <w:keepLines/>
      <w:numPr>
        <w:ilvl w:val="6"/>
        <w:numId w:val="28"/>
      </w:numPr>
      <w:spacing w:before="40" w:after="0"/>
      <w:outlineLvl w:val="6"/>
    </w:pPr>
    <w:rPr>
      <w:rFonts w:asciiTheme="majorHAnsi" w:eastAsiaTheme="majorEastAsia" w:hAnsiTheme="majorHAnsi" w:cstheme="majorBidi"/>
      <w:i/>
      <w:iCs/>
      <w:color w:val="74280B" w:themeColor="accent1" w:themeShade="7F"/>
    </w:rPr>
  </w:style>
  <w:style w:type="paragraph" w:styleId="berschrift8">
    <w:name w:val="heading 8"/>
    <w:basedOn w:val="Standard"/>
    <w:next w:val="Standard"/>
    <w:link w:val="berschrift8Zchn"/>
    <w:uiPriority w:val="9"/>
    <w:semiHidden/>
    <w:unhideWhenUsed/>
    <w:qFormat/>
    <w:rsid w:val="00EA3AB9"/>
    <w:pPr>
      <w:keepNext/>
      <w:keepLines/>
      <w:numPr>
        <w:ilvl w:val="7"/>
        <w:numId w:val="28"/>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A3AB9"/>
    <w:pPr>
      <w:keepNext/>
      <w:keepLines/>
      <w:numPr>
        <w:ilvl w:val="8"/>
        <w:numId w:val="2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Buchtitel">
    <w:name w:val="Book Title"/>
    <w:basedOn w:val="Absatz-Standardschriftart"/>
    <w:uiPriority w:val="33"/>
    <w:semiHidden/>
    <w:rsid w:val="00EA3AB9"/>
    <w:rPr>
      <w:b/>
      <w:bCs/>
      <w:smallCaps/>
      <w:spacing w:val="5"/>
    </w:rPr>
  </w:style>
  <w:style w:type="character" w:styleId="Fett">
    <w:name w:val="Strong"/>
    <w:basedOn w:val="Absatz-Standardschriftart"/>
    <w:uiPriority w:val="22"/>
    <w:qFormat/>
    <w:rsid w:val="00EA3AB9"/>
    <w:rPr>
      <w:b/>
      <w:bCs/>
    </w:rPr>
  </w:style>
  <w:style w:type="paragraph" w:styleId="Fuzeile">
    <w:name w:val="footer"/>
    <w:basedOn w:val="Standard"/>
    <w:link w:val="FuzeileZchn"/>
    <w:uiPriority w:val="99"/>
    <w:unhideWhenUsed/>
    <w:rsid w:val="00EA3AB9"/>
    <w:pPr>
      <w:tabs>
        <w:tab w:val="center" w:pos="4820"/>
        <w:tab w:val="right" w:pos="9639"/>
      </w:tabs>
      <w:spacing w:after="0"/>
    </w:pPr>
  </w:style>
  <w:style w:type="character" w:customStyle="1" w:styleId="FuzeileZchn">
    <w:name w:val="Fußzeile Zchn"/>
    <w:basedOn w:val="Absatz-Standardschriftart"/>
    <w:link w:val="Fuzeile"/>
    <w:uiPriority w:val="99"/>
    <w:rsid w:val="00EA3AB9"/>
  </w:style>
  <w:style w:type="character" w:styleId="Hervorhebung">
    <w:name w:val="Emphasis"/>
    <w:basedOn w:val="Absatz-Standardschriftart"/>
    <w:uiPriority w:val="20"/>
    <w:qFormat/>
    <w:rsid w:val="00EA3AB9"/>
    <w:rPr>
      <w:i/>
      <w:iCs/>
    </w:rPr>
  </w:style>
  <w:style w:type="character" w:styleId="Hyperlink">
    <w:name w:val="Hyperlink"/>
    <w:basedOn w:val="Absatz-Standardschriftart"/>
    <w:uiPriority w:val="99"/>
    <w:unhideWhenUsed/>
    <w:rsid w:val="00EA3AB9"/>
    <w:rPr>
      <w:color w:val="0563C1" w:themeColor="hyperlink"/>
      <w:u w:val="single"/>
    </w:rPr>
  </w:style>
  <w:style w:type="character" w:customStyle="1" w:styleId="berschrift1Zchn">
    <w:name w:val="Überschrift 1 Zchn"/>
    <w:basedOn w:val="Absatz-Standardschriftart"/>
    <w:link w:val="berschrift1"/>
    <w:uiPriority w:val="9"/>
    <w:rsid w:val="00EA3AB9"/>
    <w:rPr>
      <w:rFonts w:eastAsia="Times New Roman" w:cs="Times New Roman"/>
      <w:b/>
      <w:bCs/>
      <w:kern w:val="36"/>
      <w:sz w:val="28"/>
      <w:szCs w:val="48"/>
      <w:lang w:eastAsia="de-CH"/>
    </w:rPr>
  </w:style>
  <w:style w:type="paragraph" w:styleId="Inhaltsverzeichnisberschrift">
    <w:name w:val="TOC Heading"/>
    <w:basedOn w:val="berschrift1"/>
    <w:next w:val="Standard"/>
    <w:uiPriority w:val="39"/>
    <w:unhideWhenUsed/>
    <w:qFormat/>
    <w:rsid w:val="00EA3AB9"/>
    <w:pPr>
      <w:keepNext/>
      <w:keepLines/>
      <w:numPr>
        <w:numId w:val="0"/>
      </w:numPr>
      <w:spacing w:before="480" w:after="0" w:line="276" w:lineRule="auto"/>
      <w:outlineLvl w:val="9"/>
    </w:pPr>
    <w:rPr>
      <w:rFonts w:asciiTheme="majorHAnsi" w:eastAsiaTheme="majorEastAsia" w:hAnsiTheme="majorHAnsi" w:cstheme="majorBidi"/>
      <w:kern w:val="0"/>
      <w:szCs w:val="28"/>
    </w:rPr>
  </w:style>
  <w:style w:type="character" w:styleId="IntensiveHervorhebung">
    <w:name w:val="Intense Emphasis"/>
    <w:basedOn w:val="Absatz-Standardschriftart"/>
    <w:uiPriority w:val="21"/>
    <w:qFormat/>
    <w:rsid w:val="00EA3AB9"/>
    <w:rPr>
      <w:b/>
      <w:bCs/>
      <w:i w:val="0"/>
      <w:iCs/>
      <w:color w:val="E8531A" w:themeColor="accent1"/>
    </w:rPr>
  </w:style>
  <w:style w:type="paragraph" w:styleId="IntensivesZitat">
    <w:name w:val="Intense Quote"/>
    <w:basedOn w:val="Standard"/>
    <w:next w:val="Standard"/>
    <w:link w:val="IntensivesZitatZchn"/>
    <w:uiPriority w:val="30"/>
    <w:qFormat/>
    <w:rsid w:val="00EA3AB9"/>
    <w:pPr>
      <w:spacing w:before="200" w:after="280"/>
      <w:ind w:left="936" w:right="936"/>
    </w:pPr>
    <w:rPr>
      <w:bCs/>
      <w:i/>
      <w:iCs/>
    </w:rPr>
  </w:style>
  <w:style w:type="character" w:customStyle="1" w:styleId="IntensivesZitatZchn">
    <w:name w:val="Intensives Zitat Zchn"/>
    <w:basedOn w:val="Absatz-Standardschriftart"/>
    <w:link w:val="IntensivesZitat"/>
    <w:uiPriority w:val="30"/>
    <w:rsid w:val="00EA3AB9"/>
    <w:rPr>
      <w:bCs/>
      <w:i/>
      <w:iCs/>
    </w:rPr>
  </w:style>
  <w:style w:type="paragraph" w:styleId="KeinLeerraum">
    <w:name w:val="No Spacing"/>
    <w:uiPriority w:val="1"/>
    <w:qFormat/>
    <w:rsid w:val="00EA3AB9"/>
    <w:pPr>
      <w:spacing w:after="0"/>
    </w:pPr>
  </w:style>
  <w:style w:type="paragraph" w:styleId="Kopfzeile">
    <w:name w:val="header"/>
    <w:basedOn w:val="Standard"/>
    <w:link w:val="KopfzeileZchn"/>
    <w:uiPriority w:val="99"/>
    <w:unhideWhenUsed/>
    <w:rsid w:val="00EA3AB9"/>
    <w:pPr>
      <w:tabs>
        <w:tab w:val="center" w:pos="4820"/>
        <w:tab w:val="right" w:pos="9639"/>
      </w:tabs>
      <w:spacing w:after="0"/>
    </w:pPr>
  </w:style>
  <w:style w:type="character" w:customStyle="1" w:styleId="KopfzeileZchn">
    <w:name w:val="Kopfzeile Zchn"/>
    <w:basedOn w:val="Absatz-Standardschriftart"/>
    <w:link w:val="Kopfzeile"/>
    <w:uiPriority w:val="99"/>
    <w:rsid w:val="00EA3AB9"/>
  </w:style>
  <w:style w:type="paragraph" w:styleId="Listenabsatz">
    <w:name w:val="List Paragraph"/>
    <w:basedOn w:val="Standard"/>
    <w:uiPriority w:val="34"/>
    <w:semiHidden/>
    <w:qFormat/>
    <w:rsid w:val="00EA3AB9"/>
    <w:pPr>
      <w:ind w:left="284"/>
      <w:contextualSpacing/>
    </w:pPr>
    <w:rPr>
      <w:rFonts w:eastAsiaTheme="minorEastAsia"/>
      <w:lang w:eastAsia="de-CH"/>
    </w:rPr>
  </w:style>
  <w:style w:type="character" w:styleId="Platzhaltertext">
    <w:name w:val="Placeholder Text"/>
    <w:basedOn w:val="Absatz-Standardschriftart"/>
    <w:uiPriority w:val="99"/>
    <w:semiHidden/>
    <w:rsid w:val="00EA3AB9"/>
    <w:rPr>
      <w:color w:val="808080"/>
    </w:rPr>
  </w:style>
  <w:style w:type="character" w:styleId="SchwacheHervorhebung">
    <w:name w:val="Subtle Emphasis"/>
    <w:basedOn w:val="Absatz-Standardschriftart"/>
    <w:uiPriority w:val="19"/>
    <w:qFormat/>
    <w:rsid w:val="00EA3AB9"/>
    <w:rPr>
      <w:i/>
      <w:iCs/>
      <w:color w:val="808080" w:themeColor="text1" w:themeTint="7F"/>
    </w:rPr>
  </w:style>
  <w:style w:type="paragraph" w:styleId="Sprechblasentext">
    <w:name w:val="Balloon Text"/>
    <w:basedOn w:val="Standard"/>
    <w:link w:val="SprechblasentextZchn"/>
    <w:uiPriority w:val="99"/>
    <w:semiHidden/>
    <w:unhideWhenUsed/>
    <w:rsid w:val="00EA3AB9"/>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A3AB9"/>
    <w:rPr>
      <w:rFonts w:ascii="Tahoma" w:hAnsi="Tahoma" w:cs="Tahoma"/>
      <w:sz w:val="16"/>
      <w:szCs w:val="16"/>
    </w:rPr>
  </w:style>
  <w:style w:type="table" w:styleId="Tabellenraster">
    <w:name w:val="Table Grid"/>
    <w:basedOn w:val="NormaleTabelle"/>
    <w:uiPriority w:val="59"/>
    <w:rsid w:val="00EA3A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4"/>
    <w:qFormat/>
    <w:rsid w:val="00EA3AB9"/>
    <w:pPr>
      <w:spacing w:after="360"/>
      <w:contextualSpacing/>
    </w:pPr>
    <w:rPr>
      <w:rFonts w:eastAsiaTheme="majorEastAsia" w:cstheme="majorBidi"/>
      <w:b/>
      <w:spacing w:val="5"/>
      <w:kern w:val="28"/>
      <w:sz w:val="36"/>
      <w:szCs w:val="52"/>
    </w:rPr>
  </w:style>
  <w:style w:type="character" w:customStyle="1" w:styleId="TitelZchn">
    <w:name w:val="Titel Zchn"/>
    <w:basedOn w:val="Absatz-Standardschriftart"/>
    <w:link w:val="Titel"/>
    <w:uiPriority w:val="4"/>
    <w:rsid w:val="00EA3AB9"/>
    <w:rPr>
      <w:rFonts w:eastAsiaTheme="majorEastAsia" w:cstheme="majorBidi"/>
      <w:b/>
      <w:spacing w:val="5"/>
      <w:kern w:val="28"/>
      <w:sz w:val="36"/>
      <w:szCs w:val="52"/>
    </w:rPr>
  </w:style>
  <w:style w:type="table" w:customStyle="1" w:styleId="Trafag">
    <w:name w:val="Trafag"/>
    <w:basedOn w:val="NormaleTabelle"/>
    <w:uiPriority w:val="99"/>
    <w:rsid w:val="00EA3AB9"/>
    <w:pPr>
      <w:spacing w:after="0"/>
    </w:pPr>
    <w:tblPr>
      <w:tblStyleRowBandSize w:val="1"/>
      <w:tblStyleColBandSize w:val="1"/>
      <w:tblBorders>
        <w:top w:val="single" w:sz="18" w:space="0" w:color="E8531A" w:themeColor="accent1"/>
        <w:bottom w:val="single" w:sz="18" w:space="0" w:color="E8531A" w:themeColor="accent1"/>
      </w:tblBorders>
    </w:tblPr>
    <w:tblStylePr w:type="firstRow">
      <w:rPr>
        <w:b/>
        <w:color w:val="E8531A" w:themeColor="accent1"/>
      </w:rPr>
      <w:tblPr/>
      <w:tcPr>
        <w:tcBorders>
          <w:top w:val="single" w:sz="18" w:space="0" w:color="E8531A" w:themeColor="accent1"/>
          <w:left w:val="nil"/>
          <w:bottom w:val="single" w:sz="12" w:space="0" w:color="E8531A" w:themeColor="accent1"/>
          <w:right w:val="nil"/>
        </w:tcBorders>
      </w:tcPr>
    </w:tblStylePr>
    <w:tblStylePr w:type="lastRow">
      <w:rPr>
        <w:b/>
        <w:color w:val="auto"/>
      </w:rPr>
      <w:tblPr/>
      <w:tcPr>
        <w:tcBorders>
          <w:top w:val="single" w:sz="12" w:space="0" w:color="E8531A" w:themeColor="accent1"/>
          <w:bottom w:val="single" w:sz="18" w:space="0" w:color="E8531A" w:themeColor="accent1"/>
        </w:tcBorders>
      </w:tcPr>
    </w:tblStylePr>
    <w:tblStylePr w:type="firstCol">
      <w:rPr>
        <w:b w:val="0"/>
      </w:rPr>
    </w:tblStylePr>
    <w:tblStylePr w:type="lastCol">
      <w:rPr>
        <w:b/>
      </w:rPr>
    </w:tblStylePr>
    <w:tblStylePr w:type="band1Vert">
      <w:tblPr/>
      <w:tcPr>
        <w:shd w:val="clear" w:color="auto" w:fill="E7E7E7"/>
      </w:tcPr>
    </w:tblStylePr>
    <w:tblStylePr w:type="band1Horz">
      <w:tblPr/>
      <w:tcPr>
        <w:shd w:val="clear" w:color="auto" w:fill="E7E7E7"/>
      </w:tcPr>
    </w:tblStylePr>
  </w:style>
  <w:style w:type="character" w:customStyle="1" w:styleId="berschrift2Zchn">
    <w:name w:val="Überschrift 2 Zchn"/>
    <w:basedOn w:val="Absatz-Standardschriftart"/>
    <w:link w:val="berschrift2"/>
    <w:uiPriority w:val="9"/>
    <w:rsid w:val="00EA3AB9"/>
    <w:rPr>
      <w:rFonts w:eastAsia="Times New Roman" w:cs="Times New Roman"/>
      <w:b/>
      <w:bCs/>
      <w:kern w:val="36"/>
      <w:sz w:val="24"/>
      <w:szCs w:val="48"/>
      <w:lang w:eastAsia="de-CH"/>
    </w:rPr>
  </w:style>
  <w:style w:type="character" w:customStyle="1" w:styleId="berschrift3Zchn">
    <w:name w:val="Überschrift 3 Zchn"/>
    <w:basedOn w:val="Absatz-Standardschriftart"/>
    <w:link w:val="berschrift3"/>
    <w:uiPriority w:val="9"/>
    <w:rsid w:val="00EA3AB9"/>
    <w:rPr>
      <w:rFonts w:eastAsia="Times New Roman" w:cs="Times New Roman"/>
      <w:b/>
      <w:bCs/>
      <w:kern w:val="36"/>
      <w:szCs w:val="48"/>
      <w:lang w:eastAsia="de-CH"/>
    </w:rPr>
  </w:style>
  <w:style w:type="character" w:customStyle="1" w:styleId="berschrift4Zchn">
    <w:name w:val="Überschrift 4 Zchn"/>
    <w:basedOn w:val="Absatz-Standardschriftart"/>
    <w:link w:val="berschrift4"/>
    <w:uiPriority w:val="9"/>
    <w:rsid w:val="00EA3AB9"/>
    <w:rPr>
      <w:rFonts w:eastAsia="Times New Roman" w:cs="Times New Roman"/>
      <w:b/>
      <w:bCs/>
      <w:kern w:val="36"/>
      <w:szCs w:val="48"/>
      <w:lang w:eastAsia="de-CH"/>
    </w:rPr>
  </w:style>
  <w:style w:type="character" w:customStyle="1" w:styleId="berschrift5Zchn">
    <w:name w:val="Überschrift 5 Zchn"/>
    <w:basedOn w:val="Absatz-Standardschriftart"/>
    <w:link w:val="berschrift5"/>
    <w:uiPriority w:val="9"/>
    <w:rsid w:val="00EA3AB9"/>
    <w:rPr>
      <w:rFonts w:eastAsia="Times New Roman" w:cs="Times New Roman"/>
      <w:b/>
      <w:bCs/>
      <w:kern w:val="36"/>
      <w:szCs w:val="48"/>
      <w:lang w:eastAsia="de-CH"/>
    </w:rPr>
  </w:style>
  <w:style w:type="character" w:customStyle="1" w:styleId="berschrift6Zchn">
    <w:name w:val="Überschrift 6 Zchn"/>
    <w:basedOn w:val="Absatz-Standardschriftart"/>
    <w:link w:val="berschrift6"/>
    <w:uiPriority w:val="9"/>
    <w:semiHidden/>
    <w:rsid w:val="00EA3AB9"/>
    <w:rPr>
      <w:rFonts w:asciiTheme="majorHAnsi" w:eastAsiaTheme="majorEastAsia" w:hAnsiTheme="majorHAnsi" w:cstheme="majorBidi"/>
    </w:rPr>
  </w:style>
  <w:style w:type="paragraph" w:styleId="Untertitel">
    <w:name w:val="Subtitle"/>
    <w:basedOn w:val="Inhaltsverzeichnisberschrift"/>
    <w:next w:val="Standard"/>
    <w:link w:val="UntertitelZchn"/>
    <w:uiPriority w:val="4"/>
    <w:qFormat/>
    <w:rsid w:val="00EA3AB9"/>
    <w:pPr>
      <w:spacing w:before="280" w:after="280" w:line="240" w:lineRule="auto"/>
    </w:pPr>
  </w:style>
  <w:style w:type="character" w:customStyle="1" w:styleId="UntertitelZchn">
    <w:name w:val="Untertitel Zchn"/>
    <w:basedOn w:val="Absatz-Standardschriftart"/>
    <w:link w:val="Untertitel"/>
    <w:uiPriority w:val="4"/>
    <w:rsid w:val="00EA3AB9"/>
    <w:rPr>
      <w:rFonts w:asciiTheme="majorHAnsi" w:eastAsiaTheme="majorEastAsia" w:hAnsiTheme="majorHAnsi" w:cstheme="majorBidi"/>
      <w:b/>
      <w:bCs/>
      <w:sz w:val="28"/>
      <w:szCs w:val="28"/>
      <w:lang w:eastAsia="de-CH"/>
    </w:rPr>
  </w:style>
  <w:style w:type="paragraph" w:styleId="Verzeichnis1">
    <w:name w:val="toc 1"/>
    <w:basedOn w:val="Standard"/>
    <w:next w:val="Standard"/>
    <w:autoRedefine/>
    <w:uiPriority w:val="39"/>
    <w:unhideWhenUsed/>
    <w:rsid w:val="00EA3AB9"/>
    <w:pPr>
      <w:spacing w:after="100"/>
    </w:pPr>
    <w:rPr>
      <w:b/>
    </w:rPr>
  </w:style>
  <w:style w:type="paragraph" w:styleId="Verzeichnis2">
    <w:name w:val="toc 2"/>
    <w:basedOn w:val="Standard"/>
    <w:next w:val="Standard"/>
    <w:autoRedefine/>
    <w:uiPriority w:val="39"/>
    <w:unhideWhenUsed/>
    <w:rsid w:val="00EA3AB9"/>
    <w:pPr>
      <w:tabs>
        <w:tab w:val="left" w:pos="851"/>
        <w:tab w:val="right" w:leader="dot" w:pos="9639"/>
      </w:tabs>
      <w:spacing w:after="100"/>
      <w:ind w:left="426"/>
      <w:contextualSpacing/>
    </w:pPr>
  </w:style>
  <w:style w:type="paragraph" w:styleId="Verzeichnis3">
    <w:name w:val="toc 3"/>
    <w:basedOn w:val="Standard"/>
    <w:next w:val="Standard"/>
    <w:autoRedefine/>
    <w:uiPriority w:val="39"/>
    <w:unhideWhenUsed/>
    <w:rsid w:val="00EA3AB9"/>
    <w:pPr>
      <w:tabs>
        <w:tab w:val="left" w:pos="1418"/>
        <w:tab w:val="right" w:leader="dot" w:pos="9639"/>
      </w:tabs>
      <w:spacing w:after="120"/>
      <w:ind w:left="851"/>
      <w:contextualSpacing/>
    </w:pPr>
  </w:style>
  <w:style w:type="paragraph" w:styleId="Zitat">
    <w:name w:val="Quote"/>
    <w:basedOn w:val="Standard"/>
    <w:next w:val="Standard"/>
    <w:link w:val="ZitatZchn"/>
    <w:uiPriority w:val="29"/>
    <w:qFormat/>
    <w:rsid w:val="00EA3AB9"/>
    <w:rPr>
      <w:i/>
      <w:iCs/>
      <w:color w:val="000000" w:themeColor="text1"/>
    </w:rPr>
  </w:style>
  <w:style w:type="character" w:customStyle="1" w:styleId="ZitatZchn">
    <w:name w:val="Zitat Zchn"/>
    <w:basedOn w:val="Absatz-Standardschriftart"/>
    <w:link w:val="Zitat"/>
    <w:uiPriority w:val="29"/>
    <w:rsid w:val="00EA3AB9"/>
    <w:rPr>
      <w:i/>
      <w:iCs/>
      <w:color w:val="000000" w:themeColor="text1"/>
    </w:rPr>
  </w:style>
  <w:style w:type="character" w:styleId="IntensiverVerweis">
    <w:name w:val="Intense Reference"/>
    <w:basedOn w:val="Absatz-Standardschriftart"/>
    <w:uiPriority w:val="32"/>
    <w:rsid w:val="00EA3AB9"/>
    <w:rPr>
      <w:b/>
      <w:bCs/>
      <w:smallCaps/>
      <w:color w:val="E8531A" w:themeColor="accent1"/>
      <w:spacing w:val="5"/>
    </w:rPr>
  </w:style>
  <w:style w:type="paragraph" w:styleId="Aufzhlungszeichen">
    <w:name w:val="List Bullet"/>
    <w:basedOn w:val="Standard"/>
    <w:uiPriority w:val="2"/>
    <w:qFormat/>
    <w:rsid w:val="00EA3AB9"/>
    <w:pPr>
      <w:numPr>
        <w:numId w:val="20"/>
      </w:numPr>
      <w:spacing w:after="0"/>
      <w:contextualSpacing/>
    </w:pPr>
  </w:style>
  <w:style w:type="paragraph" w:styleId="Aufzhlungszeichen2">
    <w:name w:val="List Bullet 2"/>
    <w:basedOn w:val="Standard"/>
    <w:uiPriority w:val="2"/>
    <w:rsid w:val="00EA3AB9"/>
    <w:pPr>
      <w:numPr>
        <w:ilvl w:val="1"/>
        <w:numId w:val="20"/>
      </w:numPr>
      <w:spacing w:after="0"/>
      <w:contextualSpacing/>
    </w:pPr>
  </w:style>
  <w:style w:type="paragraph" w:styleId="Aufzhlungszeichen3">
    <w:name w:val="List Bullet 3"/>
    <w:basedOn w:val="Standard"/>
    <w:uiPriority w:val="2"/>
    <w:rsid w:val="00EA3AB9"/>
    <w:pPr>
      <w:numPr>
        <w:ilvl w:val="2"/>
        <w:numId w:val="20"/>
      </w:numPr>
      <w:contextualSpacing/>
    </w:pPr>
  </w:style>
  <w:style w:type="numbering" w:customStyle="1" w:styleId="ListeAuf">
    <w:name w:val="Liste_Auf"/>
    <w:basedOn w:val="KeineListe"/>
    <w:uiPriority w:val="99"/>
    <w:rsid w:val="00EA3AB9"/>
    <w:pPr>
      <w:numPr>
        <w:numId w:val="1"/>
      </w:numPr>
    </w:pPr>
  </w:style>
  <w:style w:type="character" w:customStyle="1" w:styleId="berschrift7Zchn">
    <w:name w:val="Überschrift 7 Zchn"/>
    <w:basedOn w:val="Absatz-Standardschriftart"/>
    <w:link w:val="berschrift7"/>
    <w:uiPriority w:val="9"/>
    <w:semiHidden/>
    <w:rsid w:val="00EA3AB9"/>
    <w:rPr>
      <w:rFonts w:asciiTheme="majorHAnsi" w:eastAsiaTheme="majorEastAsia" w:hAnsiTheme="majorHAnsi" w:cstheme="majorBidi"/>
      <w:i/>
      <w:iCs/>
      <w:color w:val="74280B" w:themeColor="accent1" w:themeShade="7F"/>
    </w:rPr>
  </w:style>
  <w:style w:type="character" w:customStyle="1" w:styleId="berschrift8Zchn">
    <w:name w:val="Überschrift 8 Zchn"/>
    <w:basedOn w:val="Absatz-Standardschriftart"/>
    <w:link w:val="berschrift8"/>
    <w:uiPriority w:val="9"/>
    <w:semiHidden/>
    <w:rsid w:val="00EA3AB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A3AB9"/>
    <w:rPr>
      <w:rFonts w:asciiTheme="majorHAnsi" w:eastAsiaTheme="majorEastAsia" w:hAnsiTheme="majorHAnsi" w:cstheme="majorBidi"/>
      <w:i/>
      <w:iCs/>
      <w:color w:val="272727" w:themeColor="text1" w:themeTint="D8"/>
      <w:sz w:val="21"/>
      <w:szCs w:val="21"/>
    </w:rPr>
  </w:style>
  <w:style w:type="paragraph" w:customStyle="1" w:styleId="Absender">
    <w:name w:val="Absender"/>
    <w:basedOn w:val="Standard"/>
    <w:next w:val="Standard"/>
    <w:qFormat/>
    <w:rsid w:val="00EA3AB9"/>
    <w:pPr>
      <w:spacing w:after="0" w:line="280" w:lineRule="atLeast"/>
    </w:pPr>
    <w:rPr>
      <w:sz w:val="18"/>
    </w:rPr>
  </w:style>
  <w:style w:type="character" w:styleId="NichtaufgelsteErwhnung">
    <w:name w:val="Unresolved Mention"/>
    <w:basedOn w:val="Absatz-Standardschriftart"/>
    <w:uiPriority w:val="99"/>
    <w:semiHidden/>
    <w:unhideWhenUsed/>
    <w:rsid w:val="00EA3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rafag">
  <a:themeElements>
    <a:clrScheme name="Trafag_Colors">
      <a:dk1>
        <a:sysClr val="windowText" lastClr="000000"/>
      </a:dk1>
      <a:lt1>
        <a:sysClr val="window" lastClr="FFFFFF"/>
      </a:lt1>
      <a:dk2>
        <a:srgbClr val="694217"/>
      </a:dk2>
      <a:lt2>
        <a:srgbClr val="ACACAC"/>
      </a:lt2>
      <a:accent1>
        <a:srgbClr val="E8531A"/>
      </a:accent1>
      <a:accent2>
        <a:srgbClr val="70BDDC"/>
      </a:accent2>
      <a:accent3>
        <a:srgbClr val="415EA1"/>
      </a:accent3>
      <a:accent4>
        <a:srgbClr val="DABF3B"/>
      </a:accent4>
      <a:accent5>
        <a:srgbClr val="588E5C"/>
      </a:accent5>
      <a:accent6>
        <a:srgbClr val="9E292E"/>
      </a:accent6>
      <a:hlink>
        <a:srgbClr val="0563C1"/>
      </a:hlink>
      <a:folHlink>
        <a:srgbClr val="954F72"/>
      </a:folHlink>
    </a:clrScheme>
    <a:fontScheme name="Trafag_Fonts">
      <a:majorFont>
        <a:latin typeface="Arial Narrow"/>
        <a:ea typeface=""/>
        <a:cs typeface=""/>
      </a:majorFont>
      <a:minorFont>
        <a:latin typeface="Arial Narr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lumMod val="40000"/>
            <a:lumOff val="60000"/>
          </a:schemeClr>
        </a:solidFill>
        <a:ln w="19050">
          <a:solidFill>
            <a:schemeClr val="accent1"/>
          </a:solidFill>
        </a:ln>
      </a:spPr>
      <a:bodyPr rtlCol="0" anchor="ctr"/>
      <a:lstStyle>
        <a:defPPr algn="ctr">
          <a:defRPr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rafag" id="{CEE7660A-DEB3-4363-A2EE-B1A5E9AC1643}" vid="{DE75637C-26F9-4F26-92B9-2DE9C4854E76}"/>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589</Words>
  <Characters>3736</Characters>
  <Application>Microsoft Office Word</Application>
  <DocSecurity>0</DocSecurity>
  <Lines>86</Lines>
  <Paragraphs>45</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Kohler, Ingo</dc:creator>
  <cp:keywords/>
  <dc:description/>
  <cp:lastModifiedBy>Kohler, Ingo</cp:lastModifiedBy>
  <cp:revision>2</cp:revision>
  <cp:lastPrinted>2026-07-30T09:06:00Z</cp:lastPrinted>
  <dcterms:created xsi:type="dcterms:W3CDTF">2026-07-30T09:06:00Z</dcterms:created>
  <dcterms:modified xsi:type="dcterms:W3CDTF">2026-07-30T09:06:00Z</dcterms:modified>
</cp:coreProperties>
</file>