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eab6c0dfec3a4ac4" /></Relationships>
</file>

<file path=word/document.xml><?xml version="1.0" encoding="utf-8"?>
<w:document xmlns:w="http://schemas.openxmlformats.org/wordprocessingml/2006/main">
  <w:body>
    <w:p>
      <w:pPr>
        <w:pStyle w:val="Title"/>
      </w:pPr>
      <w:r>
        <w:rPr/>
        <w:t xml:space="preserve">Wochen-Todo – Erläuterungen</w:t>
      </w:r>
    </w:p>
    <w:p>
      <w:pPr>
        <w:pStyle w:val="Subtitle"/>
      </w:pPr>
      <w:r>
        <w:rPr/>
        <w:t xml:space="preserve">Stand 02.09.2026 · 24 nicht erledigte Punkte</w:t>
      </w:r>
    </w:p>
    <w:p>
      <w:pPr>
        <w:pStyle w:val="Intro"/>
      </w:pPr>
      <w:r>
        <w:rPr/>
        <w:t xml:space="preserve">Dieses Dokument erläutert ausschließlich die aktuell nicht erledigten Einträge aus Wochen_Todo. Jeder Punkt beschreibt den Hintergrund, den erforderlichen Entscheid beziehungsweise Arbeitsschritt und ein eindeutiges Abschlusskriterium.</w:t>
      </w:r>
    </w:p>
    <w:p>
      <w:pPr>
        <w:pStyle w:val="Heading1"/>
      </w:pPr>
      <w:r>
        <w:rPr/>
        <w:t xml:space="preserve">Themenübersicht</w:t>
      </w:r>
    </w:p>
    <w:p>
      <w:pPr>
        <w:pStyle w:val="BodyText"/>
        <w:numPr>
          <w:ilvl w:val="0"/>
          <w:numId w:val="1"/>
        </w:numPr>
      </w:pPr>
      <w:r>
        <w:t>Finance: 12 Punkt(e)</w:t>
      </w:r>
    </w:p>
    <w:p>
      <w:pPr>
        <w:pStyle w:val="BodyText"/>
        <w:numPr>
          <w:ilvl w:val="0"/>
          <w:numId w:val="1"/>
        </w:numPr>
      </w:pPr>
      <w:r>
        <w:t>SAP: 5 Punkt(e)</w:t>
      </w:r>
    </w:p>
    <w:p>
      <w:pPr>
        <w:pStyle w:val="BodyText"/>
        <w:numPr>
          <w:ilvl w:val="0"/>
          <w:numId w:val="1"/>
        </w:numPr>
      </w:pPr>
      <w:r>
        <w:t>Einkauf: 2 Punkt(e)</w:t>
      </w:r>
    </w:p>
    <w:p>
      <w:pPr>
        <w:pStyle w:val="BodyText"/>
        <w:numPr>
          <w:ilvl w:val="0"/>
          <w:numId w:val="1"/>
        </w:numPr>
      </w:pPr>
      <w:r>
        <w:t>Railway: 3 Punkt(e)</w:t>
      </w:r>
    </w:p>
    <w:p>
      <w:pPr>
        <w:pStyle w:val="BodyText"/>
        <w:numPr>
          <w:ilvl w:val="0"/>
          <w:numId w:val="1"/>
        </w:numPr>
      </w:pPr>
      <w:r>
        <w:t>Marktsegmente: 1 Punkt(e)</w:t>
      </w:r>
    </w:p>
    <w:p>
      <w:pPr>
        <w:pStyle w:val="BodyText"/>
        <w:numPr>
          <w:ilvl w:val="0"/>
          <w:numId w:val="1"/>
        </w:numPr>
      </w:pPr>
      <w:r>
        <w:t>HR: 1 Punkt(e)</w:t>
      </w:r>
    </w:p>
    <w:p>
      <w:pPr>
        <w:pStyle w:val="Heading1"/>
        <w:pageBreakBefore/>
      </w:pPr>
      <w:r>
        <w:rPr/>
        <w:t xml:space="preserve">Finance</w:t>
      </w:r>
    </w:p>
    <w:p>
      <w:pPr>
        <w:pStyle w:val="Heading2"/>
      </w:pPr>
      <w:r>
        <w:rPr/>
        <w:t xml:space="preserve">ISS-001.2 · Datenzufluss TR FR</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FF2CC"/>
            <w:tcMar>
              <w:top w:w="70" w:type="dxa"/>
              <w:left w:w="90" w:type="dxa"/>
              <w:bottom w:w="70" w:type="dxa"/>
              <w:right w:w="90" w:type="dxa"/>
            </w:tcMar>
          </w:tcPr>
          <w:p>
            <w:pPr>
              <w:pStyle w:val="Meta"/>
            </w:pPr>
            <w:r>
              <w:rPr/>
              <w:t>Wartet auf andere</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Frankreich / 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FR</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Hoch, haengt an anderen</w:t>
            </w:r>
          </w:p>
        </w:tc>
      </w:tr>
    </w:tbl>
    <w:p>
      <w:pPr>
        <w:pStyle w:val="BodyText"/>
        <w:keepLines/>
      </w:pPr>
      <w:r>
        <w:rPr>
          <w:b/>
          <w:color w:val="365F91"/>
        </w:rPr>
        <w:t>Worum geht es? </w:t>
      </w:r>
      <w:r>
        <w:t xml:space="preserve">Die französische B1-Quelle enthält seit 30.07.2026 keine neuen Rechnungen oder Lieferscheine, obwohl Aufträge und Wareneingänge weiterlaufen. Die Anwendung exportiert täglich, wiederholt dabei aber nur den alten Stand; die Ursache liegt deshalb im französischen Ausgangs- oder Fakturaprozess.</w:t>
      </w:r>
    </w:p>
    <w:p>
      <w:pPr>
        <w:pStyle w:val="BodyText"/>
        <w:keepLines/>
      </w:pPr>
      <w:r>
        <w:rPr>
          <w:b/>
          <w:color w:val="365F91"/>
        </w:rPr>
        <w:t>Was ist zu tun / zu entscheiden? </w:t>
      </w:r>
      <w:r>
        <w:t xml:space="preserve">Frankreich gezielt fragen, warum Lieferung und Faktura am selben Tag endeten und wann der Rückstand verbucht wird. Den ersten neuen Lauf anschließend auf August-Nachbuchungen und eine plausible Belegfolge prüfen.</w:t>
      </w:r>
    </w:p>
    <w:p>
      <w:pPr>
        <w:pStyle w:val="BodyText"/>
        <w:keepLines/>
      </w:pPr>
      <w:r>
        <w:rPr>
          <w:b/>
          <w:color w:val="365F91"/>
        </w:rPr>
        <w:t>Erledigt, wenn … </w:t>
      </w:r>
      <w:r>
        <w:t xml:space="preserve">Neue französische Fakturen fließen wieder ein und der Rückstand ist entweder nachgebucht oder von Finance ausdrücklich als nicht vorhanden bestätigt.</w:t>
      </w:r>
    </w:p>
    <w:p>
      <w:pPr>
        <w:pBdr>
          <w:bottom w:val="single" w:color="B4C6E7" w:sz="6" w:space="6"/>
        </w:pBdr>
        <w:spacing w:after="100"/>
      </w:pPr>
    </w:p>
    <w:p>
      <w:pPr>
        <w:pStyle w:val="Heading2"/>
      </w:pPr>
      <w:r>
        <w:rPr/>
        <w:t xml:space="preserve">ISS-003.4 · Herstellerregel CH/AT</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FF2CC"/>
            <w:tcMar>
              <w:top w:w="70" w:type="dxa"/>
              <w:left w:w="90" w:type="dxa"/>
              <w:bottom w:w="70" w:type="dxa"/>
              <w:right w:w="90" w:type="dxa"/>
            </w:tcMar>
          </w:tcPr>
          <w:p>
            <w:pPr>
              <w:pStyle w:val="Meta"/>
            </w:pPr>
            <w:r>
              <w:rPr/>
              <w:t>Wartet auf Entscheid</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Andreas</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CH/AT</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Hoch, haengt an anderen</w:t>
            </w:r>
          </w:p>
        </w:tc>
      </w:tr>
    </w:tbl>
    <w:p>
      <w:pPr>
        <w:pStyle w:val="BodyText"/>
        <w:keepLines/>
      </w:pPr>
      <w:r>
        <w:rPr>
          <w:b/>
          <w:color w:val="365F91"/>
        </w:rPr>
        <w:t>Worum geht es? </w:t>
      </w:r>
      <w:r>
        <w:t xml:space="preserve">CH/AT liefern keinen Vorlieferanten. Die Anwendung ordnet Materialien deshalb über MARC/Werk 1100 als intern beziehungsweise TR AG ein. Für rund 5’886 Zeilen gibt es zugleich einen aktiven externen Einkaufsbeleg; offen ist, ob dieser Fremdbezug die pauschale Herstellerregel brechen soll.</w:t>
      </w:r>
    </w:p>
    <w:p>
      <w:pPr>
        <w:pStyle w:val="BodyText"/>
        <w:keepLines/>
      </w:pPr>
      <w:r>
        <w:rPr>
          <w:b/>
          <w:color w:val="365F91"/>
        </w:rPr>
        <w:t>Was ist zu tun / zu entscheiden? </w:t>
      </w:r>
      <w:r>
        <w:t xml:space="preserve">Andreas entscheidet zwischen zwei Regeln: Herstellerregel beibehalten oder bei belegtem Fremdbezug auf extern/lokale Kosten wechseln. Dazu die Stichprobe, besonders F88103 und R13025, und den produktiven Schalter MarcForeignProcurementMode vergleichen. Keine 1’201 Materialien einzeln klassifizieren.</w:t>
      </w:r>
    </w:p>
    <w:p>
      <w:pPr>
        <w:pStyle w:val="BodyText"/>
        <w:keepLines/>
      </w:pPr>
      <w:r>
        <w:rPr>
          <w:b/>
          <w:color w:val="365F91"/>
        </w:rPr>
        <w:t>Erledigt, wenn … </w:t>
      </w:r>
      <w:r>
        <w:t xml:space="preserve">Andreas hat die Regel schriftlich bestätigt, der entsprechende Schalter ist gesetzt und Stichproben zeigen die erwartete Kostenquelle für Eigenfertigung und Handelsware.</w:t>
      </w:r>
    </w:p>
    <w:p>
      <w:pPr>
        <w:pBdr>
          <w:bottom w:val="single" w:color="B4C6E7" w:sz="6" w:space="6"/>
        </w:pBdr>
        <w:spacing w:after="100"/>
      </w:pPr>
    </w:p>
    <w:p>
      <w:pPr>
        <w:pStyle w:val="Heading2"/>
      </w:pPr>
      <w:r>
        <w:rPr/>
        <w:t xml:space="preserve">ISS-009 · Fachfreigabe Gruppenmarge</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Andreas</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Gruppenmarge</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Hoch, haengt an anderen</w:t>
            </w:r>
          </w:p>
        </w:tc>
      </w:tr>
    </w:tbl>
    <w:p>
      <w:pPr>
        <w:pStyle w:val="BodyText"/>
        <w:keepLines/>
      </w:pPr>
      <w:r>
        <w:rPr>
          <w:b/>
          <w:color w:val="365F91"/>
        </w:rPr>
        <w:t>Worum geht es? </w:t>
      </w:r>
      <w:r>
        <w:t xml:space="preserve">Die Gruppenmarge ist technisch vorhanden, bleibt aber eine Prüfsicht. Sie verwendet den Umsatz und die echten Konzern-Herstellkosten der liefernden Gesellschaft. Offene Lieferanten-, Kostenbasis- und Intercompany-Fragen können das Ergebnis noch beeinflussen.</w:t>
      </w:r>
    </w:p>
    <w:p>
      <w:pPr>
        <w:pStyle w:val="BodyText"/>
        <w:keepLines/>
      </w:pPr>
      <w:r>
        <w:rPr>
          <w:b/>
          <w:color w:val="365F91"/>
        </w:rPr>
        <w:t>Was ist zu tun / zu entscheiden? </w:t>
      </w:r>
      <w:r>
        <w:t xml:space="preserve">Andreas prüft anhand des Nachweisblatts Gruppenmarge Details die Klassifikation, Kostenquelle, Währung und offenen Statusfälle. Danach entweder ausdrücklich als führenden Abschlusswert freigeben oder konkrete verbleibende Vorbehalte mit Prüfkriterium nennen.</w:t>
      </w:r>
    </w:p>
    <w:p>
      <w:pPr>
        <w:pStyle w:val="BodyText"/>
        <w:keepLines/>
      </w:pPr>
      <w:r>
        <w:rPr>
          <w:b/>
          <w:color w:val="365F91"/>
        </w:rPr>
        <w:t>Erledigt, wenn … </w:t>
      </w:r>
      <w:r>
        <w:t xml:space="preserve">Eine dokumentierte Finance-Freigabe liegt vor oder alle benannten Vorbehalte sind als eigene, messbare Folgepunkte erfasst; bis dahin bleibt die Kennzahl als Prüfsicht bezeichnet.</w:t>
      </w:r>
    </w:p>
    <w:p>
      <w:pPr>
        <w:pBdr>
          <w:bottom w:val="single" w:color="B4C6E7" w:sz="6" w:space="6"/>
        </w:pBdr>
        <w:spacing w:after="100"/>
      </w:pPr>
    </w:p>
    <w:p>
      <w:pPr>
        <w:pStyle w:val="Heading2"/>
      </w:pPr>
      <w:r>
        <w:rPr/>
        <w:t xml:space="preserve">ISS-010 · Innenumsatz / Doppelzählung</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Andreas</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Abgrenzung</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Hoch, haengt an anderen</w:t>
            </w:r>
          </w:p>
        </w:tc>
      </w:tr>
    </w:tbl>
    <w:p>
      <w:pPr>
        <w:pStyle w:val="BodyText"/>
        <w:keepLines/>
      </w:pPr>
      <w:r>
        <w:rPr>
          <w:b/>
          <w:color w:val="365F91"/>
        </w:rPr>
        <w:t>Worum geht es? </w:t>
      </w:r>
      <w:r>
        <w:t xml:space="preserve">Verkauft eine Trafag-Gesellschaft an eine andere und diese anschließend an den Endkunden, erscheinen in der Summe der Standortumsätze beide Verkäufe. Das ist für eine Standort-Bruttosicht korrekt, für einen konsolidierten Konzern-Außenumsatz jedoch eine Doppelzählung.</w:t>
      </w:r>
    </w:p>
    <w:p>
      <w:pPr>
        <w:pStyle w:val="BodyText"/>
        <w:keepLines/>
      </w:pPr>
      <w:r>
        <w:rPr>
          <w:b/>
          <w:color w:val="365F91"/>
        </w:rPr>
        <w:t>Was ist zu tun / zu entscheiden? </w:t>
      </w:r>
      <w:r>
        <w:t xml:space="preserve">Andreas entscheidet, ob die führende KPI Standortumsätze inklusive IC oder den konsolidierten Außenumsatz zeigen soll. Falls konsolidiert: Konsolidierungskreis und 2nd Party festlegen, interne Kundennummern/Namensmarker bestätigen, Ausnahmen definieren und entscheiden, ob Ist ohne IC den Sollvergleich führt. Die einzelnen DE-/IT-Ausschlüsse dabei vereinheitlichen.</w:t>
      </w:r>
    </w:p>
    <w:p>
      <w:pPr>
        <w:pStyle w:val="BodyText"/>
        <w:keepLines/>
      </w:pPr>
      <w:r>
        <w:rPr>
          <w:b/>
          <w:color w:val="365F91"/>
        </w:rPr>
        <w:t>Erledigt, wenn … </w:t>
      </w:r>
      <w:r>
        <w:t xml:space="preserve">Die offizielle Umsatzdefinition und der Konsolidierungskreis sind dokumentiert; Dashboard-Hauptwert, Ist ohne IC und Sollvergleich folgen derselben freigegebenen Regel.</w:t>
      </w:r>
    </w:p>
    <w:p>
      <w:pPr>
        <w:pBdr>
          <w:bottom w:val="single" w:color="B4C6E7" w:sz="6" w:space="6"/>
        </w:pBdr>
        <w:spacing w:after="100"/>
      </w:pPr>
    </w:p>
    <w:p>
      <w:pPr>
        <w:pStyle w:val="Heading2"/>
      </w:pPr>
      <w:r>
        <w:rPr/>
        <w:t xml:space="preserve">ISS-003.3 · DE/ES ohne Lieferantenfelder</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DE/ES</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Deutschland und Spanien zeigen in allen Lieferantenfeldern 0 %. Das kann eine echte Quelllücke sein, aber UK hat gezeigt, dass vorhandene Lieferantenspalten auch nur im eigenen Mapping fehlen können. Eine vorschnelle Standortanfrage würde deshalb möglicherweise unnötige Pflege auslösen.</w:t>
      </w:r>
    </w:p>
    <w:p>
      <w:pPr>
        <w:pStyle w:val="BodyText"/>
        <w:keepLines/>
      </w:pPr>
      <w:r>
        <w:rPr>
          <w:b/>
          <w:color w:val="365F91"/>
        </w:rPr>
        <w:t>Was ist zu tun / zu entscheiden? </w:t>
      </w:r>
      <w:r>
        <w:t xml:space="preserve">Für DE und ES zuerst Export-SQL, Rohdatei und Import-Mapping spaltenweise vergleichen. Nur wenn die Quelle das Feld tatsächlich nicht liefert, mit einem konkreten Feldbedarf an den jeweiligen Standort gehen.</w:t>
      </w:r>
    </w:p>
    <w:p>
      <w:pPr>
        <w:pStyle w:val="BodyText"/>
        <w:keepLines/>
      </w:pPr>
      <w:r>
        <w:rPr>
          <w:b/>
          <w:color w:val="365F91"/>
        </w:rPr>
        <w:t>Erledigt, wenn … </w:t>
      </w:r>
      <w:r>
        <w:t xml:space="preserve">Für beide Länder ist belegt, ob die Information in der Quelle existiert; vorhandene Felder sind gemappt oder eine echte Quelllücke ist mit Ansprechpartner und vereinbartem nächsten Schritt dokumentiert.</w:t>
      </w:r>
    </w:p>
    <w:p>
      <w:pPr>
        <w:pBdr>
          <w:bottom w:val="single" w:color="B4C6E7" w:sz="6" w:space="6"/>
        </w:pBdr>
        <w:spacing w:after="100"/>
      </w:pPr>
    </w:p>
    <w:p>
      <w:pPr>
        <w:pStyle w:val="Heading2"/>
      </w:pPr>
      <w:r>
        <w:rPr/>
        <w:t xml:space="preserve">ISS-006 · CH/AT Journal, SAP-Set aktivieren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SAP / 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CH/AT</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Das CH/AT-Journal ist in der Anwendung vorbereitet, erhält aber ohne das SAP-OData-EntitySet FinanzJournalSet keine Daten. Die Spezifikation ist vorhanden; offen ist nur die Aktivierung im SAP-System.</w:t>
      </w:r>
    </w:p>
    <w:p>
      <w:pPr>
        <w:pStyle w:val="BodyText"/>
        <w:keepLines/>
      </w:pPr>
      <w:r>
        <w:rPr>
          <w:b/>
          <w:color w:val="365F91"/>
        </w:rPr>
        <w:t>Was ist zu tun / zu entscheiden? </w:t>
      </w:r>
      <w:r>
        <w:t xml:space="preserve">EntitySet in SAP aktivieren. Anschließend produktives $metadata und mindestens eine echte Datenantwort prüfen, danach einen Journal-Import und die Anzeige für CH/AT kontrollieren.</w:t>
      </w:r>
    </w:p>
    <w:p>
      <w:pPr>
        <w:pStyle w:val="BodyText"/>
        <w:keepLines/>
      </w:pPr>
      <w:r>
        <w:rPr>
          <w:b/>
          <w:color w:val="365F91"/>
        </w:rPr>
        <w:t>Erledigt, wenn … </w:t>
      </w:r>
      <w:r>
        <w:t xml:space="preserve">FinanzJournalSet liefert produktiv HTTP 200 mit den erwarteten Feldern und das CH/AT-Journal zeigt einen erfolgreich importierten, plausiblen Datenbestand.</w:t>
      </w:r>
    </w:p>
    <w:p>
      <w:pPr>
        <w:pBdr>
          <w:bottom w:val="single" w:color="B4C6E7" w:sz="6" w:space="6"/>
        </w:pBdr>
        <w:spacing w:after="100"/>
      </w:pPr>
    </w:p>
    <w:p>
      <w:pPr>
        <w:pStyle w:val="Heading2"/>
      </w:pPr>
      <w:r>
        <w:rPr/>
        <w:t xml:space="preserve">ISS-007.1 · TR IT Moving Average</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Paola / 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IT</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Nur terminieren</w:t>
            </w:r>
          </w:p>
        </w:tc>
      </w:tr>
    </w:tbl>
    <w:p>
      <w:pPr>
        <w:pStyle w:val="BodyText"/>
        <w:keepLines/>
      </w:pPr>
      <w:r>
        <w:rPr>
          <w:b/>
          <w:color w:val="365F91"/>
        </w:rPr>
        <w:t>Worum geht es? </w:t>
      </w:r>
      <w:r>
        <w:t xml:space="preserve">Für Italien ist der jüngste positive B1-Belegwert INV1/RIN1.StockPrice aktuell die freigegebene Konzernkostenbasis. Alternativ kann ein Durchschnitt positiver Werte verwendet werden. Offen ist, ob Finance fachlich Moving Average beziehungsweise einen Cost Run bevorzugt.</w:t>
      </w:r>
    </w:p>
    <w:p>
      <w:pPr>
        <w:pStyle w:val="BodyText"/>
        <w:keepLines/>
      </w:pPr>
      <w:r>
        <w:rPr>
          <w:b/>
          <w:color w:val="365F91"/>
        </w:rPr>
        <w:t>Was ist zu tun / zu entscheiden? </w:t>
      </w:r>
      <w:r>
        <w:t xml:space="preserve">Termin mit Paola durchführen und festlegen, welche Kostenmethode für TR IT gelten soll, ab welchem Stichtag und mit welchem Kontrollnachweis. Den bestehenden StockPrice-Weg nicht blockieren, solange keine andere Methode freigegeben ist.</w:t>
      </w:r>
    </w:p>
    <w:p>
      <w:pPr>
        <w:pStyle w:val="BodyText"/>
        <w:keepLines/>
      </w:pPr>
      <w:r>
        <w:rPr>
          <w:b/>
          <w:color w:val="365F91"/>
        </w:rPr>
        <w:t>Erledigt, wenn … </w:t>
      </w:r>
      <w:r>
        <w:t xml:space="preserve">Paolas Entscheidung zu Methode, Stichtag und Nachweis ist dokumentiert und die gewählte Einstellung beziehungsweise Folgeumsetzung ist bestätigt.</w:t>
      </w:r>
    </w:p>
    <w:p>
      <w:pPr>
        <w:pBdr>
          <w:bottom w:val="single" w:color="B4C6E7" w:sz="6" w:space="6"/>
        </w:pBdr>
        <w:spacing w:after="100"/>
      </w:pPr>
    </w:p>
    <w:p>
      <w:pPr>
        <w:pStyle w:val="Heading2"/>
      </w:pPr>
      <w:r>
        <w:rPr/>
        <w:t xml:space="preserve">ISS-008 · Budget-CHF als Reportinggrösse</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Finance / Andreas</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Reporting</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Nur terminieren</w:t>
            </w:r>
          </w:p>
        </w:tc>
      </w:tr>
    </w:tbl>
    <w:p>
      <w:pPr>
        <w:pStyle w:val="BodyText"/>
        <w:keepLines/>
      </w:pPr>
      <w:r>
        <w:rPr>
          <w:b/>
          <w:color w:val="365F91"/>
        </w:rPr>
        <w:t>Worum geht es? </w:t>
      </w:r>
      <w:r>
        <w:t xml:space="preserve">Budget-CHF soll eine zusätzliche Kontrollsicht sein und die führenden Local-Currency-Werte nicht ersetzen. Offen sind die verbindlichen Jahreskurse und deren Freigabe, Pflegeverantwortung, Spaltenumfang, Verhalten bei fehlenden Kursen, Rundung und Anzeigeort.</w:t>
      </w:r>
    </w:p>
    <w:p>
      <w:pPr>
        <w:pStyle w:val="BodyText"/>
        <w:keepLines/>
      </w:pPr>
      <w:r>
        <w:rPr>
          <w:b/>
          <w:color w:val="365F91"/>
        </w:rPr>
        <w:t>Was ist zu tun / zu entscheiden? </w:t>
      </w:r>
      <w:r>
        <w:t xml:space="preserve">Finance bestätigt die Budgetkurse 2025/2026 und den Owner, wählt die sichtbaren Excel-/Dashboard-Spalten, legt das Fehlkursverhalten und die Rundung fest und bestimmt die Ansichten. Zusätzlich DE-Jahreswechsel und gewünschten Kontrollnachweis klären.</w:t>
      </w:r>
    </w:p>
    <w:p>
      <w:pPr>
        <w:pStyle w:val="BodyText"/>
        <w:keepLines/>
      </w:pPr>
      <w:r>
        <w:rPr>
          <w:b/>
          <w:color w:val="365F91"/>
        </w:rPr>
        <w:t>Erledigt, wenn … </w:t>
      </w:r>
      <w:r>
        <w:t xml:space="preserve">Ein freigegebener Beschluss mit Kursen, Owner, Pflegeprozess, Fehlkursregel, Rundung und Anzeigeorten liegt vor; erst dann wird die Reporting-Sicht umgesetzt beziehungsweise abgenommen.</w:t>
      </w:r>
    </w:p>
    <w:p>
      <w:pPr>
        <w:pBdr>
          <w:bottom w:val="single" w:color="B4C6E7" w:sz="6" w:space="6"/>
        </w:pBdr>
        <w:spacing w:after="100"/>
      </w:pPr>
    </w:p>
    <w:p>
      <w:pPr>
        <w:pStyle w:val="Heading2"/>
      </w:pPr>
      <w:r>
        <w:rPr/>
        <w:t xml:space="preserve">Nr. 28 · Arbeitsmappe Standortkosten auf den Sitzungsstand bringen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Standardkosten</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Die Arbeitsmappe zur Standortkostenlogik entspricht noch nicht vollständig dem in der Sitzung bestätigten Ablauf. Sales Type, der Weg ohne Lieferant und die Währungsbehandlung sind darin nicht an der richtigen Stelle beziehungsweise fehlen.</w:t>
      </w:r>
    </w:p>
    <w:p>
      <w:pPr>
        <w:pStyle w:val="BodyText"/>
        <w:keepLines/>
      </w:pPr>
      <w:r>
        <w:rPr>
          <w:b/>
          <w:color w:val="365F91"/>
        </w:rPr>
        <w:t>Was ist zu tun / zu entscheiden? </w:t>
      </w:r>
      <w:r>
        <w:t xml:space="preserve">Sales Type in den oberen Entscheidungsblock verschieben, den Zweig ohne Lieferant und die Währungszeile ergänzen und gegen das aktuelle Workflow-SVG prüfen. Danach Sales_All neu erzeugen und Beispiele gegen Gruppenmarge Details vergleichen.</w:t>
      </w:r>
    </w:p>
    <w:p>
      <w:pPr>
        <w:pStyle w:val="BodyText"/>
        <w:keepLines/>
      </w:pPr>
      <w:r>
        <w:rPr>
          <w:b/>
          <w:color w:val="365F91"/>
        </w:rPr>
        <w:t>Erledigt, wenn … </w:t>
      </w:r>
      <w:r>
        <w:t xml:space="preserve">Arbeitsmappe, Workflow-SVG und produktive Logik zeigen dieselbe Regelkette; ein neu erzeugtes Sales_All bestätigt die Beispiele ohne Widerspruch.</w:t>
      </w:r>
    </w:p>
    <w:p>
      <w:pPr>
        <w:pBdr>
          <w:bottom w:val="single" w:color="B4C6E7" w:sz="6" w:space="6"/>
        </w:pBdr>
        <w:spacing w:after="100"/>
      </w:pPr>
    </w:p>
    <w:p>
      <w:pPr>
        <w:pStyle w:val="Heading2"/>
      </w:pPr>
      <w:r>
        <w:rPr/>
        <w:t xml:space="preserve">Nr. 29 · Schutz gegen Marge auf Verrechnungspreis greift nur bei Sales Type LRD</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Andreas / 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Gruppenmarge</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Der Schutz vor einer Marge auf einem internen Verrechnungspreis greift derzeit nur bei Sales Type LRD. Wird eine liefernde Konzerngesellschaft über Supplier erkannt, aber kein Konzernkostensatz gefunden, kann die Logik trotzdem auf lokale Standardkosten zurückfallen und eine scheinbare Marge anzeigen.</w:t>
      </w:r>
    </w:p>
    <w:p>
      <w:pPr>
        <w:pStyle w:val="BodyText"/>
        <w:keepLines/>
      </w:pPr>
      <w:r>
        <w:rPr>
          <w:b/>
          <w:color w:val="365F91"/>
        </w:rPr>
        <w:t>Was ist zu tun / zu entscheiden? </w:t>
      </w:r>
      <w:r>
        <w:t xml:space="preserve">Zuerst in der Produktivdatenbank messen, wie viele der maximal 19’221 Kandidaten tatsächlich keinen Konzernkostentreffer haben. Andreas entscheidet danach, ob der Schutz auf jede erkannte Konzerngesellschaft erweitert wird und wie ein positiver Kostensatz von einem fehlenden beziehungsweise null Kostensatz unterschieden wird.</w:t>
      </w:r>
    </w:p>
    <w:p>
      <w:pPr>
        <w:pStyle w:val="BodyText"/>
        <w:keepLines/>
      </w:pPr>
      <w:r>
        <w:rPr>
          <w:b/>
          <w:color w:val="365F91"/>
        </w:rPr>
        <w:t>Erledigt, wenn … </w:t>
      </w:r>
      <w:r>
        <w:t xml:space="preserve">Die echte Fallzahl ist belegt, Andreas hat die Schutzregel freigegeben und Tests zeigen, dass kein interner Verrechnungspreis unbemerkt als lokale Herstellkostenbasis verwendet wird.</w:t>
      </w:r>
    </w:p>
    <w:p>
      <w:pPr>
        <w:pBdr>
          <w:bottom w:val="single" w:color="B4C6E7" w:sz="6" w:space="6"/>
        </w:pBdr>
        <w:spacing w:after="100"/>
      </w:pPr>
    </w:p>
    <w:p>
      <w:pPr>
        <w:pStyle w:val="Heading2"/>
      </w:pPr>
      <w:r>
        <w:rPr/>
        <w:t xml:space="preserve">Nr. 30 · Schalter Schweizer STPRS: Beschriftung und Code stimmen nicht überein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 / Andreas</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Standardkosten</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Der Schaltertext versprach Schweizer STPRS nur bei internem Lieferanten, während die frühere Codebedingung auch Zeilen ohne erkannte liefernde Gesellschaft erfassen konnte. Die enge Korrektur ist seit 02.09.2026 produktiv: Schweizer STPRS greift nur noch, wenn bereits eine liefernde Konzerngesellschaft erkannt wurde.</w:t>
      </w:r>
    </w:p>
    <w:p>
      <w:pPr>
        <w:pStyle w:val="BodyText"/>
        <w:keepLines/>
      </w:pPr>
      <w:r>
        <w:rPr>
          <w:b/>
          <w:color w:val="365F91"/>
        </w:rPr>
        <w:t>Was ist zu tun / zu entscheiden? </w:t>
      </w:r>
      <w:r>
        <w:t xml:space="preserve">Mit Andreas bestätigen, ob diese enge, zur Beschriftung passende Regel endgültig gewollt ist oder ob bewusst eine breitere MARC-1100-Regel für externe/lokale Fälle benötigt wird. Bei Bestätigung den Punkt schließen; eine breitere Variante wäre ein eigener Modus mit neuer Beschriftung.</w:t>
      </w:r>
    </w:p>
    <w:p>
      <w:pPr>
        <w:pStyle w:val="BodyText"/>
        <w:keepLines/>
      </w:pPr>
      <w:r>
        <w:rPr>
          <w:b/>
          <w:color w:val="365F91"/>
        </w:rPr>
        <w:t>Erledigt, wenn … </w:t>
      </w:r>
      <w:r>
        <w:t xml:space="preserve">Andreas hat die enge Regel bestätigt oder einen getrennten breiten Modus beauftragt; Schaltertext, Dokumentation und produktives Verhalten sind damit fachlich eindeutig.</w:t>
      </w:r>
    </w:p>
    <w:p>
      <w:pPr>
        <w:pBdr>
          <w:bottom w:val="single" w:color="B4C6E7" w:sz="6" w:space="6"/>
        </w:pBdr>
        <w:spacing w:after="100"/>
      </w:pPr>
    </w:p>
    <w:p>
      <w:pPr>
        <w:pStyle w:val="Heading2"/>
      </w:pPr>
      <w:r>
        <w:rPr/>
        <w:t xml:space="preserve">Nr. 31 · 41 Zeilen mit Sales Type FFM und Fremdlieferant Cenlub Systems</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 / Indien</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Finance IN</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Nur terminieren</w:t>
            </w:r>
          </w:p>
        </w:tc>
      </w:tr>
    </w:tbl>
    <w:p>
      <w:pPr>
        <w:pStyle w:val="BodyText"/>
        <w:keepLines/>
      </w:pPr>
      <w:r>
        <w:rPr>
          <w:b/>
          <w:color w:val="365F91"/>
        </w:rPr>
        <w:t>Worum geht es? </w:t>
      </w:r>
      <w:r>
        <w:t xml:space="preserve">41 Verkaufszeilen sind widersprüchlich klassifiziert: Sales Type FFM sagt Eigenfertigung, gleichzeitig ist Cenlub Systems als externer Lieferant eingetragen. Alle Konflikte betreffen denselben Lieferanten und sind daher gezielt prüfbar.</w:t>
      </w:r>
    </w:p>
    <w:p>
      <w:pPr>
        <w:pStyle w:val="BodyText"/>
        <w:keepLines/>
      </w:pPr>
      <w:r>
        <w:rPr>
          <w:b/>
          <w:color w:val="365F91"/>
        </w:rPr>
        <w:t>Was ist zu tun / zu entscheiden? </w:t>
      </w:r>
      <w:r>
        <w:t xml:space="preserve">Indien anhand der betroffenen Artikel bestätigen lassen, ob es Eigenfertigung mit historisch/falsch gepflegtem Preferred Vendor oder echte Fremdbeschaffung mit falschem Sales Type ist. Danach das falsche Stammfeld korrigieren und neu exportieren.</w:t>
      </w:r>
    </w:p>
    <w:p>
      <w:pPr>
        <w:pStyle w:val="BodyText"/>
        <w:keepLines/>
      </w:pPr>
      <w:r>
        <w:rPr>
          <w:b/>
          <w:color w:val="365F91"/>
        </w:rPr>
        <w:t>Erledigt, wenn … </w:t>
      </w:r>
      <w:r>
        <w:t xml:space="preserve">Indien hat die Artikel fachlich eingeordnet, der widersprüchliche Stammwert ist korrigiert und der nächste Export zeigt keine ungeklärten FFM/Cenlub-Konflikte mehr.</w:t>
      </w:r>
    </w:p>
    <w:p>
      <w:pPr>
        <w:pBdr>
          <w:bottom w:val="single" w:color="B4C6E7" w:sz="6" w:space="6"/>
        </w:pBdr>
        <w:spacing w:after="100"/>
      </w:pPr>
    </w:p>
    <w:p>
      <w:pPr>
        <w:pStyle w:val="Heading1"/>
        <w:pageBreakBefore/>
      </w:pPr>
      <w:r>
        <w:rPr/>
        <w:t xml:space="preserve">SAP</w:t>
      </w:r>
    </w:p>
    <w:p>
      <w:pPr>
        <w:pStyle w:val="Heading2"/>
      </w:pPr>
      <w:r>
        <w:rPr/>
        <w:t xml:space="preserve">PM-02 · ZC12 Fehler bei Nullmengen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4CCCC"/>
            <w:tcMar>
              <w:top w:w="70" w:type="dxa"/>
              <w:left w:w="90" w:type="dxa"/>
              <w:bottom w:w="70" w:type="dxa"/>
              <w:right w:w="90" w:type="dxa"/>
            </w:tcMar>
          </w:tcPr>
          <w:p>
            <w:pPr>
              <w:pStyle w:val="Meta"/>
            </w:pPr>
            <w:r>
              <w:rPr/>
              <w:t>Blockiert</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SAP ZC12</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Bei Vorgabewerten von null formatiert der vermutete Report den Wert als nackte 0. CA02 kann diese BDC-Eingabe ablehnen; die betroffene Zeile wird dann mit Fehlereintrag übersprungen. Noch ist nicht bestätigt, dass die Transaktion ZC12 tatsächlich das analysierte Programm Z_ABGLEICH_KTSCH startet.</w:t>
      </w:r>
    </w:p>
    <w:p>
      <w:pPr>
        <w:pStyle w:val="BodyText"/>
        <w:keepLines/>
      </w:pPr>
      <w:r>
        <w:rPr>
          <w:b/>
          <w:color w:val="365F91"/>
        </w:rPr>
        <w:t>Was ist zu tun / zu entscheiden? </w:t>
      </w:r>
      <w:r>
        <w:t xml:space="preserve">Zuerst in SE93 die Zuordnung von ZC12 prüfen. Falls sie stimmt: Debug-Schalter und Tracing reaktivieren, einen Nullmengenfall reproduzieren und die SAP-Versionshistorie von fmt_quan prüfen. Erst danach den Formatierungsweg korrigieren und mit einem Null- sowie einem Normalfall testen.</w:t>
      </w:r>
    </w:p>
    <w:p>
      <w:pPr>
        <w:pStyle w:val="BodyText"/>
        <w:keepLines/>
      </w:pPr>
      <w:r>
        <w:rPr>
          <w:b/>
          <w:color w:val="365F91"/>
        </w:rPr>
        <w:t>Erledigt, wenn … </w:t>
      </w:r>
      <w:r>
        <w:t xml:space="preserve">Die Transaktionszuordnung ist belegt, der Nullmengenfall läuft ohne stilles Überspringen durch und ein Regressionstest bestätigt, dass normale Mengen unverändert verarbeitet werden.</w:t>
      </w:r>
    </w:p>
    <w:p>
      <w:pPr>
        <w:pBdr>
          <w:bottom w:val="single" w:color="B4C6E7" w:sz="6" w:space="6"/>
        </w:pBdr>
        <w:spacing w:after="100"/>
      </w:pPr>
    </w:p>
    <w:p>
      <w:pPr>
        <w:pStyle w:val="Heading2"/>
      </w:pPr>
      <w:r>
        <w:rPr/>
        <w:t xml:space="preserve">PM-01 · ZLO03 Mengen und Materialien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SAP ZLO03</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Die Korrekturen für falsche Mengeninterpretation und fehlende numerische Materialien sind geschrieben, aber die produktive Transaktion ZLO03 startet ein anderes Programm. Damit sind die neuen Fixes im laufenden Prozess noch nicht wirksam.</w:t>
      </w:r>
    </w:p>
    <w:p>
      <w:pPr>
        <w:pStyle w:val="BodyText"/>
        <w:keepLines/>
      </w:pPr>
      <w:r>
        <w:rPr>
          <w:b/>
          <w:color w:val="365F91"/>
        </w:rPr>
        <w:t>Was ist zu tun / zu entscheiden? </w:t>
      </w:r>
      <w:r>
        <w:t xml:space="preserve">Den Diagnoselauf p_diag und den Regressionstest im tatsächlich gestarteten Programm Z_ZLO03_TURBO2 durchführen. Danach die freigegebenen Fixes in dieses Programm übernehmen beziehungsweise transportieren und auf B76 erneut gegen bekannte Fälle prüfen.</w:t>
      </w:r>
    </w:p>
    <w:p>
      <w:pPr>
        <w:pStyle w:val="BodyText"/>
        <w:keepLines/>
      </w:pPr>
      <w:r>
        <w:rPr>
          <w:b/>
          <w:color w:val="365F91"/>
        </w:rPr>
        <w:t>Erledigt, wenn … </w:t>
      </w:r>
      <w:r>
        <w:t xml:space="preserve">ZLO03 läuft mit dem korrigierten produktiven Programm; Mengen und Materialien stimmen in der Regression und der Transport nach B76 ist nachgewiesen.</w:t>
      </w:r>
    </w:p>
    <w:p>
      <w:pPr>
        <w:pBdr>
          <w:bottom w:val="single" w:color="B4C6E7" w:sz="6" w:space="6"/>
        </w:pBdr>
        <w:spacing w:after="100"/>
      </w:pPr>
    </w:p>
    <w:p>
      <w:pPr>
        <w:pStyle w:val="Heading2"/>
      </w:pPr>
      <w:r>
        <w:rPr/>
        <w:t xml:space="preserve">PM-01 · ZLO03 Kommunikationspflicht</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SAP ZLO03</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Die Spalte Exklusiv erhält künftig neben leer und X auch den Wert ?. Er bedeutet, dass die Exklusivität mit den vorhandenen Daten nicht sicher entschieden werden kann. Eine Fehlinterpretation als X könnte zur Kündigung eines noch benötigten Mengenkontrakts führen.</w:t>
      </w:r>
    </w:p>
    <w:p>
      <w:pPr>
        <w:pStyle w:val="BodyText"/>
        <w:keepLines/>
      </w:pPr>
      <w:r>
        <w:rPr>
          <w:b/>
          <w:color w:val="365F91"/>
        </w:rPr>
        <w:t>Was ist zu tun / zu entscheiden? </w:t>
      </w:r>
      <w:r>
        <w:t xml:space="preserve">Ann-Katrin Michel vor dem produktiven Einsatz über den dritten Wert, seine Bedeutung und das richtige Vorgehen bei ? informieren. Die Information soll vor der nächsten operativen Auswertung erfolgen.</w:t>
      </w:r>
    </w:p>
    <w:p>
      <w:pPr>
        <w:pStyle w:val="BodyText"/>
        <w:keepLines/>
      </w:pPr>
      <w:r>
        <w:rPr>
          <w:b/>
          <w:color w:val="365F91"/>
        </w:rPr>
        <w:t>Erledigt, wenn … </w:t>
      </w:r>
      <w:r>
        <w:t xml:space="preserve">Ann-Katrin hat die Änderung bestätigt und weiß, dass ? manuell geprüft werden muss und nicht wie X behandelt werden darf.</w:t>
      </w:r>
    </w:p>
    <w:p>
      <w:pPr>
        <w:pBdr>
          <w:bottom w:val="single" w:color="B4C6E7" w:sz="6" w:space="6"/>
        </w:pBdr>
        <w:spacing w:after="100"/>
      </w:pPr>
    </w:p>
    <w:p>
      <w:pPr>
        <w:pStyle w:val="Heading2"/>
      </w:pPr>
      <w:r>
        <w:rPr/>
        <w:t xml:space="preserve">PM-03 · ZZPRDAT Umsetzung</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D9EAD3"/>
            <w:tcMar>
              <w:top w:w="70" w:type="dxa"/>
              <w:left w:w="90" w:type="dxa"/>
              <w:bottom w:w="70" w:type="dxa"/>
              <w:right w:w="90" w:type="dxa"/>
            </w:tcMar>
          </w:tcPr>
          <w:p>
            <w:pPr>
              <w:pStyle w:val="Meta"/>
            </w:pPr>
            <w:r>
              <w:rPr/>
              <w:t>Läuft</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SAP ZZPRDAT</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Für AUFK-ZZPRDAT existiert derzeit kein aktiver Schreibpfad; der alte Exit ist vollständig auskommentiert und keine belastbare Referenz. Ziel ist ein einmalig gesetztes Produktionsdatum bei Auftragsstart/Freigabe, das spätere Terminänderungen nicht überschreiben.</w:t>
      </w:r>
    </w:p>
    <w:p>
      <w:pPr>
        <w:pStyle w:val="BodyText"/>
        <w:keepLines/>
      </w:pPr>
      <w:r>
        <w:rPr>
          <w:b/>
          <w:color w:val="365F91"/>
        </w:rPr>
        <w:t>Was ist zu tun / zu entscheiden? </w:t>
      </w:r>
      <w:r>
        <w:t xml:space="preserve">Nach Klärung der Rückfragen aus dem zweiten ZZPRDAT-Punkt die Lösung neu über WORKORDER_UPDATE und Z_PP_PRDDAT_SET bauen. Die BAdI-Signatur im eigenen SAP-Release prüfen, write-once absichern und die acht vorgesehenen Fälle in T76 testen.</w:t>
      </w:r>
    </w:p>
    <w:p>
      <w:pPr>
        <w:pStyle w:val="BodyText"/>
        <w:keepLines/>
      </w:pPr>
      <w:r>
        <w:rPr>
          <w:b/>
          <w:color w:val="365F91"/>
        </w:rPr>
        <w:t>Erledigt, wenn … </w:t>
      </w:r>
      <w:r>
        <w:t xml:space="preserve">Produktionsdatum wird beim freigegebenen Trigger genau einmal aus dem bestätigten Quellfeld gesetzt, bleibt bei späterem Speichern unverändert und ist nach Transport sowie Nachbefüllung geprüft.</w:t>
      </w:r>
    </w:p>
    <w:p>
      <w:pPr>
        <w:pBdr>
          <w:bottom w:val="single" w:color="B4C6E7" w:sz="6" w:space="6"/>
        </w:pBdr>
        <w:spacing w:after="100"/>
      </w:pPr>
    </w:p>
    <w:p>
      <w:pPr>
        <w:pStyle w:val="Heading2"/>
      </w:pPr>
      <w:r>
        <w:rPr/>
        <w:t xml:space="preserve">PM-03 · ZZPRDAT Rückfragen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SAP ZZPRDAT</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Vor der ZZPRDAT-Implementierung fehlen drei fachliche Belege: Auftragsstart oder Freigabe als Trigger, GLTRP oder GLTRS als Quelltermin sowie die Herkunft eines historischen Auszugs, der dem heutigen Live-Stand widerspricht.</w:t>
      </w:r>
    </w:p>
    <w:p>
      <w:pPr>
        <w:pStyle w:val="BodyText"/>
        <w:keepLines/>
      </w:pPr>
      <w:r>
        <w:rPr>
          <w:b/>
          <w:color w:val="365F91"/>
        </w:rPr>
        <w:t>Was ist zu tun / zu entscheiden? </w:t>
      </w:r>
      <w:r>
        <w:t xml:space="preserve">Lucas Castro und Florian Wächter bestätigen den Trigger; Marco Di Menco oder Florian bestätigt das Quellfeld. Marco nennt außerdem Report und Ziehungsdatum des Auszugs zu Auftrag 1214608.</w:t>
      </w:r>
    </w:p>
    <w:p>
      <w:pPr>
        <w:pStyle w:val="BodyText"/>
        <w:keepLines/>
      </w:pPr>
      <w:r>
        <w:rPr>
          <w:b/>
          <w:color w:val="365F91"/>
        </w:rPr>
        <w:t>Erledigt, wenn … </w:t>
      </w:r>
      <w:r>
        <w:t xml:space="preserve">Trigger und Quellfeld sind schriftlich festgelegt und der widersprüchliche Referenzfall ist erklärt oder ausdrücklich als ungeeignet verworfen.</w:t>
      </w:r>
    </w:p>
    <w:p>
      <w:pPr>
        <w:pBdr>
          <w:bottom w:val="single" w:color="B4C6E7" w:sz="6" w:space="6"/>
        </w:pBdr>
        <w:spacing w:after="100"/>
      </w:pPr>
    </w:p>
    <w:p>
      <w:pPr>
        <w:pStyle w:val="Heading1"/>
        <w:pageBreakBefore/>
      </w:pPr>
      <w:r>
        <w:rPr/>
        <w:t xml:space="preserve">Einkauf</w:t>
      </w:r>
    </w:p>
    <w:p>
      <w:pPr>
        <w:pStyle w:val="Heading2"/>
      </w:pPr>
      <w:r>
        <w:rPr/>
        <w:t xml:space="preserve">PM-04 · Einkauf Restpunkte SAP</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Einkauf</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Die SAP-basierte Produktgruppenlogik im Einkaufsdashboard läuft produktiv. Zwei nicht blockierende Stammdaten-/Metadatenpunkte bleiben: D1 und D5 haben keinen Text, und DISPO ist allein kein eindeutiger Schlüssel.</w:t>
      </w:r>
    </w:p>
    <w:p>
      <w:pPr>
        <w:pStyle w:val="BodyText"/>
        <w:keepLines/>
      </w:pPr>
      <w:r>
        <w:rPr>
          <w:b/>
          <w:color w:val="365F91"/>
        </w:rPr>
        <w:t>Was ist zu tun / zu entscheiden? </w:t>
      </w:r>
      <w:r>
        <w:t xml:space="preserve">Texte für D1/D5 in ZDISPO_SPART pflegen und den SEGW-Schlüssel von ZDISPO_GRP auf DISPO_KZ plus DISPO erweitern. Danach Metadaten, OData-Antwort und Delta-Lauf prüfen.</w:t>
      </w:r>
    </w:p>
    <w:p>
      <w:pPr>
        <w:pStyle w:val="BodyText"/>
        <w:keepLines/>
      </w:pPr>
      <w:r>
        <w:rPr>
          <w:b/>
          <w:color w:val="365F91"/>
        </w:rPr>
        <w:t>Erledigt, wenn … </w:t>
      </w:r>
      <w:r>
        <w:t xml:space="preserve">D1/D5 werden mit Text angezeigt, der zusammengesetzte Schlüssel ist im produktiven Metadata sichtbar und alle Gruppen werden ohne Überschreiben oder Duplikate geladen.</w:t>
      </w:r>
    </w:p>
    <w:p>
      <w:pPr>
        <w:pBdr>
          <w:bottom w:val="single" w:color="B4C6E7" w:sz="6" w:space="6"/>
        </w:pBdr>
        <w:spacing w:after="100"/>
      </w:pPr>
    </w:p>
    <w:p>
      <w:pPr>
        <w:pStyle w:val="Heading2"/>
      </w:pPr>
      <w:r>
        <w:rPr/>
        <w:t xml:space="preserve">Nr. 23 · Lagerwert Einkaufsteile</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D9EAD3"/>
            <w:tcMar>
              <w:top w:w="70" w:type="dxa"/>
              <w:left w:w="90" w:type="dxa"/>
              <w:bottom w:w="70" w:type="dxa"/>
              <w:right w:w="90" w:type="dxa"/>
            </w:tcMar>
          </w:tcPr>
          <w:p>
            <w:pPr>
              <w:pStyle w:val="Meta"/>
            </w:pPr>
            <w:r>
              <w:rPr/>
              <w:t>Teil umgesetzt, Nachweis 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Einkauf</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Der Lagerwert für Einkaufsteile ist technisch teilweise umgesetzt und nutzt die Disponenten 001 bis 005. Die Zahl ist noch nicht fachlich freigegeben, weil der Abgleich gegen SAP MB5L und der vollständige produktive Datenlauf fehlen.</w:t>
      </w:r>
    </w:p>
    <w:p>
      <w:pPr>
        <w:pStyle w:val="BodyText"/>
        <w:keepLines/>
      </w:pPr>
      <w:r>
        <w:rPr>
          <w:b/>
          <w:color w:val="365F91"/>
        </w:rPr>
        <w:t>Was ist zu tun / zu entscheiden? </w:t>
      </w:r>
      <w:r>
        <w:t xml:space="preserve">MB5L für denselben Stichtag und Bewertungsumfang gegen die Dashboard-Summe abgleichen. Danach den serverseitigen Einkauf-Lauf ausführen und die Kette SAP-Quelle, Cache und Anzeige mit Summen und Zeitstempeln nachweisen.</w:t>
      </w:r>
    </w:p>
    <w:p>
      <w:pPr>
        <w:pStyle w:val="BodyText"/>
        <w:keepLines/>
      </w:pPr>
      <w:r>
        <w:rPr>
          <w:b/>
          <w:color w:val="365F91"/>
        </w:rPr>
        <w:t>Erledigt, wenn … </w:t>
      </w:r>
      <w:r>
        <w:t xml:space="preserve">MB5L und Dashboard stimmen für den vereinbarten Umfang nachvollziehbar überein und ein erfolgreicher produktiver Lauf belegt die vollständige Datenkette.</w:t>
      </w:r>
    </w:p>
    <w:p>
      <w:pPr>
        <w:pBdr>
          <w:bottom w:val="single" w:color="B4C6E7" w:sz="6" w:space="6"/>
        </w:pBdr>
        <w:spacing w:after="100"/>
      </w:pPr>
    </w:p>
    <w:p>
      <w:pPr>
        <w:pStyle w:val="Heading1"/>
        <w:pageBreakBefore/>
      </w:pPr>
      <w:r>
        <w:rPr/>
        <w:t xml:space="preserve">Railway</w:t>
      </w:r>
    </w:p>
    <w:p>
      <w:pPr>
        <w:pStyle w:val="Heading2"/>
      </w:pPr>
      <w:r>
        <w:rPr/>
        <w:t xml:space="preserve">PM-08 · Railway Kundenname Deutschland</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4CCCC"/>
            <w:tcMar>
              <w:top w:w="70" w:type="dxa"/>
              <w:left w:w="90" w:type="dxa"/>
              <w:bottom w:w="70" w:type="dxa"/>
              <w:right w:w="90" w:type="dxa"/>
            </w:tcMar>
          </w:tcPr>
          <w:p>
            <w:pPr>
              <w:pStyle w:val="Meta"/>
            </w:pPr>
            <w:r>
              <w:rPr/>
              <w:t>Blockiert</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Railway</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Alle deutschen Verkaufszeilen enthalten Kundennummern, aber weder Kundenname noch Kundenland. Dadurch kann das Railway-Segment für Deutschland nicht über die Marktumfrage zugeordnet werden; eine Null im Export wäre irreführend.</w:t>
      </w:r>
    </w:p>
    <w:p>
      <w:pPr>
        <w:pStyle w:val="BodyText"/>
        <w:keepLines/>
      </w:pPr>
      <w:r>
        <w:rPr>
          <w:b/>
          <w:color w:val="365F91"/>
        </w:rPr>
        <w:t>Was ist zu tun / zu entscheiden? </w:t>
      </w:r>
      <w:r>
        <w:t xml:space="preserve">Auf dem Alphaplan-System einen read-only INFORMATION_SCHEMA-Auszug für Adress-, Kunden- und Rechnungsbezug holen. Danach die reale Beziehung von RechnungsAdressenID zum Kundennamen in der eigenen Export-SQL ergänzen; keine Tabellen- oder Feldnamen raten.</w:t>
      </w:r>
    </w:p>
    <w:p>
      <w:pPr>
        <w:pStyle w:val="BodyText"/>
        <w:keepLines/>
      </w:pPr>
      <w:r>
        <w:rPr>
          <w:b/>
          <w:color w:val="365F91"/>
        </w:rPr>
        <w:t>Erledigt, wenn … </w:t>
      </w:r>
      <w:r>
        <w:t xml:space="preserve">TRDE liefert Kundennamen, der Railway-Abgleich erzeugt deutsche Vorschläge und Stichproben verbinden Kundennummer, Name und Umsatz korrekt.</w:t>
      </w:r>
    </w:p>
    <w:p>
      <w:pPr>
        <w:pBdr>
          <w:bottom w:val="single" w:color="B4C6E7" w:sz="6" w:space="6"/>
        </w:pBdr>
        <w:spacing w:after="100"/>
      </w:pPr>
    </w:p>
    <w:p>
      <w:pPr>
        <w:pStyle w:val="Heading2"/>
      </w:pPr>
      <w:r>
        <w:rPr/>
        <w:t xml:space="preserve">PM-08 · Railway Zuordnung prüfen lassen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Patrik</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Railway</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Heute</w:t>
            </w:r>
          </w:p>
        </w:tc>
      </w:tr>
    </w:tbl>
    <w:p>
      <w:pPr>
        <w:pStyle w:val="BodyText"/>
        <w:keepLines/>
      </w:pPr>
      <w:r>
        <w:rPr>
          <w:b/>
          <w:color w:val="365F91"/>
        </w:rPr>
        <w:t>Worum geht es? </w:t>
      </w:r>
      <w:r>
        <w:t xml:space="preserve">Die Anwendung hat 173 Railway-Kundenvorschläge erzeugt, aber noch keiner ist fachlich bestätigt. Unbestätigte Vorschläge fließen bewusst nicht in den Umsatz ein; besonders breit tätige Kunden wie Siemens benötigen Vertriebswissen.</w:t>
      </w:r>
    </w:p>
    <w:p>
      <w:pPr>
        <w:pStyle w:val="BodyText"/>
        <w:keepLines/>
      </w:pPr>
      <w:r>
        <w:rPr>
          <w:b/>
          <w:color w:val="365F91"/>
        </w:rPr>
        <w:t>Was ist zu tun / zu entscheiden? </w:t>
      </w:r>
      <w:r>
        <w:t xml:space="preserve">Patrik prüft zuerst die 30 mengenstärksten Vorschläge, bestätigt oder verwirft sie und entscheidet Zweifelsfälle anhand der tatsächlichen Kundenanwendung. Alternativ pflegt er die Zuordnung direkt selbst.</w:t>
      </w:r>
    </w:p>
    <w:p>
      <w:pPr>
        <w:pStyle w:val="BodyText"/>
        <w:keepLines/>
      </w:pPr>
      <w:r>
        <w:rPr>
          <w:b/>
          <w:color w:val="365F91"/>
        </w:rPr>
        <w:t>Erledigt, wenn … </w:t>
      </w:r>
      <w:r>
        <w:t xml:space="preserve">Die priorisierten Vorschläge sind fachlich bewertet und die bestätigten Kunden erscheinen mit nachvollziehbarem Railway-Umsatz im Ergebnis.</w:t>
      </w:r>
    </w:p>
    <w:p>
      <w:pPr>
        <w:pBdr>
          <w:bottom w:val="single" w:color="B4C6E7" w:sz="6" w:space="6"/>
        </w:pBdr>
        <w:spacing w:after="100"/>
      </w:pPr>
    </w:p>
    <w:p>
      <w:pPr>
        <w:pStyle w:val="Heading2"/>
      </w:pPr>
      <w:r>
        <w:rPr/>
        <w:t xml:space="preserve">PM-08 · Railway Export für Rohail Munir</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FF2CC"/>
            <w:tcMar>
              <w:top w:w="70" w:type="dxa"/>
              <w:left w:w="90" w:type="dxa"/>
              <w:bottom w:w="70" w:type="dxa"/>
              <w:right w:w="90" w:type="dxa"/>
            </w:tcMar>
          </w:tcPr>
          <w:p>
            <w:pPr>
              <w:pStyle w:val="Meta"/>
            </w:pPr>
            <w:r>
              <w:rPr/>
              <w:t>Wartet auf andere</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Railway</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Nur terminieren</w:t>
            </w:r>
          </w:p>
        </w:tc>
      </w:tr>
    </w:tbl>
    <w:p>
      <w:pPr>
        <w:pStyle w:val="BodyText"/>
        <w:keepLines/>
      </w:pPr>
      <w:r>
        <w:rPr>
          <w:b/>
          <w:color w:val="365F91"/>
        </w:rPr>
        <w:t>Worum geht es? </w:t>
      </w:r>
      <w:r>
        <w:t xml:space="preserve">Rohail Munir benötigt den Railway-Export bis 08.09.2026. Das Exportwerkzeug ist produktiv, aber ohne bestätigte Kundenzuordnungen bleibt das Ergebnis leer; Deutschland ist zusätzlich wegen fehlender Kundennamen blockiert.</w:t>
      </w:r>
    </w:p>
    <w:p>
      <w:pPr>
        <w:pStyle w:val="BodyText"/>
        <w:keepLines/>
      </w:pPr>
      <w:r>
        <w:rPr>
          <w:b/>
          <w:color w:val="365F91"/>
        </w:rPr>
        <w:t>Was ist zu tun / zu entscheiden? </w:t>
      </w:r>
      <w:r>
        <w:t xml:space="preserve">Nach Patriks Bestätigung den Excel-Export erzeugen und die Summen je Land prüfen. Falls Deutschland bis zum Termin nicht lösbar ist, die Lücke sichtbar im Export und in der Übergabe benennen statt still null Umsatz auszuweisen.</w:t>
      </w:r>
    </w:p>
    <w:p>
      <w:pPr>
        <w:pStyle w:val="BodyText"/>
        <w:keepLines/>
      </w:pPr>
      <w:r>
        <w:rPr>
          <w:b/>
          <w:color w:val="365F91"/>
        </w:rPr>
        <w:t>Erledigt, wenn … </w:t>
      </w:r>
      <w:r>
        <w:t xml:space="preserve">Rohail erhält bis zum Termin eine geprüfte Datei mit bestätigten Zuordnungen und einem transparenten Hinweis zu jeder verbleibenden Datenlücke, insbesondere Deutschland.</w:t>
      </w:r>
    </w:p>
    <w:p>
      <w:pPr>
        <w:pBdr>
          <w:bottom w:val="single" w:color="B4C6E7" w:sz="6" w:space="6"/>
        </w:pBdr>
        <w:spacing w:after="100"/>
      </w:pPr>
    </w:p>
    <w:p>
      <w:pPr>
        <w:pStyle w:val="Heading1"/>
        <w:pageBreakBefore/>
      </w:pPr>
      <w:r>
        <w:rPr/>
        <w:t xml:space="preserve">Marktsegmente</w:t>
      </w:r>
    </w:p>
    <w:p>
      <w:pPr>
        <w:pStyle w:val="Heading2"/>
      </w:pPr>
      <w:r>
        <w:rPr/>
        <w:t xml:space="preserve">Nr. 17 · Sichtprüfläufe produktiv nachholen</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CE5CD"/>
            <w:tcMar>
              <w:top w:w="70" w:type="dxa"/>
              <w:left w:w="90" w:type="dxa"/>
              <w:bottom w:w="70" w:type="dxa"/>
              <w:right w:w="90" w:type="dxa"/>
            </w:tcMar>
          </w:tcPr>
          <w:p>
            <w:pPr>
              <w:pStyle w:val="Meta"/>
            </w:pPr>
            <w:r>
              <w:rPr/>
              <w:t>Offen</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Marktsegmente</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Umsetzung</w:t>
            </w:r>
          </w:p>
        </w:tc>
      </w:tr>
    </w:tbl>
    <w:p>
      <w:pPr>
        <w:pStyle w:val="BodyText"/>
        <w:keepLines/>
      </w:pPr>
      <w:r>
        <w:rPr>
          <w:b/>
          <w:color w:val="365F91"/>
        </w:rPr>
        <w:t>Worum geht es? </w:t>
      </w:r>
      <w:r>
        <w:t xml:space="preserve">Drei bereits produktiv ausgelieferte Marktsegment-Funktionen wurden technisch geprüft, aber noch nicht von einem Anwender im Browser abgenommen: Segmentanzeige, Marktumfrage und Jahresfilter.</w:t>
      </w:r>
    </w:p>
    <w:p>
      <w:pPr>
        <w:pStyle w:val="BodyText"/>
        <w:keepLines/>
      </w:pPr>
      <w:r>
        <w:rPr>
          <w:b/>
          <w:color w:val="365F91"/>
        </w:rPr>
        <w:t>Was ist zu tun / zu entscheiden? </w:t>
      </w:r>
      <w:r>
        <w:t xml:space="preserve">Die drei Funktionen im produktiven System mit realistischen Filtern öffnen, Werte und Navigation plausibilisieren und auffällige Abweichungen mit Screenshot beziehungsweise konkretem Datensatz notieren.</w:t>
      </w:r>
    </w:p>
    <w:p>
      <w:pPr>
        <w:pStyle w:val="BodyText"/>
        <w:keepLines/>
      </w:pPr>
      <w:r>
        <w:rPr>
          <w:b/>
          <w:color w:val="365F91"/>
        </w:rPr>
        <w:t>Erledigt, wenn … </w:t>
      </w:r>
      <w:r>
        <w:t xml:space="preserve">Alle drei Sichtprüfläufe sind dokumentiert bestanden oder gefundene Fehler wurden als eigene Punkte mit Reproduktionsschritten erfasst.</w:t>
      </w:r>
    </w:p>
    <w:p>
      <w:pPr>
        <w:pBdr>
          <w:bottom w:val="single" w:color="B4C6E7" w:sz="6" w:space="6"/>
        </w:pBdr>
        <w:spacing w:after="100"/>
      </w:pPr>
    </w:p>
    <w:p>
      <w:pPr>
        <w:pStyle w:val="Heading1"/>
        <w:pageBreakBefore/>
      </w:pPr>
      <w:r>
        <w:rPr/>
        <w:t xml:space="preserve">HR</w:t>
      </w:r>
    </w:p>
    <w:p>
      <w:pPr>
        <w:pStyle w:val="Heading2"/>
      </w:pPr>
      <w:r>
        <w:rPr/>
        <w:t xml:space="preserve">PM-07 · REXX automatische Auswertung</w:t>
      </w:r>
    </w:p>
    <w:tbl>
      <w:tblPr>
        <w:tblW w:w="5000" w:type="pct"/>
        <w:tblBorders>
          <w:top w:val="single" w:color="D9E2F3" w:sz="4"/>
          <w:left w:val="single" w:color="D9E2F3" w:sz="4"/>
          <w:bottom w:val="single" w:color="D9E2F3" w:sz="4"/>
          <w:right w:val="single" w:color="D9E2F3" w:sz="4"/>
          <w:insideH w:val="single" w:color="E7E6E6" w:sz="3"/>
          <w:insideV w:val="single" w:color="E7E6E6" w:sz="3"/>
        </w:tblBorders>
      </w:tblPr>
      <w:tblGrid>
        <w:gridCol w:w="1250"/>
        <w:gridCol w:w="3750"/>
        <w:gridCol w:w="1250"/>
        <w:gridCol w:w="3750"/>
      </w:tblGrid>
      <w:tr>
        <w:tc>
          <w:tcPr>
            <w:tcW w:w="1250" w:type="pct"/>
            <w:shd w:val="clear" w:fill="D9E2F3"/>
            <w:tcMar>
              <w:top w:w="70" w:type="dxa"/>
              <w:left w:w="90" w:type="dxa"/>
              <w:bottom w:w="70" w:type="dxa"/>
              <w:right w:w="90" w:type="dxa"/>
            </w:tcMar>
          </w:tcPr>
          <w:p>
            <w:pPr>
              <w:pStyle w:val="Meta"/>
            </w:pPr>
            <w:r>
              <w:rPr>
                <w:b/>
              </w:rPr>
              <w:t>Status</w:t>
            </w:r>
          </w:p>
        </w:tc>
        <w:tc>
          <w:tcPr>
            <w:tcW w:w="3750" w:type="pct"/>
            <w:shd w:val="clear" w:fill="FFF2CC"/>
            <w:tcMar>
              <w:top w:w="70" w:type="dxa"/>
              <w:left w:w="90" w:type="dxa"/>
              <w:bottom w:w="70" w:type="dxa"/>
              <w:right w:w="90" w:type="dxa"/>
            </w:tcMar>
          </w:tcPr>
          <w:p>
            <w:pPr>
              <w:pStyle w:val="Meta"/>
            </w:pPr>
            <w:r>
              <w:rPr/>
              <w:t>Wartet auf externe Firma</w:t>
            </w:r>
          </w:p>
        </w:tc>
        <w:tc>
          <w:tcPr>
            <w:tcW w:w="1250" w:type="pct"/>
            <w:shd w:val="clear" w:fill="D9E2F3"/>
            <w:tcMar>
              <w:top w:w="70" w:type="dxa"/>
              <w:left w:w="90" w:type="dxa"/>
              <w:bottom w:w="70" w:type="dxa"/>
              <w:right w:w="90" w:type="dxa"/>
            </w:tcMar>
          </w:tcPr>
          <w:p>
            <w:pPr>
              <w:pStyle w:val="Meta"/>
            </w:pPr>
            <w:r>
              <w:rPr>
                <w:b/>
              </w:rPr>
              <w:t>Owner</w:t>
            </w:r>
          </w:p>
        </w:tc>
        <w:tc>
          <w:tcPr>
            <w:tcW w:w="3750" w:type="pct"/>
            <w:shd w:val="clear" w:fill="D9EAF7"/>
            <w:tcMar>
              <w:top w:w="70" w:type="dxa"/>
              <w:left w:w="90" w:type="dxa"/>
              <w:bottom w:w="70" w:type="dxa"/>
              <w:right w:w="90" w:type="dxa"/>
            </w:tcMar>
          </w:tcPr>
          <w:p>
            <w:pPr>
              <w:pStyle w:val="Meta"/>
            </w:pPr>
            <w:r>
              <w:rPr/>
              <w:t>Ingo</w:t>
            </w:r>
          </w:p>
        </w:tc>
      </w:tr>
      <w:tr>
        <w:tc>
          <w:tcPr>
            <w:tcW w:w="1250" w:type="pct"/>
            <w:shd w:val="clear" w:fill="D9E2F3"/>
            <w:tcMar>
              <w:top w:w="70" w:type="dxa"/>
              <w:left w:w="90" w:type="dxa"/>
              <w:bottom w:w="70" w:type="dxa"/>
              <w:right w:w="90" w:type="dxa"/>
            </w:tcMar>
          </w:tcPr>
          <w:p>
            <w:pPr>
              <w:pStyle w:val="Meta"/>
            </w:pPr>
            <w:r>
              <w:rPr>
                <w:b/>
              </w:rPr>
              <w:t>Bereich</w:t>
            </w:r>
          </w:p>
        </w:tc>
        <w:tc>
          <w:tcPr>
            <w:tcW w:w="3750" w:type="pct"/>
            <w:shd w:val="clear" w:fill="F2F2F2"/>
            <w:tcMar>
              <w:top w:w="70" w:type="dxa"/>
              <w:left w:w="90" w:type="dxa"/>
              <w:bottom w:w="70" w:type="dxa"/>
              <w:right w:w="90" w:type="dxa"/>
            </w:tcMar>
          </w:tcPr>
          <w:p>
            <w:pPr>
              <w:pStyle w:val="Meta"/>
            </w:pPr>
            <w:r>
              <w:rPr/>
              <w:t>HR</w:t>
            </w:r>
          </w:p>
        </w:tc>
        <w:tc>
          <w:tcPr>
            <w:tcW w:w="1250" w:type="pct"/>
            <w:shd w:val="clear" w:fill="D9E2F3"/>
            <w:tcMar>
              <w:top w:w="70" w:type="dxa"/>
              <w:left w:w="90" w:type="dxa"/>
              <w:bottom w:w="70" w:type="dxa"/>
              <w:right w:w="90" w:type="dxa"/>
            </w:tcMar>
          </w:tcPr>
          <w:p>
            <w:pPr>
              <w:pStyle w:val="Meta"/>
            </w:pPr>
            <w:r>
              <w:rPr>
                <w:b/>
              </w:rPr>
              <w:t>Dringlichkeit</w:t>
            </w:r>
          </w:p>
        </w:tc>
        <w:tc>
          <w:tcPr>
            <w:tcW w:w="3750" w:type="pct"/>
            <w:shd w:val="clear" w:fill="F2F2F2"/>
            <w:tcMar>
              <w:top w:w="70" w:type="dxa"/>
              <w:left w:w="90" w:type="dxa"/>
              <w:bottom w:w="70" w:type="dxa"/>
              <w:right w:w="90" w:type="dxa"/>
            </w:tcMar>
          </w:tcPr>
          <w:p>
            <w:pPr>
              <w:pStyle w:val="Meta"/>
            </w:pPr>
            <w:r>
              <w:rPr/>
              <w:t>Nur terminieren</w:t>
            </w:r>
          </w:p>
        </w:tc>
      </w:tr>
    </w:tbl>
    <w:p>
      <w:pPr>
        <w:pStyle w:val="BodyText"/>
        <w:keepLines/>
      </w:pPr>
      <w:r>
        <w:rPr>
          <w:b/>
          <w:color w:val="365F91"/>
        </w:rPr>
        <w:t>Worum geht es? </w:t>
      </w:r>
      <w:r>
        <w:t xml:space="preserve">Das HR-Cockpit verarbeitet bisher einen einmaligen manuellen REXX-Datenstand. Eine externe Firma baut einen periodischen Exporter; ohne dessen Ablagepfad, Format und Frequenz kann die automatische Auswertung nicht belastbar angebunden werden.</w:t>
      </w:r>
    </w:p>
    <w:p>
      <w:pPr>
        <w:pStyle w:val="BodyText"/>
        <w:keepLines/>
      </w:pPr>
      <w:r>
        <w:rPr>
          <w:b/>
          <w:color w:val="365F91"/>
        </w:rPr>
        <w:t>Was ist zu tun / zu entscheiden? </w:t>
      </w:r>
      <w:r>
        <w:t xml:space="preserve">Fertigstellung des externen Exporters abwarten und danach Schnittstelle, Dateinamensschema, Format, Aktualisierungsrhythmus, Datenschutz/Berechtigungen und Fehlerverhalten dokumentieren. Anschließend Import und Aktualisierung planen.</w:t>
      </w:r>
    </w:p>
    <w:p>
      <w:pPr>
        <w:pStyle w:val="BodyText"/>
        <w:keepLines/>
      </w:pPr>
      <w:r>
        <w:rPr>
          <w:b/>
          <w:color w:val="365F91"/>
        </w:rPr>
        <w:t>Erledigt, wenn … </w:t>
      </w:r>
      <w:r>
        <w:t xml:space="preserve">Ein stabiler Testexport samt Schnittstellenbeschreibung liegt vor und das HR-Cockpit verarbeitet einen neuen Lauf automatisch mit plausibler Aktualisierungs- und Fehleranzeige.</w:t>
      </w:r>
    </w:p>
    <w:p>
      <w:pPr>
        <w:pBdr>
          <w:bottom w:val="single" w:color="B4C6E7" w:sz="6" w:space="6"/>
        </w:pBdr>
        <w:spacing w:after="100"/>
      </w:pPr>
    </w:p>
    <w:sectPr>
      <w:headerReference xmlns:r="http://schemas.openxmlformats.org/officeDocument/2006/relationships" w:type="default" r:id="R3eedd4d2b74b4dbd"/>
      <w:footerReference xmlns:r="http://schemas.openxmlformats.org/officeDocument/2006/relationships" w:type="default" r:id="Rd632d002b19e44f0"/>
      <w:pgSz w:w="11906" w:h="16838"/>
      <w:pgMar w:top="900" w:right="900" w:bottom="900" w:left="900" w:header="400" w:footer="400"/>
    </w:sectPr>
  </w:body>
</w:document>
</file>

<file path=word/footer1.xml><?xml version="1.0" encoding="utf-8"?>
<w:ftr xmlns:w="http://schemas.openxmlformats.org/wordprocessingml/2006/main">
  <w:p>
    <w:pPr>
      <w:pStyle w:val="Meta"/>
      <w:jc w:val="right"/>
    </w:pPr>
    <w:r>
      <w:t>Seite </w:t>
    </w:r>
    <w:r>
      <w:fldChar w:fldCharType="begin"/>
    </w:r>
    <w:r>
      <w:instrText> PAGE </w:instrText>
    </w:r>
    <w:r>
      <w:fldChar w:fldCharType="end"/>
    </w:r>
  </w:p>
</w:ftr>
</file>

<file path=word/header1.xml><?xml version="1.0" encoding="utf-8"?>
<w:hdr xmlns:w="http://schemas.openxmlformats.org/wordprocessingml/2006/main">
  <w:p>
    <w:pPr>
      <w:pStyle w:val="Meta"/>
    </w:pPr>
    <w:r>
      <w:rPr>
        <w:color w:val="6F7782"/>
        <w:sz w:val="17"/>
      </w:rPr>
      <w:t xml:space="preserve">Projektmanagement · Offene Wochen-Todos</w:t>
    </w:r>
  </w:p>
</w:hdr>
</file>

<file path=word/numbering.xml><?xml version="1.0" encoding="utf-8"?>
<w:numbering xmlns:w="http://schemas.openxmlformats.org/wordprocessingml/2006/main">
  <w:abstractNum w:abstractNumId="1">
    <w:lvl w:ilvl="0">
      <w:numFmt w:val="bullet"/>
      <w:lvlText w:val="•"/>
      <w:lvlJc w:val="left"/>
      <w:pPr>
        <w:ind w:left="540" w:hanging="260"/>
      </w:pPr>
      <w:rPr>
        <w:rFonts w:ascii="Aptos" w:hAnsi="Aptos"/>
      </w:rPr>
    </w:lvl>
  </w:abstractNum>
  <w:num w:numId="1">
    <w:abstractNumId w:val="1"/>
  </w:num>
</w:numbering>
</file>

<file path=word/styles.xml><?xml version="1.0" encoding="utf-8"?>
<w:styles xmlns:w="http://schemas.openxmlformats.org/wordprocessingml/2006/main">
  <w:docDefaults>
    <w:rPrDefault>
      <w:rPr>
        <w:rFonts w:ascii="Aptos" w:hAnsi="Aptos" w:eastAsia="Aptos"/>
        <w:sz w:val="21"/>
        <w:lang w:val="de-CH"/>
      </w:rPr>
    </w:rPrDefault>
    <w:pPrDefault>
      <w:pPr>
        <w:spacing w:after="120" w:line="276" w:lineRule="auto"/>
      </w:pPr>
    </w:pPrDefault>
  </w:docDefaults>
  <w:style w:type="paragraph" w:styleId="Normal" w:customStyle="true">
    <w:name w:val="Normal"/>
    <w:basedOn w:val="Normal"/>
    <w:next w:val="Normal"/>
    <w:pPr>
      <w:spacing w:before="0" w:after="120" w:line="276" w:lineRule="auto"/>
    </w:pPr>
    <w:rPr>
      <w:rFonts w:ascii="Aptos" w:hAnsi="Aptos" w:eastAsia="Aptos"/>
      <w:color w:val="202020"/>
      <w:sz w:val="21"/>
    </w:rPr>
  </w:style>
  <w:style w:type="paragraph" w:styleId="Title" w:customStyle="true">
    <w:name w:val="Titel"/>
    <w:basedOn w:val="Normal"/>
    <w:next w:val="Normal"/>
    <w:pPr>
      <w:spacing w:before="0" w:after="90" w:line="276" w:lineRule="auto"/>
    </w:pPr>
    <w:rPr>
      <w:rFonts w:ascii="Aptos" w:hAnsi="Aptos" w:eastAsia="Aptos"/>
      <w:b/>
      <w:color w:val="17365D"/>
      <w:sz w:val="38"/>
    </w:rPr>
  </w:style>
  <w:style w:type="paragraph" w:styleId="Subtitle" w:customStyle="true">
    <w:name w:val="Untertitel"/>
    <w:basedOn w:val="Normal"/>
    <w:next w:val="Normal"/>
    <w:pPr>
      <w:spacing w:before="0" w:after="260" w:line="276" w:lineRule="auto"/>
    </w:pPr>
    <w:rPr>
      <w:rFonts w:ascii="Aptos" w:hAnsi="Aptos" w:eastAsia="Aptos"/>
      <w:i/>
      <w:color w:val="5B6573"/>
      <w:sz w:val="22"/>
    </w:rPr>
  </w:style>
  <w:style w:type="paragraph" w:styleId="Intro" w:customStyle="true">
    <w:name w:val="Einleitung"/>
    <w:basedOn w:val="Normal"/>
    <w:next w:val="Normal"/>
    <w:pPr>
      <w:spacing w:before="0" w:after="220" w:line="276" w:lineRule="auto"/>
    </w:pPr>
    <w:rPr>
      <w:rFonts w:ascii="Aptos" w:hAnsi="Aptos" w:eastAsia="Aptos"/>
      <w:color w:val="303030"/>
      <w:sz w:val="22"/>
    </w:rPr>
  </w:style>
  <w:style w:type="paragraph" w:styleId="Heading1" w:customStyle="true">
    <w:name w:val="Überschrift 1"/>
    <w:basedOn w:val="Normal"/>
    <w:next w:val="Normal"/>
    <w:pPr>
      <w:keepNext/>
      <w:spacing w:before="260" w:after="140" w:line="276" w:lineRule="auto"/>
    </w:pPr>
    <w:rPr>
      <w:rFonts w:ascii="Aptos" w:hAnsi="Aptos" w:eastAsia="Aptos"/>
      <w:b/>
      <w:color w:val="17365D"/>
      <w:sz w:val="30"/>
    </w:rPr>
  </w:style>
  <w:style w:type="paragraph" w:styleId="Heading2" w:customStyle="true">
    <w:name w:val="Überschrift 2"/>
    <w:basedOn w:val="Normal"/>
    <w:next w:val="Normal"/>
    <w:pPr>
      <w:keepNext/>
      <w:spacing w:before="220" w:after="90" w:line="276" w:lineRule="auto"/>
    </w:pPr>
    <w:rPr>
      <w:rFonts w:ascii="Aptos" w:hAnsi="Aptos" w:eastAsia="Aptos"/>
      <w:b/>
      <w:color w:val="365F91"/>
      <w:sz w:val="24"/>
    </w:rPr>
  </w:style>
  <w:style w:type="paragraph" w:styleId="Meta" w:customStyle="true">
    <w:name w:val="Metadaten"/>
    <w:basedOn w:val="Normal"/>
    <w:next w:val="Normal"/>
    <w:pPr>
      <w:spacing w:before="0" w:after="0" w:line="276" w:lineRule="auto"/>
    </w:pPr>
    <w:rPr>
      <w:rFonts w:ascii="Aptos" w:hAnsi="Aptos" w:eastAsia="Aptos"/>
      <w:color w:val="303030"/>
      <w:sz w:val="18"/>
    </w:rPr>
  </w:style>
  <w:style w:type="paragraph" w:styleId="BodyText" w:customStyle="true">
    <w:name w:val="Textkörper"/>
    <w:basedOn w:val="Normal"/>
    <w:next w:val="Normal"/>
    <w:pPr>
      <w:spacing w:before="0" w:after="120" w:line="276" w:lineRule="auto"/>
    </w:pPr>
    <w:rPr>
      <w:rFonts w:ascii="Aptos" w:hAnsi="Aptos" w:eastAsia="Aptos"/>
      <w:color w:val="202020"/>
      <w:sz w:val="21"/>
    </w:rPr>
  </w:style>
</w:styles>
</file>

<file path=word/_rels/document.xml.rels>&#65279;<?xml version="1.0" encoding="utf-8"?><Relationships xmlns="http://schemas.openxmlformats.org/package/2006/relationships"><Relationship Type="http://schemas.openxmlformats.org/officeDocument/2006/relationships/styles" Target="/word/styles.xml" Id="Rad7b68c28da345a9" /><Relationship Type="http://schemas.openxmlformats.org/officeDocument/2006/relationships/numbering" Target="/word/numbering.xml" Id="R3eb0982dccad4076" /><Relationship Type="http://schemas.openxmlformats.org/officeDocument/2006/relationships/header" Target="/word/header1.xml" Id="R3eedd4d2b74b4dbd" /><Relationship Type="http://schemas.openxmlformats.org/officeDocument/2006/relationships/footer" Target="/word/footer1.xml" Id="Rd632d002b19e44f0" /></Relationships>
</file>