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e03fb30d54941e4" /></Relationships>
</file>

<file path=word/document.xml><?xml version="1.0" encoding="utf-8"?>
<w:document xmlns:w="http://schemas.openxmlformats.org/wordprocessingml/2006/main">
  <w:body>
    <w:tbl>
      <w:tblPr>
        <w:tblW w:w="121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100"/>
      </w:tblGrid>
      <w:tr>
        <w:tc>
          <w:tcPr>
            <w:tcW w:w="12100" w:type="dxa"/>
            <w:shd w:val="clear" w:fill="1B4965"/>
            <w:tcMar>
              <w:top w:w="280" w:type="dxa"/>
              <w:left w:w="360" w:type="dxa"/>
              <w:bottom w:w="280" w:type="dxa"/>
              <w:right w:w="360" w:type="dxa"/>
            </w:tcMar>
          </w:tcPr>
          <w:p>
            <w:pPr>
              <w:pStyle w:val="Band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8"/>
                <w:szCs w:val="18"/>
              </w:rPr>
              <w:t xml:space="preserve">TRAFAG  ·  FINANCE DATA QUALITY</w:t>
            </w:r>
          </w:p>
        </w:tc>
      </w:tr>
    </w:tbl>
    <w:p>
      <w:pPr>
        <w:pStyle w:val="Meta"/>
        <w:spacing w:after="80" w:line="260" w:lineRule="auto"/>
      </w:pPr>
      <w:r>
        <w:rPr>
          <w:rFonts w:ascii="Aptos" w:hAnsi="Aptos" w:eastAsia="Aptos"/>
          <w:b/>
          <w:color w:val="3FA7A3"/>
          <w:sz w:val="18"/>
          <w:szCs w:val="18"/>
        </w:rPr>
        <w:t xml:space="preserve">SUPPLIER REVIEW</w:t>
      </w:r>
    </w:p>
    <w:p>
      <w:pPr>
        <w:pStyle w:val="Subtitle"/>
        <w:spacing w:after="40" w:line="260" w:lineRule="auto"/>
      </w:pPr>
      <w:r>
        <w:rPr>
          <w:rFonts w:ascii="Aptos" w:hAnsi="Aptos" w:eastAsia="Aptos"/>
          <w:b/>
          <w:color w:val="1B4965"/>
          <w:sz w:val="30"/>
          <w:szCs w:val="30"/>
        </w:rPr>
        <w:t xml:space="preserve">Supplier-Status nach Ländern</w:t>
      </w:r>
    </w:p>
    <w:p>
      <w:pPr>
        <w:pStyle w:val="Subtitle"/>
        <w:spacing w:after="180" w:line="260" w:lineRule="auto"/>
      </w:pPr>
      <w:r>
        <w:rPr>
          <w:rFonts w:ascii="Aptos" w:hAnsi="Aptos" w:eastAsia="Aptos"/>
          <w:color w:val="52717F"/>
          <w:sz w:val="22"/>
          <w:szCs w:val="22"/>
        </w:rPr>
        <w:t xml:space="preserve">CH/AT-Vorprüfung und Restentscheidung für Finance</w:t>
      </w:r>
    </w:p>
    <w:p>
      <w:pPr>
        <w:pStyle w:val="Meta"/>
        <w:spacing w:after="260" w:line="260" w:lineRule="auto"/>
      </w:pPr>
      <w:r>
        <w:rPr>
          <w:rFonts w:ascii="Aptos" w:hAnsi="Aptos" w:eastAsia="Aptos"/>
          <w:color w:val="607D8B"/>
          <w:sz w:val="18"/>
          <w:szCs w:val="18"/>
        </w:rPr>
        <w:t xml:space="preserve">Stand 11. August 2026  ·  Finance Data Quality  ·  Read-only Analyse</w:t>
      </w:r>
    </w:p>
    <w:tbl>
      <w:tblPr>
        <w:tblW w:w="12100" w:type="dxa"/>
        <w:tblCellSpacing w:w="1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900"/>
        <w:gridCol w:w="3900"/>
        <w:gridCol w:w="3900"/>
      </w:tblGrid>
      <w:tr>
        <w:tc>
          <w:tcPr>
            <w:tcW w:w="3900" w:type="dxa"/>
            <w:shd w:val="clear" w:fill="EAF4F4"/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pPr>
              <w:pStyle w:val="Metric"/>
              <w:spacing w:after="20" w:line="260" w:lineRule="auto"/>
              <w:jc w:val="center"/>
            </w:pPr>
            <w:r>
              <w:rPr>
                <w:rFonts w:ascii="Aptos" w:hAnsi="Aptos" w:eastAsia="Aptos"/>
                <w:b/>
                <w:color w:val="1B4965"/>
                <w:sz w:val="34"/>
                <w:szCs w:val="34"/>
              </w:rPr>
              <w:t xml:space="preserve">96.233</w:t>
            </w:r>
          </w:p>
          <w:p>
            <w:pPr>
              <w:pStyle w:val="MetricLabel"/>
              <w:spacing w:after="0" w:line="260" w:lineRule="auto"/>
              <w:jc w:val="center"/>
            </w:pPr>
            <w:r>
              <w:rPr>
                <w:rFonts w:ascii="Aptos" w:hAnsi="Aptos" w:eastAsia="Aptos"/>
                <w:color w:val="455A64"/>
                <w:sz w:val="17"/>
                <w:szCs w:val="17"/>
              </w:rPr>
              <w:t xml:space="preserve">Sales-Zeilen</w:t>
            </w:r>
          </w:p>
        </w:tc>
        <w:tc>
          <w:tcPr>
            <w:tcW w:w="3900" w:type="dxa"/>
            <w:shd w:val="clear" w:fill="FFF4CC"/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pPr>
              <w:pStyle w:val="Metric"/>
              <w:spacing w:after="20" w:line="260" w:lineRule="auto"/>
              <w:jc w:val="center"/>
            </w:pPr>
            <w:r>
              <w:rPr>
                <w:rFonts w:ascii="Aptos" w:hAnsi="Aptos" w:eastAsia="Aptos"/>
                <w:b/>
                <w:color w:val="1B4965"/>
                <w:sz w:val="34"/>
                <w:szCs w:val="34"/>
              </w:rPr>
              <w:t xml:space="preserve">19,0 %</w:t>
            </w:r>
          </w:p>
          <w:p>
            <w:pPr>
              <w:pStyle w:val="MetricLabel"/>
              <w:spacing w:after="0" w:line="260" w:lineRule="auto"/>
              <w:jc w:val="center"/>
            </w:pPr>
            <w:r>
              <w:rPr>
                <w:rFonts w:ascii="Aptos" w:hAnsi="Aptos" w:eastAsia="Aptos"/>
                <w:color w:val="455A64"/>
                <w:sz w:val="17"/>
                <w:szCs w:val="17"/>
              </w:rPr>
              <w:t xml:space="preserve">Supplier vollständig</w:t>
            </w:r>
          </w:p>
        </w:tc>
        <w:tc>
          <w:tcPr>
            <w:tcW w:w="3900" w:type="dxa"/>
            <w:shd w:val="clear" w:fill="E3F3E7"/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pPr>
              <w:pStyle w:val="Metric"/>
              <w:spacing w:after="20" w:line="260" w:lineRule="auto"/>
              <w:jc w:val="center"/>
            </w:pPr>
            <w:r>
              <w:rPr>
                <w:rFonts w:ascii="Aptos" w:hAnsi="Aptos" w:eastAsia="Aptos"/>
                <w:b/>
                <w:color w:val="1B4965"/>
                <w:sz w:val="34"/>
                <w:szCs w:val="34"/>
              </w:rPr>
              <w:t xml:space="preserve">96,8 %</w:t>
            </w:r>
          </w:p>
          <w:p>
            <w:pPr>
              <w:pStyle w:val="MetricLabel"/>
              <w:spacing w:after="0" w:line="260" w:lineRule="auto"/>
              <w:jc w:val="center"/>
            </w:pPr>
            <w:r>
              <w:rPr>
                <w:rFonts w:ascii="Aptos" w:hAnsi="Aptos" w:eastAsia="Aptos"/>
                <w:color w:val="455A64"/>
                <w:sz w:val="17"/>
                <w:szCs w:val="17"/>
              </w:rPr>
              <w:t xml:space="preserve">CH/AT mit Kosten</w:t>
            </w:r>
          </w:p>
        </w:tc>
      </w:tr>
    </w:tbl>
    <w:p>
      <w:pPr>
        <w:pStyle w:val="Heading1"/>
        <w:spacing w:after="8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Entscheidungsvorlage</w:t>
      </w:r>
    </w:p>
    <w:tbl>
      <w:tblPr>
        <w:tblW w:w="12100" w:type="dxa"/>
        <w:tblBorders>
          <w:top w:val="nil"/>
          <w:left w:val="single" w:color="1B4965" w:sz="18"/>
          <w:bottom w:val="nil"/>
          <w:right w:val="nil"/>
          <w:insideH w:val="nil"/>
          <w:insideV w:val="nil"/>
        </w:tblBorders>
      </w:tblPr>
      <w:tblGrid>
        <w:gridCol w:w="12100"/>
      </w:tblGrid>
      <w:tr>
        <w:tc>
          <w:tcPr>
            <w:shd w:val="clear" w:fill="EAF4F4"/>
            <w:tcMar>
              <w:top w:w="180" w:type="dxa"/>
              <w:left w:w="280" w:type="dxa"/>
              <w:bottom w:w="180" w:type="dxa"/>
              <w:right w:w="280" w:type="dxa"/>
            </w:tcMar>
          </w:tcPr>
          <w:p>
            <w:pPr>
              <w:pStyle w:val="Callout"/>
              <w:spacing w:after="0" w:line="260" w:lineRule="auto"/>
            </w:pPr>
            <w:r>
              <w:rPr>
                <w:rFonts w:ascii="Aptos" w:hAnsi="Aptos" w:eastAsia="Aptos"/>
                <w:color w:val="1B4965"/>
                <w:sz w:val="18"/>
                <w:szCs w:val="18"/>
              </w:rPr>
              <w:t xml:space="preserve">CH/AT sind kein Zirkularreferenzproblem. Die bestehende TSC-Regel bestimmt die liefernde Konzerngesellschaft; WAVWR_DC/FKIMG beziehungsweise STPRS_HC bestimmen getrennt davon die Kostenbasis. Zu klären ist nur, ob nachweislich zugekaufte Materialien eine fachliche Ausnahme von der Herstellerregel bilden.</w:t>
            </w:r>
          </w:p>
        </w:tc>
      </w:tr>
    </w:tbl>
    <w:p>
      <w:pPr>
        <w:pStyle w:val="Heading1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Kurzfazit</w:t>
      </w:r>
    </w:p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•  18.241 von 96.233 Zeilen (19,0 %) besitzen alle drei Supplier-Felder; 77.992 Zeilen sind leer. Die Gesamtquote darf wegen unterschiedlicher Länderquellen nicht isoliert bewertet werden.</w:t>
      </w:r>
    </w:p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•  UK ist vollständig. Italien erreicht 71,2 %. Indien erreicht physisch 11,6 %, ist durch Sales Type aber zu 6.686 von 7.116 Zeilen (94,0 %) funktional klassifizierbar.</w:t>
      </w:r>
    </w:p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•  CH/AT liefern strukturell keinen Vorlieferanten aus der Verkaufsfaktura. 47.350 von 48.932 Zeilen (96,8 %) besitzen dennoch eine belastbare lokale Kostenbasis.</w:t>
      </w:r>
    </w:p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•  Die SAP-Vorprüfung liefert 1.191 Materialien mit Einkaufshinweis und 734 intern gestützte Materialien. Für 6.632 Materialien enthält der derzeit kleine Stücklisten-Cache keinen Direktnachweis; das ist kein Gegenbeweis zur Eigenfertigung.</w:t>
      </w:r>
    </w:p>
    <w:p>
      <w:r>
        <w:br w:type="page"/>
      </w:r>
    </w:p>
    <w:p>
      <w:pPr>
        <w:pStyle w:val="Heading1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1  Länderübersicht</w:t>
      </w:r>
    </w:p>
    <w:p>
      <w:pPr>
        <w:pStyle w:val="BodyText"/>
        <w:spacing w:after="100" w:line="260" w:lineRule="auto"/>
      </w:pPr>
      <w:r>
        <w:rPr>
          <w:rFonts w:ascii="Aptos" w:hAnsi="Aptos" w:eastAsia="Aptos"/>
          <w:color w:val="455A64"/>
          <w:sz w:val="19"/>
          <w:szCs w:val="19"/>
        </w:rPr>
        <w:t xml:space="preserve">Gemessen im aktuellen Export neu.xlsx, Blatt Sales. Die Quote bezeichnet vollständig gefüllte Supplier-Felder; Ersatzmerkmale sind in der Bewertung separat ausgewiesen.</w:t>
      </w:r>
    </w:p>
    <w:tbl>
      <w:tblPr>
        <w:tblW w:w="12150" w:type="dxa"/>
        <w:tblBorders>
          <w:top w:val="single" w:color="C7D5DC" w:sz="4"/>
          <w:left w:val="single" w:color="C7D5DC" w:sz="4"/>
          <w:bottom w:val="single" w:color="C7D5DC" w:sz="4"/>
          <w:right w:val="single" w:color="C7D5DC" w:sz="4"/>
          <w:insideH w:val="single" w:color="DCE5E9" w:sz="3"/>
          <w:insideV w:val="single" w:color="DCE5E9" w:sz="3"/>
        </w:tblBorders>
        <w:tblLayout w:type="fixed"/>
      </w:tblPr>
      <w:tblGrid>
        <w:gridCol w:w="1600"/>
        <w:gridCol w:w="800"/>
        <w:gridCol w:w="1000"/>
        <w:gridCol w:w="1000"/>
        <w:gridCol w:w="850"/>
        <w:gridCol w:w="3050"/>
        <w:gridCol w:w="3850"/>
      </w:tblGrid>
      <w:tr>
        <w:trPr>
          <w:cantSplit/>
          <w:tblHeader/>
        </w:trPr>
        <w:tc>
          <w:tcPr>
            <w:tcW w:w="16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5"/>
                <w:szCs w:val="15"/>
              </w:rPr>
              <w:t xml:space="preserve">Land</w:t>
            </w:r>
          </w:p>
        </w:tc>
        <w:tc>
          <w:tcPr>
            <w:tcW w:w="8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5"/>
                <w:szCs w:val="15"/>
              </w:rPr>
              <w:t xml:space="preserve">TSC</w:t>
            </w:r>
          </w:p>
        </w:tc>
        <w:tc>
          <w:tcPr>
            <w:tcW w:w="10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5"/>
                <w:szCs w:val="15"/>
              </w:rPr>
              <w:t xml:space="preserve">Zeilen</w:t>
            </w:r>
          </w:p>
        </w:tc>
        <w:tc>
          <w:tcPr>
            <w:tcW w:w="10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5"/>
                <w:szCs w:val="15"/>
              </w:rPr>
              <w:t xml:space="preserve">Supplier</w:t>
            </w:r>
          </w:p>
        </w:tc>
        <w:tc>
          <w:tcPr>
            <w:tcW w:w="85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5"/>
                <w:szCs w:val="15"/>
              </w:rPr>
              <w:t xml:space="preserve">Quote</w:t>
            </w:r>
          </w:p>
        </w:tc>
        <w:tc>
          <w:tcPr>
            <w:tcW w:w="305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5"/>
                <w:szCs w:val="15"/>
              </w:rPr>
              <w:t xml:space="preserve">Bewertung</w:t>
            </w:r>
          </w:p>
        </w:tc>
        <w:tc>
          <w:tcPr>
            <w:tcW w:w="385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5"/>
                <w:szCs w:val="15"/>
              </w:rPr>
              <w:t xml:space="preserve">Nächster Schritt</w:t>
            </w:r>
          </w:p>
        </w:tc>
      </w:tr>
      <w:tr>
        <w:trPr>
          <w:cantSplit/>
        </w:trPr>
        <w:tc>
          <w:tcPr>
            <w:tcW w:w="16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Schweiz</w:t>
            </w:r>
          </w:p>
        </w:tc>
        <w:tc>
          <w:tcPr>
            <w:tcW w:w="8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TRCH</w:t>
            </w:r>
          </w:p>
        </w:tc>
        <w:tc>
          <w:tcPr>
            <w:tcW w:w="1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47.142</w:t>
            </w:r>
          </w:p>
        </w:tc>
        <w:tc>
          <w:tcPr>
            <w:tcW w:w="1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0</w:t>
            </w:r>
          </w:p>
        </w:tc>
        <w:tc>
          <w:tcPr>
            <w:tcW w:w="850" w:type="dxa"/>
            <w:shd w:val="clear" w:fill="FDE8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0,0 %</w:t>
            </w:r>
          </w:p>
        </w:tc>
        <w:tc>
          <w:tcPr>
            <w:tcW w:w="305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Verkaufsquelle ohne Supplier; Herstellerregel aktiv</w:t>
            </w:r>
          </w:p>
        </w:tc>
        <w:tc>
          <w:tcPr>
            <w:tcW w:w="385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Nur SAP-markierte Ausnahmen mit Andreas entscheiden</w:t>
            </w:r>
          </w:p>
        </w:tc>
      </w:tr>
      <w:tr>
        <w:trPr>
          <w:cantSplit/>
        </w:trPr>
        <w:tc>
          <w:tcPr>
            <w:tcW w:w="16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Österreich</w:t>
            </w:r>
          </w:p>
        </w:tc>
        <w:tc>
          <w:tcPr>
            <w:tcW w:w="8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TRAT</w:t>
            </w:r>
          </w:p>
        </w:tc>
        <w:tc>
          <w:tcPr>
            <w:tcW w:w="1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1.790</w:t>
            </w:r>
          </w:p>
        </w:tc>
        <w:tc>
          <w:tcPr>
            <w:tcW w:w="1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0</w:t>
            </w:r>
          </w:p>
        </w:tc>
        <w:tc>
          <w:tcPr>
            <w:tcW w:w="850" w:type="dxa"/>
            <w:shd w:val="clear" w:fill="FDE8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0,0 %</w:t>
            </w:r>
          </w:p>
        </w:tc>
        <w:tc>
          <w:tcPr>
            <w:tcW w:w="305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Gleiche CH/AT-Quelllogik</w:t>
            </w:r>
          </w:p>
        </w:tc>
        <w:tc>
          <w:tcPr>
            <w:tcW w:w="385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Gemeinsam mit CH entscheiden; keine Massenpflege</w:t>
            </w:r>
          </w:p>
        </w:tc>
      </w:tr>
      <w:tr>
        <w:trPr>
          <w:cantSplit/>
        </w:trPr>
        <w:tc>
          <w:tcPr>
            <w:tcW w:w="16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Deutschland</w:t>
            </w:r>
          </w:p>
        </w:tc>
        <w:tc>
          <w:tcPr>
            <w:tcW w:w="8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TRDE</w:t>
            </w:r>
          </w:p>
        </w:tc>
        <w:tc>
          <w:tcPr>
            <w:tcW w:w="1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7.332</w:t>
            </w:r>
          </w:p>
        </w:tc>
        <w:tc>
          <w:tcPr>
            <w:tcW w:w="1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0</w:t>
            </w:r>
          </w:p>
        </w:tc>
        <w:tc>
          <w:tcPr>
            <w:tcW w:w="850" w:type="dxa"/>
            <w:shd w:val="clear" w:fill="FDE8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0,0 %</w:t>
            </w:r>
          </w:p>
        </w:tc>
        <w:tc>
          <w:tcPr>
            <w:tcW w:w="305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Quelle/Mapping fehlt</w:t>
            </w:r>
          </w:p>
        </w:tc>
        <w:tc>
          <w:tcPr>
            <w:tcW w:w="385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Quellfeld festlegen, neu laden, Quote nachmessen</w:t>
            </w:r>
          </w:p>
        </w:tc>
      </w:tr>
      <w:tr>
        <w:trPr>
          <w:cantSplit/>
        </w:trPr>
        <w:tc>
          <w:tcPr>
            <w:tcW w:w="16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Spanien</w:t>
            </w:r>
          </w:p>
        </w:tc>
        <w:tc>
          <w:tcPr>
            <w:tcW w:w="8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TRES</w:t>
            </w:r>
          </w:p>
        </w:tc>
        <w:tc>
          <w:tcPr>
            <w:tcW w:w="1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5.697</w:t>
            </w:r>
          </w:p>
        </w:tc>
        <w:tc>
          <w:tcPr>
            <w:tcW w:w="1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0</w:t>
            </w:r>
          </w:p>
        </w:tc>
        <w:tc>
          <w:tcPr>
            <w:tcW w:w="850" w:type="dxa"/>
            <w:shd w:val="clear" w:fill="FDE8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0,0 %</w:t>
            </w:r>
          </w:p>
        </w:tc>
        <w:tc>
          <w:tcPr>
            <w:tcW w:w="305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Quelle/Mapping fehlt</w:t>
            </w:r>
          </w:p>
        </w:tc>
        <w:tc>
          <w:tcPr>
            <w:tcW w:w="385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Antwort und Quellfeld bestätigen, Mapping ergänzen</w:t>
            </w:r>
          </w:p>
        </w:tc>
      </w:tr>
      <w:tr>
        <w:trPr>
          <w:cantSplit/>
        </w:trPr>
        <w:tc>
          <w:tcPr>
            <w:tcW w:w="16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Frankreich</w:t>
            </w:r>
          </w:p>
        </w:tc>
        <w:tc>
          <w:tcPr>
            <w:tcW w:w="8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TRFR</w:t>
            </w:r>
          </w:p>
        </w:tc>
        <w:tc>
          <w:tcPr>
            <w:tcW w:w="1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2.598</w:t>
            </w:r>
          </w:p>
        </w:tc>
        <w:tc>
          <w:tcPr>
            <w:tcW w:w="1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135</w:t>
            </w:r>
          </w:p>
        </w:tc>
        <w:tc>
          <w:tcPr>
            <w:tcW w:w="850" w:type="dxa"/>
            <w:shd w:val="clear" w:fill="FDE8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5,2 %</w:t>
            </w:r>
          </w:p>
        </w:tc>
        <w:tc>
          <w:tcPr>
            <w:tcW w:w="305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Nur punktuell gefüllt</w:t>
            </w:r>
          </w:p>
        </w:tc>
        <w:tc>
          <w:tcPr>
            <w:tcW w:w="385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2.463 Leerzeilen nach Ursache segmentieren</w:t>
            </w:r>
          </w:p>
        </w:tc>
      </w:tr>
      <w:tr>
        <w:trPr>
          <w:cantSplit/>
        </w:trPr>
        <w:tc>
          <w:tcPr>
            <w:tcW w:w="16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Indien</w:t>
            </w:r>
          </w:p>
        </w:tc>
        <w:tc>
          <w:tcPr>
            <w:tcW w:w="8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TRIN</w:t>
            </w:r>
          </w:p>
        </w:tc>
        <w:tc>
          <w:tcPr>
            <w:tcW w:w="1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7.116</w:t>
            </w:r>
          </w:p>
        </w:tc>
        <w:tc>
          <w:tcPr>
            <w:tcW w:w="1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828</w:t>
            </w:r>
          </w:p>
        </w:tc>
        <w:tc>
          <w:tcPr>
            <w:tcW w:w="850" w:type="dxa"/>
            <w:shd w:val="clear" w:fill="FFF1C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11,6 %</w:t>
            </w:r>
          </w:p>
        </w:tc>
        <w:tc>
          <w:tcPr>
            <w:tcW w:w="305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94,0 % über Sales Type klassifizierbar</w:t>
            </w:r>
          </w:p>
        </w:tc>
        <w:tc>
          <w:tcPr>
            <w:tcW w:w="385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Nur 430 Zeilen ohne Sales Type gezielt klären</w:t>
            </w:r>
          </w:p>
        </w:tc>
      </w:tr>
      <w:tr>
        <w:trPr>
          <w:cantSplit/>
        </w:trPr>
        <w:tc>
          <w:tcPr>
            <w:tcW w:w="16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Italien</w:t>
            </w:r>
          </w:p>
        </w:tc>
        <w:tc>
          <w:tcPr>
            <w:tcW w:w="8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TRIT</w:t>
            </w:r>
          </w:p>
        </w:tc>
        <w:tc>
          <w:tcPr>
            <w:tcW w:w="1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19.955</w:t>
            </w:r>
          </w:p>
        </w:tc>
        <w:tc>
          <w:tcPr>
            <w:tcW w:w="1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14.208</w:t>
            </w:r>
          </w:p>
        </w:tc>
        <w:tc>
          <w:tcPr>
            <w:tcW w:w="850" w:type="dxa"/>
            <w:shd w:val="clear" w:fill="FFF1C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71,2 %</w:t>
            </w:r>
          </w:p>
        </w:tc>
        <w:tc>
          <w:tcPr>
            <w:tcW w:w="305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Weitgehend nachgezogen</w:t>
            </w:r>
          </w:p>
        </w:tc>
        <w:tc>
          <w:tcPr>
            <w:tcW w:w="385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5.747 Restzeilen segmentieren und schließen</w:t>
            </w:r>
          </w:p>
        </w:tc>
      </w:tr>
      <w:tr>
        <w:trPr>
          <w:cantSplit/>
        </w:trPr>
        <w:tc>
          <w:tcPr>
            <w:tcW w:w="16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Vereinigtes Königreich</w:t>
            </w:r>
          </w:p>
        </w:tc>
        <w:tc>
          <w:tcPr>
            <w:tcW w:w="8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TRUK</w:t>
            </w:r>
          </w:p>
        </w:tc>
        <w:tc>
          <w:tcPr>
            <w:tcW w:w="1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3.064</w:t>
            </w:r>
          </w:p>
        </w:tc>
        <w:tc>
          <w:tcPr>
            <w:tcW w:w="1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3.064</w:t>
            </w:r>
          </w:p>
        </w:tc>
        <w:tc>
          <w:tcPr>
            <w:tcW w:w="850" w:type="dxa"/>
            <w:shd w:val="clear" w:fill="DFF1E3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100,0 %</w:t>
            </w:r>
          </w:p>
        </w:tc>
        <w:tc>
          <w:tcPr>
            <w:tcW w:w="305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Vollständig</w:t>
            </w:r>
          </w:p>
        </w:tc>
        <w:tc>
          <w:tcPr>
            <w:tcW w:w="385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Regression bei künftigen Exporten überwachen</w:t>
            </w:r>
          </w:p>
        </w:tc>
      </w:tr>
      <w:tr>
        <w:trPr>
          <w:cantSplit/>
        </w:trPr>
        <w:tc>
          <w:tcPr>
            <w:tcW w:w="16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USA</w:t>
            </w:r>
          </w:p>
        </w:tc>
        <w:tc>
          <w:tcPr>
            <w:tcW w:w="8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TRUS</w:t>
            </w:r>
          </w:p>
        </w:tc>
        <w:tc>
          <w:tcPr>
            <w:tcW w:w="1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1.539</w:t>
            </w:r>
          </w:p>
        </w:tc>
        <w:tc>
          <w:tcPr>
            <w:tcW w:w="1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6</w:t>
            </w:r>
          </w:p>
        </w:tc>
        <w:tc>
          <w:tcPr>
            <w:tcW w:w="850" w:type="dxa"/>
            <w:shd w:val="clear" w:fill="FDE8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0,4 %</w:t>
            </w:r>
          </w:p>
        </w:tc>
        <w:tc>
          <w:tcPr>
            <w:tcW w:w="305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Nahezu vollständig leer</w:t>
            </w:r>
          </w:p>
        </w:tc>
        <w:tc>
          <w:tcPr>
            <w:tcW w:w="385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Quellfeld/Mapping und Ersatzklassifikation prüfen</w:t>
            </w:r>
          </w:p>
        </w:tc>
      </w:tr>
    </w:tbl>
    <w:p>
      <w:pPr>
        <w:pStyle w:val="Caption"/>
        <w:spacing w:after="100" w:line="260" w:lineRule="auto"/>
      </w:pPr>
      <w:r>
        <w:rPr>
          <w:rFonts w:ascii="Aptos" w:hAnsi="Aptos" w:eastAsia="Aptos"/>
          <w:i/>
          <w:color w:val="607D8B"/>
          <w:sz w:val="19"/>
          <w:szCs w:val="19"/>
        </w:rPr>
        <w:t xml:space="preserve">Hinweis: Umsatzwerte werden nicht über Länder addiert, da die Exporte lokale Währungen enthalten.</w:t>
      </w:r>
    </w:p>
    <w:p>
      <w:pPr>
        <w:pStyle w:val="Heading2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Einordnung je Ländergruppe</w:t>
      </w:r>
    </w:p>
    <w:tbl>
      <w:tblPr>
        <w:tblW w:w="11300" w:type="dxa"/>
        <w:tblBorders>
          <w:top w:val="single" w:color="C7D5DC" w:sz="4"/>
          <w:left w:val="single" w:color="C7D5DC" w:sz="4"/>
          <w:bottom w:val="single" w:color="C7D5DC" w:sz="4"/>
          <w:right w:val="single" w:color="C7D5DC" w:sz="4"/>
          <w:insideH w:val="single" w:color="DCE5E9" w:sz="3"/>
          <w:insideV w:val="single" w:color="DCE5E9" w:sz="3"/>
        </w:tblBorders>
        <w:tblLayout w:type="fixed"/>
      </w:tblPr>
      <w:tblGrid>
        <w:gridCol w:w="1800"/>
        <w:gridCol w:w="1600"/>
        <w:gridCol w:w="7900"/>
      </w:tblGrid>
      <w:tr>
        <w:trPr>
          <w:cantSplit/>
          <w:tblHeader/>
        </w:trPr>
        <w:tc>
          <w:tcPr>
            <w:tcW w:w="18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Gruppe</w:t>
            </w:r>
          </w:p>
        </w:tc>
        <w:tc>
          <w:tcPr>
            <w:tcW w:w="16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Länder</w:t>
            </w:r>
          </w:p>
        </w:tc>
        <w:tc>
          <w:tcPr>
            <w:tcW w:w="79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Einordnung</w:t>
            </w:r>
          </w:p>
        </w:tc>
      </w:tr>
      <w:tr>
        <w:trPr>
          <w:cantSplit/>
        </w:trPr>
        <w:tc>
          <w:tcPr>
            <w:tcW w:w="18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6"/>
                <w:szCs w:val="16"/>
              </w:rPr>
              <w:t xml:space="preserve">Abgeschlossen</w:t>
            </w:r>
          </w:p>
        </w:tc>
        <w:tc>
          <w:tcPr>
            <w:tcW w:w="16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UK</w:t>
            </w:r>
          </w:p>
        </w:tc>
        <w:tc>
          <w:tcPr>
            <w:tcW w:w="7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Supplier-Felder vollständig; nur überwachen.</w:t>
            </w:r>
          </w:p>
        </w:tc>
      </w:tr>
      <w:tr>
        <w:trPr>
          <w:cantSplit/>
        </w:trPr>
        <w:tc>
          <w:tcPr>
            <w:tcW w:w="18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6"/>
                <w:szCs w:val="16"/>
              </w:rPr>
              <w:t xml:space="preserve">Gezielt nacharbeiten</w:t>
            </w:r>
          </w:p>
        </w:tc>
        <w:tc>
          <w:tcPr>
            <w:tcW w:w="16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IT, IN</w:t>
            </w:r>
          </w:p>
        </w:tc>
        <w:tc>
          <w:tcPr>
            <w:tcW w:w="7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Keine pauschale Massenpflege: Restursachen beziehungsweise Ersatzmerkmale nutzen.</w:t>
            </w:r>
          </w:p>
        </w:tc>
      </w:tr>
      <w:tr>
        <w:trPr>
          <w:cantSplit/>
        </w:trPr>
        <w:tc>
          <w:tcPr>
            <w:tcW w:w="18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6"/>
                <w:szCs w:val="16"/>
              </w:rPr>
              <w:t xml:space="preserve">Quelle/Mapping klären</w:t>
            </w:r>
          </w:p>
        </w:tc>
        <w:tc>
          <w:tcPr>
            <w:tcW w:w="16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DE, ES, FR, US</w:t>
            </w:r>
          </w:p>
        </w:tc>
        <w:tc>
          <w:tcPr>
            <w:tcW w:w="7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Quellfeld oder verlässliches Ersatzmerkmal je Gesellschaft bestimmen.</w:t>
            </w:r>
          </w:p>
        </w:tc>
      </w:tr>
      <w:tr>
        <w:trPr>
          <w:cantSplit/>
        </w:trPr>
        <w:tc>
          <w:tcPr>
            <w:tcW w:w="18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6"/>
                <w:szCs w:val="16"/>
              </w:rPr>
              <w:t xml:space="preserve">Fachregel bestätigen</w:t>
            </w:r>
          </w:p>
        </w:tc>
        <w:tc>
          <w:tcPr>
            <w:tcW w:w="16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CH, AT</w:t>
            </w:r>
          </w:p>
        </w:tc>
        <w:tc>
          <w:tcPr>
            <w:tcW w:w="7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Herstellerregel ist technisch umgesetzt; nur Fremdbezugs-Ausnahmen entscheiden.</w:t>
            </w:r>
          </w:p>
        </w:tc>
      </w:tr>
    </w:tbl>
    <w:p>
      <w:r>
        <w:br w:type="page"/>
      </w:r>
    </w:p>
    <w:p>
      <w:pPr>
        <w:pStyle w:val="Heading1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2  CH/AT – selbst geprüfte Nachweise</w:t>
      </w:r>
    </w:p>
    <w:p>
      <w:pPr>
        <w:pStyle w:val="BodyText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Die folgenden Werte stammen aus dem aktuellen Export und der produktiven SQLite-Datenbank. Die Zugriffe erfolgten ausschließlich read-only.</w:t>
      </w:r>
    </w:p>
    <w:p>
      <w:pPr>
        <w:pStyle w:val="Heading2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Grundmenge und Kostenbasis</w:t>
      </w:r>
    </w:p>
    <w:tbl>
      <w:tblPr>
        <w:tblW w:w="11300" w:type="dxa"/>
        <w:tblBorders>
          <w:top w:val="single" w:color="C7D5DC" w:sz="4"/>
          <w:left w:val="single" w:color="C7D5DC" w:sz="4"/>
          <w:bottom w:val="single" w:color="C7D5DC" w:sz="4"/>
          <w:right w:val="single" w:color="C7D5DC" w:sz="4"/>
          <w:insideH w:val="single" w:color="DCE5E9" w:sz="3"/>
          <w:insideV w:val="single" w:color="DCE5E9" w:sz="3"/>
        </w:tblBorders>
        <w:tblLayout w:type="fixed"/>
      </w:tblPr>
      <w:tblGrid>
        <w:gridCol w:w="4100"/>
        <w:gridCol w:w="2300"/>
        <w:gridCol w:w="4900"/>
      </w:tblGrid>
      <w:tr>
        <w:trPr>
          <w:cantSplit/>
          <w:tblHeader/>
        </w:trPr>
        <w:tc>
          <w:tcPr>
            <w:tcW w:w="41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7"/>
                <w:szCs w:val="17"/>
              </w:rPr>
              <w:t xml:space="preserve">Kennzahl</w:t>
            </w:r>
          </w:p>
        </w:tc>
        <w:tc>
          <w:tcPr>
            <w:tcW w:w="23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7"/>
                <w:szCs w:val="17"/>
              </w:rPr>
              <w:t xml:space="preserve">Ergebnis</w:t>
            </w:r>
          </w:p>
        </w:tc>
        <w:tc>
          <w:tcPr>
            <w:tcW w:w="49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7"/>
                <w:szCs w:val="17"/>
              </w:rPr>
              <w:t xml:space="preserve">Bewertung</w:t>
            </w:r>
          </w:p>
        </w:tc>
      </w:tr>
      <w:tr>
        <w:trPr>
          <w:cantSplit/>
        </w:trPr>
        <w:tc>
          <w:tcPr>
            <w:tcW w:w="41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7"/>
                <w:szCs w:val="17"/>
              </w:rPr>
              <w:t xml:space="preserve">CH/AT-Sales-Zeilen</w:t>
            </w:r>
          </w:p>
        </w:tc>
        <w:tc>
          <w:tcPr>
            <w:tcW w:w="23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48.932</w:t>
            </w:r>
          </w:p>
        </w:tc>
        <w:tc>
          <w:tcPr>
            <w:tcW w:w="4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vollständige Materialnummern</w:t>
            </w:r>
          </w:p>
        </w:tc>
      </w:tr>
      <w:tr>
        <w:trPr>
          <w:cantSplit/>
        </w:trPr>
        <w:tc>
          <w:tcPr>
            <w:tcW w:w="41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7"/>
                <w:szCs w:val="17"/>
              </w:rPr>
              <w:t xml:space="preserve">Materialien distinct</w:t>
            </w:r>
          </w:p>
        </w:tc>
        <w:tc>
          <w:tcPr>
            <w:tcW w:w="23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8.557</w:t>
            </w:r>
          </w:p>
        </w:tc>
        <w:tc>
          <w:tcPr>
            <w:tcW w:w="4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Basis der Beschaffungsprüfung</w:t>
            </w:r>
          </w:p>
        </w:tc>
      </w:tr>
      <w:tr>
        <w:trPr>
          <w:cantSplit/>
        </w:trPr>
        <w:tc>
          <w:tcPr>
            <w:tcW w:w="41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7"/>
                <w:szCs w:val="17"/>
              </w:rPr>
              <w:t xml:space="preserve">Standardkosten &gt; 0</w:t>
            </w:r>
          </w:p>
        </w:tc>
        <w:tc>
          <w:tcPr>
            <w:tcW w:w="23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47.350 (96,8 %)</w:t>
            </w:r>
          </w:p>
        </w:tc>
        <w:tc>
          <w:tcPr>
            <w:tcW w:w="4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sehr hohe Abdeckung</w:t>
            </w:r>
          </w:p>
        </w:tc>
      </w:tr>
      <w:tr>
        <w:trPr>
          <w:cantSplit/>
        </w:trPr>
        <w:tc>
          <w:tcPr>
            <w:tcW w:w="41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7"/>
                <w:szCs w:val="17"/>
              </w:rPr>
              <w:t xml:space="preserve">Produktsparte zugeordnet</w:t>
            </w:r>
          </w:p>
        </w:tc>
        <w:tc>
          <w:tcPr>
            <w:tcW w:w="23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48.752 (99,6 %)</w:t>
            </w:r>
          </w:p>
        </w:tc>
        <w:tc>
          <w:tcPr>
            <w:tcW w:w="4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gute Segmentierbarkeit, aber kein Beschaffungsbeweis</w:t>
            </w:r>
          </w:p>
        </w:tc>
      </w:tr>
      <w:tr>
        <w:trPr>
          <w:cantSplit/>
        </w:trPr>
        <w:tc>
          <w:tcPr>
            <w:tcW w:w="41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7"/>
                <w:szCs w:val="17"/>
              </w:rPr>
              <w:t xml:space="preserve">TRCH-Fremdwährungszeilen</w:t>
            </w:r>
          </w:p>
        </w:tc>
        <w:tc>
          <w:tcPr>
            <w:tcW w:w="23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18.723</w:t>
            </w:r>
          </w:p>
        </w:tc>
        <w:tc>
          <w:tcPr>
            <w:tcW w:w="4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Belegwährung ungleich CHF</w:t>
            </w:r>
          </w:p>
        </w:tc>
      </w:tr>
      <w:tr>
        <w:trPr>
          <w:cantSplit/>
        </w:trPr>
        <w:tc>
          <w:tcPr>
            <w:tcW w:w="41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7"/>
                <w:szCs w:val="17"/>
              </w:rPr>
              <w:t xml:space="preserve">WAVWR-Pfad</w:t>
            </w:r>
          </w:p>
        </w:tc>
        <w:tc>
          <w:tcPr>
            <w:tcW w:w="23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18.068</w:t>
            </w:r>
          </w:p>
        </w:tc>
        <w:tc>
          <w:tcPr>
            <w:tcW w:w="4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Kostenwährung entspricht Belegwährung</w:t>
            </w:r>
          </w:p>
        </w:tc>
      </w:tr>
      <w:tr>
        <w:trPr>
          <w:cantSplit/>
        </w:trPr>
        <w:tc>
          <w:tcPr>
            <w:tcW w:w="41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7"/>
                <w:szCs w:val="17"/>
              </w:rPr>
              <w:t xml:space="preserve">CHF-Fallback-Kandidaten</w:t>
            </w:r>
          </w:p>
        </w:tc>
        <w:tc>
          <w:tcPr>
            <w:tcW w:w="23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655</w:t>
            </w:r>
          </w:p>
        </w:tc>
        <w:tc>
          <w:tcPr>
            <w:tcW w:w="4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Kostenwährung entspricht Hauswährung</w:t>
            </w:r>
          </w:p>
        </w:tc>
      </w:tr>
      <w:tr>
        <w:trPr>
          <w:cantSplit/>
        </w:trPr>
        <w:tc>
          <w:tcPr>
            <w:tcW w:w="41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7"/>
                <w:szCs w:val="17"/>
              </w:rPr>
              <w:t xml:space="preserve">positiver CHF-Fallback</w:t>
            </w:r>
          </w:p>
        </w:tc>
        <w:tc>
          <w:tcPr>
            <w:tcW w:w="23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104</w:t>
            </w:r>
          </w:p>
        </w:tc>
        <w:tc>
          <w:tcPr>
            <w:tcW w:w="4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STPRS_HC liefert einen positiven Wert</w:t>
            </w:r>
          </w:p>
        </w:tc>
      </w:tr>
    </w:tbl>
    <w:p>
      <w:pPr>
        <w:pStyle w:val="Heading2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Kostenstichprobe</w:t>
      </w:r>
    </w:p>
    <w:tbl>
      <w:tblPr>
        <w:tblW w:w="11300" w:type="dxa"/>
        <w:tblBorders>
          <w:top w:val="single" w:color="C7D5DC" w:sz="4"/>
          <w:left w:val="single" w:color="C7D5DC" w:sz="4"/>
          <w:bottom w:val="single" w:color="C7D5DC" w:sz="4"/>
          <w:right w:val="single" w:color="C7D5DC" w:sz="4"/>
          <w:insideH w:val="single" w:color="DCE5E9" w:sz="3"/>
          <w:insideV w:val="single" w:color="DCE5E9" w:sz="3"/>
        </w:tblBorders>
        <w:tblLayout w:type="fixed"/>
      </w:tblPr>
      <w:tblGrid>
        <w:gridCol w:w="1400"/>
        <w:gridCol w:w="1900"/>
        <w:gridCol w:w="1500"/>
        <w:gridCol w:w="1700"/>
        <w:gridCol w:w="1700"/>
        <w:gridCol w:w="3100"/>
      </w:tblGrid>
      <w:tr>
        <w:trPr>
          <w:cantSplit/>
          <w:tblHeader/>
        </w:trPr>
        <w:tc>
          <w:tcPr>
            <w:tcW w:w="14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Material</w:t>
            </w:r>
          </w:p>
        </w:tc>
        <w:tc>
          <w:tcPr>
            <w:tcW w:w="19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Beleg</w:t>
            </w:r>
          </w:p>
        </w:tc>
        <w:tc>
          <w:tcPr>
            <w:tcW w:w="15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Stückkosten</w:t>
            </w:r>
          </w:p>
        </w:tc>
        <w:tc>
          <w:tcPr>
            <w:tcW w:w="17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Kostenwährung</w:t>
            </w:r>
          </w:p>
        </w:tc>
        <w:tc>
          <w:tcPr>
            <w:tcW w:w="17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Belegwährung</w:t>
            </w:r>
          </w:p>
        </w:tc>
        <w:tc>
          <w:tcPr>
            <w:tcW w:w="31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Pfad</w:t>
            </w:r>
          </w:p>
        </w:tc>
      </w:tr>
      <w:tr>
        <w:trPr>
          <w:cantSplit/>
        </w:trPr>
        <w:tc>
          <w:tcPr>
            <w:tcW w:w="14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6"/>
                <w:szCs w:val="16"/>
              </w:rPr>
              <w:t xml:space="preserve">61645</w:t>
            </w:r>
          </w:p>
        </w:tc>
        <w:tc>
          <w:tcPr>
            <w:tcW w:w="1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90369725/10</w:t>
            </w:r>
          </w:p>
        </w:tc>
        <w:tc>
          <w:tcPr>
            <w:tcW w:w="15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218,4032</w:t>
            </w:r>
          </w:p>
        </w:tc>
        <w:tc>
          <w:tcPr>
            <w:tcW w:w="17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EUR</w:t>
            </w:r>
          </w:p>
        </w:tc>
        <w:tc>
          <w:tcPr>
            <w:tcW w:w="17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EUR</w:t>
            </w:r>
          </w:p>
        </w:tc>
        <w:tc>
          <w:tcPr>
            <w:tcW w:w="31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WAVWR_DC / FKIMG</w:t>
            </w:r>
          </w:p>
        </w:tc>
      </w:tr>
      <w:tr>
        <w:trPr>
          <w:cantSplit/>
        </w:trPr>
        <w:tc>
          <w:tcPr>
            <w:tcW w:w="14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6"/>
                <w:szCs w:val="16"/>
              </w:rPr>
              <w:t xml:space="preserve">64941</w:t>
            </w:r>
          </w:p>
        </w:tc>
        <w:tc>
          <w:tcPr>
            <w:tcW w:w="1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90380614/10</w:t>
            </w:r>
          </w:p>
        </w:tc>
        <w:tc>
          <w:tcPr>
            <w:tcW w:w="15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147,2964</w:t>
            </w:r>
          </w:p>
        </w:tc>
        <w:tc>
          <w:tcPr>
            <w:tcW w:w="17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EUR</w:t>
            </w:r>
          </w:p>
        </w:tc>
        <w:tc>
          <w:tcPr>
            <w:tcW w:w="17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EUR</w:t>
            </w:r>
          </w:p>
        </w:tc>
        <w:tc>
          <w:tcPr>
            <w:tcW w:w="31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WAVWR_DC / FKIMG</w:t>
            </w:r>
          </w:p>
        </w:tc>
      </w:tr>
      <w:tr>
        <w:trPr>
          <w:cantSplit/>
        </w:trPr>
        <w:tc>
          <w:tcPr>
            <w:tcW w:w="14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6"/>
                <w:szCs w:val="16"/>
              </w:rPr>
              <w:t xml:space="preserve">42703</w:t>
            </w:r>
          </w:p>
        </w:tc>
        <w:tc>
          <w:tcPr>
            <w:tcW w:w="1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90362380/10</w:t>
            </w:r>
          </w:p>
        </w:tc>
        <w:tc>
          <w:tcPr>
            <w:tcW w:w="15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243,7517</w:t>
            </w:r>
          </w:p>
        </w:tc>
        <w:tc>
          <w:tcPr>
            <w:tcW w:w="17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USD</w:t>
            </w:r>
          </w:p>
        </w:tc>
        <w:tc>
          <w:tcPr>
            <w:tcW w:w="17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USD</w:t>
            </w:r>
          </w:p>
        </w:tc>
        <w:tc>
          <w:tcPr>
            <w:tcW w:w="31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WAVWR_DC / FKIMG</w:t>
            </w:r>
          </w:p>
        </w:tc>
      </w:tr>
      <w:tr>
        <w:trPr>
          <w:cantSplit/>
        </w:trPr>
        <w:tc>
          <w:tcPr>
            <w:tcW w:w="14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6"/>
                <w:szCs w:val="16"/>
              </w:rPr>
              <w:t xml:space="preserve">B99999</w:t>
            </w:r>
          </w:p>
        </w:tc>
        <w:tc>
          <w:tcPr>
            <w:tcW w:w="1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90381743/10</w:t>
            </w:r>
          </w:p>
        </w:tc>
        <w:tc>
          <w:tcPr>
            <w:tcW w:w="15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0,23</w:t>
            </w:r>
          </w:p>
        </w:tc>
        <w:tc>
          <w:tcPr>
            <w:tcW w:w="17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CHF</w:t>
            </w:r>
          </w:p>
        </w:tc>
        <w:tc>
          <w:tcPr>
            <w:tcW w:w="17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EUR</w:t>
            </w:r>
          </w:p>
        </w:tc>
        <w:tc>
          <w:tcPr>
            <w:tcW w:w="31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STPRS_HC-Fallback</w:t>
            </w:r>
          </w:p>
        </w:tc>
      </w:tr>
    </w:tbl>
    <w:tbl>
      <w:tblPr>
        <w:tblW w:w="12100" w:type="dxa"/>
        <w:tblBorders>
          <w:top w:val="nil"/>
          <w:left w:val="single" w:color="7A5A00" w:sz="18"/>
          <w:bottom w:val="nil"/>
          <w:right w:val="nil"/>
          <w:insideH w:val="nil"/>
          <w:insideV w:val="nil"/>
        </w:tblBorders>
      </w:tblPr>
      <w:tblGrid>
        <w:gridCol w:w="12100"/>
      </w:tblGrid>
      <w:tr>
        <w:tc>
          <w:tcPr>
            <w:shd w:val="clear" w:fill="FFF8E1"/>
            <w:tcMar>
              <w:top w:w="180" w:type="dxa"/>
              <w:left w:w="280" w:type="dxa"/>
              <w:bottom w:w="180" w:type="dxa"/>
              <w:right w:w="280" w:type="dxa"/>
            </w:tcMar>
          </w:tcPr>
          <w:p>
            <w:pPr>
              <w:pStyle w:val="Callout"/>
              <w:spacing w:after="0" w:line="260" w:lineRule="auto"/>
            </w:pPr>
            <w:r>
              <w:rPr>
                <w:rFonts w:ascii="Aptos" w:hAnsi="Aptos" w:eastAsia="Aptos"/>
                <w:color w:val="7A5A00"/>
                <w:sz w:val="18"/>
                <w:szCs w:val="18"/>
              </w:rPr>
              <w:t xml:space="preserve">Messgrenze: In CentralSalesRecords wird nur der aufgelöste Stückpreis gespeichert, nicht der ursprüngliche Rohwert WAVWR_DC. Deshalb kann lokal der Währungspfad, aber nicht jede Rohwertzeile erneut rekonstruiert werden. Die Original-SAP-Stichproben sind in FINANCE_VBRP_WAVWR_SPEZ_2026-07-16.md dokumentiert.</w:t>
            </w:r>
          </w:p>
        </w:tc>
      </w:tr>
    </w:tbl>
    <w:p>
      <w:pPr>
        <w:pStyle w:val="Heading2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Beschaffungsindizien</w:t>
      </w:r>
    </w:p>
    <w:tbl>
      <w:tblPr>
        <w:tblW w:w="11300" w:type="dxa"/>
        <w:tblBorders>
          <w:top w:val="single" w:color="C7D5DC" w:sz="4"/>
          <w:left w:val="single" w:color="C7D5DC" w:sz="4"/>
          <w:bottom w:val="single" w:color="C7D5DC" w:sz="4"/>
          <w:right w:val="single" w:color="C7D5DC" w:sz="4"/>
          <w:insideH w:val="single" w:color="DCE5E9" w:sz="3"/>
          <w:insideV w:val="single" w:color="DCE5E9" w:sz="3"/>
        </w:tblBorders>
        <w:tblLayout w:type="fixed"/>
      </w:tblPr>
      <w:tblGrid>
        <w:gridCol w:w="2500"/>
        <w:gridCol w:w="1300"/>
        <w:gridCol w:w="1300"/>
        <w:gridCol w:w="1200"/>
        <w:gridCol w:w="5000"/>
      </w:tblGrid>
      <w:tr>
        <w:trPr>
          <w:cantSplit/>
          <w:tblHeader/>
        </w:trPr>
        <w:tc>
          <w:tcPr>
            <w:tcW w:w="25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Arbeitsklasse</w:t>
            </w:r>
          </w:p>
        </w:tc>
        <w:tc>
          <w:tcPr>
            <w:tcW w:w="13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Materialien</w:t>
            </w:r>
          </w:p>
        </w:tc>
        <w:tc>
          <w:tcPr>
            <w:tcW w:w="13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Zeilen</w:t>
            </w:r>
          </w:p>
        </w:tc>
        <w:tc>
          <w:tcPr>
            <w:tcW w:w="12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Anteil</w:t>
            </w:r>
          </w:p>
        </w:tc>
        <w:tc>
          <w:tcPr>
            <w:tcW w:w="50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zCs w:val="16"/>
              </w:rPr>
              <w:t xml:space="preserve">Bedeutung</w:t>
            </w:r>
          </w:p>
        </w:tc>
      </w:tr>
      <w:tr>
        <w:trPr>
          <w:cantSplit/>
        </w:trPr>
        <w:tc>
          <w:tcPr>
            <w:tcW w:w="2500" w:type="dxa"/>
            <w:shd w:val="clear" w:fill="E3F3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6"/>
                <w:szCs w:val="16"/>
              </w:rPr>
              <w:t xml:space="preserve">Intern gut gestützt</w:t>
            </w:r>
          </w:p>
        </w:tc>
        <w:tc>
          <w:tcPr>
            <w:tcW w:w="13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734</w:t>
            </w:r>
          </w:p>
        </w:tc>
        <w:tc>
          <w:tcPr>
            <w:tcW w:w="13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8.045</w:t>
            </w:r>
          </w:p>
        </w:tc>
        <w:tc>
          <w:tcPr>
            <w:tcW w:w="12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16,4 %</w:t>
            </w:r>
          </w:p>
        </w:tc>
        <w:tc>
          <w:tcPr>
            <w:tcW w:w="5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BOM-/Stücklistenindiz oder anderer Standort nur mit Trafag/GFS</w:t>
            </w:r>
          </w:p>
        </w:tc>
      </w:tr>
      <w:tr>
        <w:trPr>
          <w:cantSplit/>
        </w:trPr>
        <w:tc>
          <w:tcPr>
            <w:tcW w:w="2500" w:type="dxa"/>
            <w:shd w:val="clear" w:fill="FFF1C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6"/>
                <w:szCs w:val="16"/>
              </w:rPr>
              <w:t xml:space="preserve">Fremdbezugs-Prüfliste</w:t>
            </w:r>
          </w:p>
        </w:tc>
        <w:tc>
          <w:tcPr>
            <w:tcW w:w="13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1.191</w:t>
            </w:r>
          </w:p>
        </w:tc>
        <w:tc>
          <w:tcPr>
            <w:tcW w:w="13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5.910</w:t>
            </w:r>
          </w:p>
        </w:tc>
        <w:tc>
          <w:tcPr>
            <w:tcW w:w="12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12,1 %</w:t>
            </w:r>
          </w:p>
        </w:tc>
        <w:tc>
          <w:tcPr>
            <w:tcW w:w="5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Echter, nicht gelöschter Einkaufsbeleg zum gleichen Material</w:t>
            </w:r>
          </w:p>
        </w:tc>
      </w:tr>
      <w:tr>
        <w:trPr>
          <w:cantSplit/>
        </w:trPr>
        <w:tc>
          <w:tcPr>
            <w:tcW w:w="2500" w:type="dxa"/>
            <w:shd w:val="clear" w:fill="EEF3F6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6"/>
                <w:szCs w:val="16"/>
              </w:rPr>
              <w:t xml:space="preserve">Ohne Direktnachweis</w:t>
            </w:r>
          </w:p>
        </w:tc>
        <w:tc>
          <w:tcPr>
            <w:tcW w:w="13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6.632</w:t>
            </w:r>
          </w:p>
        </w:tc>
        <w:tc>
          <w:tcPr>
            <w:tcW w:w="13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34.977</w:t>
            </w:r>
          </w:p>
        </w:tc>
        <w:tc>
          <w:tcPr>
            <w:tcW w:w="12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71,5 %</w:t>
            </w:r>
          </w:p>
        </w:tc>
        <w:tc>
          <w:tcPr>
            <w:tcW w:w="5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6"/>
                <w:szCs w:val="16"/>
              </w:rPr>
              <w:t xml:space="preserve">Cache liefert kein positives Indiz; kein Gegenbeweis zur Eigenfertigung</w:t>
            </w:r>
          </w:p>
        </w:tc>
      </w:tr>
    </w:tbl>
    <w:p>
      <w:pPr>
        <w:pStyle w:val="Caption"/>
        <w:spacing w:after="100" w:line="260" w:lineRule="auto"/>
      </w:pPr>
      <w:r>
        <w:rPr>
          <w:rFonts w:ascii="Aptos" w:hAnsi="Aptos" w:eastAsia="Aptos"/>
          <w:i/>
          <w:color w:val="B14A35"/>
          <w:sz w:val="19"/>
          <w:szCs w:val="19"/>
        </w:rPr>
        <w:t xml:space="preserve">Der MaterialUsageCache enthält nur 105 Zeilen. Fehlende BOM-Evidenz darf deshalb ausdrücklich nicht als fehlende Eigenfertigung interpretiert werden.</w:t>
      </w:r>
    </w:p>
    <w:p>
      <w:r>
        <w:br w:type="page"/>
      </w:r>
    </w:p>
    <w:p>
      <w:pPr>
        <w:pStyle w:val="Heading1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3  Priorisierte Stichprobe für Andreas</w:t>
      </w:r>
    </w:p>
    <w:p>
      <w:pPr>
        <w:pStyle w:val="BodyText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Diese Auswahl ersetzt eine Vollprüfung. Sie enthält die fachlich aussagekräftigsten Fremdbezugsfälle aus der SAP-Einkaufshistorie und den einzigen externen Kreuzstandort-Hinweis.</w:t>
      </w:r>
    </w:p>
    <w:tbl>
      <w:tblPr>
        <w:tblW w:w="11300" w:type="dxa"/>
        <w:tblBorders>
          <w:top w:val="single" w:color="C7D5DC" w:sz="4"/>
          <w:left w:val="single" w:color="C7D5DC" w:sz="4"/>
          <w:bottom w:val="single" w:color="C7D5DC" w:sz="4"/>
          <w:right w:val="single" w:color="C7D5DC" w:sz="4"/>
          <w:insideH w:val="single" w:color="DCE5E9" w:sz="3"/>
          <w:insideV w:val="single" w:color="DCE5E9" w:sz="3"/>
        </w:tblBorders>
        <w:tblLayout w:type="fixed"/>
      </w:tblPr>
      <w:tblGrid>
        <w:gridCol w:w="1400"/>
        <w:gridCol w:w="3000"/>
        <w:gridCol w:w="900"/>
        <w:gridCol w:w="3100"/>
        <w:gridCol w:w="2900"/>
      </w:tblGrid>
      <w:tr>
        <w:trPr>
          <w:cantSplit/>
          <w:tblHeader/>
        </w:trPr>
        <w:tc>
          <w:tcPr>
            <w:tcW w:w="14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5"/>
                <w:szCs w:val="15"/>
              </w:rPr>
              <w:t xml:space="preserve">Material</w:t>
            </w:r>
          </w:p>
        </w:tc>
        <w:tc>
          <w:tcPr>
            <w:tcW w:w="30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5"/>
                <w:szCs w:val="15"/>
              </w:rPr>
              <w:t xml:space="preserve">Bezeichnung</w:t>
            </w:r>
          </w:p>
        </w:tc>
        <w:tc>
          <w:tcPr>
            <w:tcW w:w="9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5"/>
                <w:szCs w:val="15"/>
              </w:rPr>
              <w:t xml:space="preserve">Zeilen</w:t>
            </w:r>
          </w:p>
        </w:tc>
        <w:tc>
          <w:tcPr>
            <w:tcW w:w="31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5"/>
                <w:szCs w:val="15"/>
              </w:rPr>
              <w:t xml:space="preserve">Einkaufsnachweis</w:t>
            </w:r>
          </w:p>
        </w:tc>
        <w:tc>
          <w:tcPr>
            <w:tcW w:w="29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5"/>
                <w:szCs w:val="15"/>
              </w:rPr>
              <w:t xml:space="preserve">Prüfgrund</w:t>
            </w:r>
          </w:p>
        </w:tc>
      </w:tr>
      <w:tr>
        <w:trPr>
          <w:cantSplit/>
        </w:trPr>
        <w:tc>
          <w:tcPr>
            <w:tcW w:w="14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E11221</w:t>
            </w:r>
          </w:p>
        </w:tc>
        <w:tc>
          <w:tcPr>
            <w:tcW w:w="3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ASIC TRAFAG TX2a MLPQ32</w:t>
            </w:r>
          </w:p>
        </w:tc>
        <w:tc>
          <w:tcPr>
            <w:tcW w:w="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71</w:t>
            </w:r>
          </w:p>
        </w:tc>
        <w:tc>
          <w:tcPr>
            <w:tcW w:w="31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Presto Engineering France</w:t>
            </w:r>
          </w:p>
        </w:tc>
        <w:tc>
          <w:tcPr>
            <w:tcW w:w="2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zugekaufte Elektronik</w:t>
            </w:r>
          </w:p>
        </w:tc>
      </w:tr>
      <w:tr>
        <w:trPr>
          <w:cantSplit/>
        </w:trPr>
        <w:tc>
          <w:tcPr>
            <w:tcW w:w="14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E01389</w:t>
            </w:r>
          </w:p>
        </w:tc>
        <w:tc>
          <w:tcPr>
            <w:tcW w:w="3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Schnappschalter Marquardt</w:t>
            </w:r>
          </w:p>
        </w:tc>
        <w:tc>
          <w:tcPr>
            <w:tcW w:w="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30</w:t>
            </w:r>
          </w:p>
        </w:tc>
        <w:tc>
          <w:tcPr>
            <w:tcW w:w="31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Omni Ray / Marquardt</w:t>
            </w:r>
          </w:p>
        </w:tc>
        <w:tc>
          <w:tcPr>
            <w:tcW w:w="2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zugekauftes Bauteil</w:t>
            </w:r>
          </w:p>
        </w:tc>
      </w:tr>
      <w:tr>
        <w:trPr>
          <w:cantSplit/>
        </w:trPr>
        <w:tc>
          <w:tcPr>
            <w:tcW w:w="14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C13614</w:t>
            </w:r>
          </w:p>
        </w:tc>
        <w:tc>
          <w:tcPr>
            <w:tcW w:w="3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Diagnostic Valve Block</w:t>
            </w:r>
          </w:p>
        </w:tc>
        <w:tc>
          <w:tcPr>
            <w:tcW w:w="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56</w:t>
            </w:r>
          </w:p>
        </w:tc>
        <w:tc>
          <w:tcPr>
            <w:tcW w:w="31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Sole Solution / Hwajin</w:t>
            </w:r>
          </w:p>
        </w:tc>
        <w:tc>
          <w:tcPr>
            <w:tcW w:w="2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möglicher Handels-/Baugruppenfall</w:t>
            </w:r>
          </w:p>
        </w:tc>
      </w:tr>
      <w:tr>
        <w:trPr>
          <w:cantSplit/>
        </w:trPr>
        <w:tc>
          <w:tcPr>
            <w:tcW w:w="14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E11155</w:t>
            </w:r>
          </w:p>
        </w:tc>
        <w:tc>
          <w:tcPr>
            <w:tcW w:w="3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ASIC TRAFAG TR5</w:t>
            </w:r>
          </w:p>
        </w:tc>
        <w:tc>
          <w:tcPr>
            <w:tcW w:w="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18</w:t>
            </w:r>
          </w:p>
        </w:tc>
        <w:tc>
          <w:tcPr>
            <w:tcW w:w="31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Aptasic u. a.; BESKZ F</w:t>
            </w:r>
          </w:p>
        </w:tc>
        <w:tc>
          <w:tcPr>
            <w:tcW w:w="2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stärkstes Fremdindiz</w:t>
            </w:r>
          </w:p>
        </w:tc>
      </w:tr>
      <w:tr>
        <w:trPr>
          <w:cantSplit/>
        </w:trPr>
        <w:tc>
          <w:tcPr>
            <w:tcW w:w="14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D34604</w:t>
            </w:r>
          </w:p>
        </w:tc>
        <w:tc>
          <w:tcPr>
            <w:tcW w:w="3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Cover with opening coated</w:t>
            </w:r>
          </w:p>
        </w:tc>
        <w:tc>
          <w:tcPr>
            <w:tcW w:w="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35</w:t>
            </w:r>
          </w:p>
        </w:tc>
        <w:tc>
          <w:tcPr>
            <w:tcW w:w="31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Fuchia Electron</w:t>
            </w:r>
          </w:p>
        </w:tc>
        <w:tc>
          <w:tcPr>
            <w:tcW w:w="2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zugekauftes mechanisches Teil</w:t>
            </w:r>
          </w:p>
        </w:tc>
      </w:tr>
      <w:tr>
        <w:trPr>
          <w:cantSplit/>
        </w:trPr>
        <w:tc>
          <w:tcPr>
            <w:tcW w:w="14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E11228</w:t>
            </w:r>
          </w:p>
        </w:tc>
        <w:tc>
          <w:tcPr>
            <w:tcW w:w="3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ASIC TRAFAG TX2D</w:t>
            </w:r>
          </w:p>
        </w:tc>
        <w:tc>
          <w:tcPr>
            <w:tcW w:w="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22</w:t>
            </w:r>
          </w:p>
        </w:tc>
        <w:tc>
          <w:tcPr>
            <w:tcW w:w="31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Presto Engineering France</w:t>
            </w:r>
          </w:p>
        </w:tc>
        <w:tc>
          <w:tcPr>
            <w:tcW w:w="2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zugekaufte Elektronik</w:t>
            </w:r>
          </w:p>
        </w:tc>
      </w:tr>
      <w:tr>
        <w:trPr>
          <w:cantSplit/>
        </w:trPr>
        <w:tc>
          <w:tcPr>
            <w:tcW w:w="1400" w:type="dxa"/>
            <w:shd w:val="clear" w:fill="FFE0B2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F88103</w:t>
            </w:r>
          </w:p>
        </w:tc>
        <w:tc>
          <w:tcPr>
            <w:tcW w:w="3000" w:type="dxa"/>
            <w:shd w:val="clear" w:fill="FFE0B2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8854 Transmitter EX</w:t>
            </w:r>
          </w:p>
        </w:tc>
        <w:tc>
          <w:tcPr>
            <w:tcW w:w="900" w:type="dxa"/>
            <w:shd w:val="clear" w:fill="FFE0B2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65</w:t>
            </w:r>
          </w:p>
        </w:tc>
        <w:tc>
          <w:tcPr>
            <w:tcW w:w="3100" w:type="dxa"/>
            <w:shd w:val="clear" w:fill="FFE0B2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STS Sensor Technik Sirnach</w:t>
            </w:r>
          </w:p>
        </w:tc>
        <w:tc>
          <w:tcPr>
            <w:tcW w:w="2900" w:type="dxa"/>
            <w:shd w:val="clear" w:fill="FFE0B2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fertiges Produkt; besonders relevant</w:t>
            </w:r>
          </w:p>
        </w:tc>
      </w:tr>
      <w:tr>
        <w:trPr>
          <w:cantSplit/>
        </w:trPr>
        <w:tc>
          <w:tcPr>
            <w:tcW w:w="14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D85031</w:t>
            </w:r>
          </w:p>
        </w:tc>
        <w:tc>
          <w:tcPr>
            <w:tcW w:w="3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Metallbalg NG36</w:t>
            </w:r>
          </w:p>
        </w:tc>
        <w:tc>
          <w:tcPr>
            <w:tcW w:w="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12</w:t>
            </w:r>
          </w:p>
        </w:tc>
        <w:tc>
          <w:tcPr>
            <w:tcW w:w="31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Heitz GmbH</w:t>
            </w:r>
          </w:p>
        </w:tc>
        <w:tc>
          <w:tcPr>
            <w:tcW w:w="2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zugekauftes Teil</w:t>
            </w:r>
          </w:p>
        </w:tc>
      </w:tr>
      <w:tr>
        <w:trPr>
          <w:cantSplit/>
        </w:trPr>
        <w:tc>
          <w:tcPr>
            <w:tcW w:w="14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E11220</w:t>
            </w:r>
          </w:p>
        </w:tc>
        <w:tc>
          <w:tcPr>
            <w:tcW w:w="3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ASIC TRAFAG TX1b</w:t>
            </w:r>
          </w:p>
        </w:tc>
        <w:tc>
          <w:tcPr>
            <w:tcW w:w="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13</w:t>
            </w:r>
          </w:p>
        </w:tc>
        <w:tc>
          <w:tcPr>
            <w:tcW w:w="31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Presto / Aptasic</w:t>
            </w:r>
          </w:p>
        </w:tc>
        <w:tc>
          <w:tcPr>
            <w:tcW w:w="29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zugekaufte Elektronik</w:t>
            </w:r>
          </w:p>
        </w:tc>
      </w:tr>
      <w:tr>
        <w:trPr>
          <w:cantSplit/>
        </w:trPr>
        <w:tc>
          <w:tcPr>
            <w:tcW w:w="14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C15414</w:t>
            </w:r>
          </w:p>
        </w:tc>
        <w:tc>
          <w:tcPr>
            <w:tcW w:w="3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Vessel Flange</w:t>
            </w:r>
          </w:p>
        </w:tc>
        <w:tc>
          <w:tcPr>
            <w:tcW w:w="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46</w:t>
            </w:r>
          </w:p>
        </w:tc>
        <w:tc>
          <w:tcPr>
            <w:tcW w:w="31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Plattner / CPT</w:t>
            </w:r>
          </w:p>
        </w:tc>
        <w:tc>
          <w:tcPr>
            <w:tcW w:w="29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zugekauftes mechanisches Teil</w:t>
            </w:r>
          </w:p>
        </w:tc>
      </w:tr>
      <w:tr>
        <w:trPr>
          <w:cantSplit/>
        </w:trPr>
        <w:tc>
          <w:tcPr>
            <w:tcW w:w="1400" w:type="dxa"/>
            <w:shd w:val="clear" w:fill="FFE0B2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5"/>
                <w:szCs w:val="15"/>
              </w:rPr>
              <w:t xml:space="preserve">R13025</w:t>
            </w:r>
          </w:p>
        </w:tc>
        <w:tc>
          <w:tcPr>
            <w:tcW w:w="3000" w:type="dxa"/>
            <w:shd w:val="clear" w:fill="FFE0B2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Gehäuse-Unterteil Industat</w:t>
            </w:r>
          </w:p>
        </w:tc>
        <w:tc>
          <w:tcPr>
            <w:tcW w:w="900" w:type="dxa"/>
            <w:shd w:val="clear" w:fill="FFE0B2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4</w:t>
            </w:r>
          </w:p>
        </w:tc>
        <w:tc>
          <w:tcPr>
            <w:tcW w:w="3100" w:type="dxa"/>
            <w:shd w:val="clear" w:fill="FFE0B2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TRIN: Somax Enterprise</w:t>
            </w:r>
          </w:p>
        </w:tc>
        <w:tc>
          <w:tcPr>
            <w:tcW w:w="2900" w:type="dxa"/>
            <w:shd w:val="clear" w:fill="FFE0B2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5"/>
                <w:szCs w:val="15"/>
              </w:rPr>
              <w:t xml:space="preserve">einziger externer Kreuzstandort-Hinweis</w:t>
            </w:r>
          </w:p>
        </w:tc>
      </w:tr>
    </w:tbl>
    <w:p>
      <w:pPr>
        <w:pStyle w:val="Heading2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Entscheidung, die Andreas noch treffen muss</w:t>
      </w:r>
    </w:p>
    <w:tbl>
      <w:tblPr>
        <w:tblW w:w="12100" w:type="dxa"/>
        <w:tblBorders>
          <w:top w:val="nil"/>
          <w:left w:val="single" w:color="1B4965" w:sz="18"/>
          <w:bottom w:val="nil"/>
          <w:right w:val="nil"/>
          <w:insideH w:val="nil"/>
          <w:insideV w:val="nil"/>
        </w:tblBorders>
      </w:tblPr>
      <w:tblGrid>
        <w:gridCol w:w="12100"/>
      </w:tblGrid>
      <w:tr>
        <w:tc>
          <w:tcPr>
            <w:shd w:val="clear" w:fill="EAF4F4"/>
            <w:tcMar>
              <w:top w:w="180" w:type="dxa"/>
              <w:left w:w="280" w:type="dxa"/>
              <w:bottom w:w="180" w:type="dxa"/>
              <w:right w:w="280" w:type="dxa"/>
            </w:tcMar>
          </w:tcPr>
          <w:p>
            <w:pPr>
              <w:pStyle w:val="Callout"/>
              <w:spacing w:after="0" w:line="260" w:lineRule="auto"/>
            </w:pPr>
            <w:r>
              <w:rPr>
                <w:rFonts w:ascii="Aptos" w:hAnsi="Aptos" w:eastAsia="Aptos"/>
                <w:color w:val="1B4965"/>
                <w:sz w:val="18"/>
                <w:szCs w:val="18"/>
              </w:rPr>
              <w:t xml:space="preserve">Gilt für Verkäufe von TRCH/TRAT die Herstellerregel „Intern / liefernde Gesellschaft TR_AG“ auch dann, wenn zum verkauften Material ein externer Einkaufsbeleg existiert, oder sollen solche Materialien als Ausnahme nach „Extern“ klassifiziert werden?</w:t>
            </w:r>
          </w:p>
        </w:tc>
      </w:tr>
    </w:tbl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1.  Stichprobe fachlich einordnen – besonders F88103 und R13025.</w:t>
      </w:r>
    </w:p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2.  Wenn Einkaufsbelege keine Ausnahme erzeugen: heutige CH/AT-Regel bestätigen; keine Einzelprüfung der 6.632 Cache-Lücken.</w:t>
      </w:r>
    </w:p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3.  Wenn Einkaufsbelege eine Ausnahme erzeugen: zuerst eine Zusatzbedingung wie Materialart oder Verkaufsrolle definieren; nicht blind 1.191 Materialien umklassifizieren.</w:t>
      </w:r>
    </w:p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4.  Optional den Stücklisten-Cache vollständig laden, um weitere positive Eigenfertigungsindizien zu gewinnen.</w:t>
      </w:r>
    </w:p>
    <w:p>
      <w:r>
        <w:br w:type="page"/>
      </w:r>
    </w:p>
    <w:p>
      <w:pPr>
        <w:pStyle w:val="Heading1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4  Entscheid: neuer CH-Werkstamm-Fallback</w:t>
      </w:r>
    </w:p>
    <w:tbl>
      <w:tblPr>
        <w:tblW w:w="12100" w:type="dxa"/>
        <w:tblBorders>
          <w:top w:val="nil"/>
          <w:left w:val="single" w:color="1B4965" w:sz="18"/>
          <w:bottom w:val="nil"/>
          <w:right w:val="nil"/>
          <w:insideH w:val="nil"/>
          <w:insideV w:val="nil"/>
        </w:tblBorders>
      </w:tblPr>
      <w:tblGrid>
        <w:gridCol w:w="12100"/>
      </w:tblGrid>
      <w:tr>
        <w:tc>
          <w:tcPr>
            <w:shd w:val="clear" w:fill="EAF4F4"/>
            <w:tcMar>
              <w:top w:w="180" w:type="dxa"/>
              <w:left w:w="280" w:type="dxa"/>
              <w:bottom w:w="180" w:type="dxa"/>
              <w:right w:w="280" w:type="dxa"/>
            </w:tcMar>
          </w:tcPr>
          <w:p>
            <w:pPr>
              <w:pStyle w:val="Callout"/>
              <w:spacing w:after="0" w:line="260" w:lineRule="auto"/>
            </w:pPr>
            <w:r>
              <w:rPr>
                <w:rFonts w:ascii="Aptos" w:hAnsi="Aptos" w:eastAsia="Aptos"/>
                <w:color w:val="1B4965"/>
                <w:sz w:val="18"/>
                <w:szCs w:val="18"/>
              </w:rPr>
              <w:t xml:space="preserve">Neuer Standard: Bei einem Fremdstandort ohne Supplier und ohne Sales Type wird die normalisierte Trafag-Materialnummer gegen MARC, Werk 1100, geprueft. Treffer gelten als Intern / TR_AG. Ein expliziter Supplier hat immer Vorrang. Unter Admin Bereich &gt; Settings kann jederzeit auf die bisherige MBEW-1100-Regel zurueckgeschaltet werden.</w:t>
            </w:r>
          </w:p>
        </w:tc>
      </w:tr>
    </w:tbl>
    <w:p>
      <w:pPr>
        <w:pStyle w:val="Heading2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Gemessener Unterschied</w:t>
      </w:r>
    </w:p>
    <w:tbl>
      <w:tblPr>
        <w:tblW w:w="11100" w:type="dxa"/>
        <w:tblBorders>
          <w:top w:val="single" w:color="C7D5DC" w:sz="4"/>
          <w:left w:val="single" w:color="C7D5DC" w:sz="4"/>
          <w:bottom w:val="single" w:color="C7D5DC" w:sz="4"/>
          <w:right w:val="single" w:color="C7D5DC" w:sz="4"/>
          <w:insideH w:val="single" w:color="DCE5E9" w:sz="3"/>
          <w:insideV w:val="single" w:color="DCE5E9" w:sz="3"/>
        </w:tblBorders>
        <w:tblLayout w:type="fixed"/>
      </w:tblPr>
      <w:tblGrid>
        <w:gridCol w:w="4300"/>
        <w:gridCol w:w="2500"/>
        <w:gridCol w:w="2500"/>
        <w:gridCol w:w="1800"/>
      </w:tblGrid>
      <w:tr>
        <w:trPr>
          <w:cantSplit/>
          <w:tblHeader/>
        </w:trPr>
        <w:tc>
          <w:tcPr>
            <w:tcW w:w="43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7"/>
                <w:szCs w:val="17"/>
              </w:rPr>
              <w:t xml:space="preserve">Kennzahl</w:t>
            </w:r>
          </w:p>
        </w:tc>
        <w:tc>
          <w:tcPr>
            <w:tcW w:w="25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7"/>
                <w:szCs w:val="17"/>
              </w:rPr>
              <w:t xml:space="preserve">Alt: MBEW 1100</w:t>
            </w:r>
          </w:p>
        </w:tc>
        <w:tc>
          <w:tcPr>
            <w:tcW w:w="25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7"/>
                <w:szCs w:val="17"/>
              </w:rPr>
              <w:t xml:space="preserve">Neu: MARC 1100</w:t>
            </w:r>
          </w:p>
        </w:tc>
        <w:tc>
          <w:tcPr>
            <w:tcW w:w="18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7"/>
                <w:szCs w:val="17"/>
              </w:rPr>
              <w:t xml:space="preserve">Differenz</w:t>
            </w:r>
          </w:p>
        </w:tc>
      </w:tr>
      <w:tr>
        <w:trPr>
          <w:cantSplit/>
        </w:trPr>
        <w:tc>
          <w:tcPr>
            <w:tcW w:w="43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7"/>
                <w:szCs w:val="17"/>
              </w:rPr>
              <w:t xml:space="preserve">CH-Materialien</w:t>
            </w:r>
          </w:p>
        </w:tc>
        <w:tc>
          <w:tcPr>
            <w:tcW w:w="25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63.550</w:t>
            </w:r>
          </w:p>
        </w:tc>
        <w:tc>
          <w:tcPr>
            <w:tcW w:w="25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66.047</w:t>
            </w:r>
          </w:p>
        </w:tc>
        <w:tc>
          <w:tcPr>
            <w:tcW w:w="18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+2.497</w:t>
            </w:r>
          </w:p>
        </w:tc>
      </w:tr>
      <w:tr>
        <w:trPr>
          <w:cantSplit/>
        </w:trPr>
        <w:tc>
          <w:tcPr>
            <w:tcW w:w="43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7"/>
                <w:szCs w:val="17"/>
              </w:rPr>
              <w:t xml:space="preserve">Interne Fallback-Zeilen</w:t>
            </w:r>
          </w:p>
        </w:tc>
        <w:tc>
          <w:tcPr>
            <w:tcW w:w="25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10.097</w:t>
            </w:r>
          </w:p>
        </w:tc>
        <w:tc>
          <w:tcPr>
            <w:tcW w:w="25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10.817</w:t>
            </w:r>
          </w:p>
        </w:tc>
        <w:tc>
          <w:tcPr>
            <w:tcW w:w="18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+720</w:t>
            </w:r>
          </w:p>
        </w:tc>
      </w:tr>
      <w:tr>
        <w:trPr>
          <w:cantSplit/>
        </w:trPr>
        <w:tc>
          <w:tcPr>
            <w:tcW w:w="43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7"/>
                <w:szCs w:val="17"/>
              </w:rPr>
              <w:t xml:space="preserve">Unklare Fallback-Zeilen</w:t>
            </w:r>
          </w:p>
        </w:tc>
        <w:tc>
          <w:tcPr>
            <w:tcW w:w="25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12.743</w:t>
            </w:r>
          </w:p>
        </w:tc>
        <w:tc>
          <w:tcPr>
            <w:tcW w:w="25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12.023</w:t>
            </w:r>
          </w:p>
        </w:tc>
        <w:tc>
          <w:tcPr>
            <w:tcW w:w="18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-720</w:t>
            </w:r>
          </w:p>
        </w:tc>
      </w:tr>
      <w:tr>
        <w:trPr>
          <w:cantSplit/>
        </w:trPr>
        <w:tc>
          <w:tcPr>
            <w:tcW w:w="43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7"/>
                <w:szCs w:val="17"/>
              </w:rPr>
              <w:t xml:space="preserve">Bisherige Treffer, die entfallen</w:t>
            </w:r>
          </w:p>
        </w:tc>
        <w:tc>
          <w:tcPr>
            <w:tcW w:w="25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-</w:t>
            </w:r>
          </w:p>
        </w:tc>
        <w:tc>
          <w:tcPr>
            <w:tcW w:w="25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-</w:t>
            </w:r>
          </w:p>
        </w:tc>
        <w:tc>
          <w:tcPr>
            <w:tcW w:w="18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0</w:t>
            </w:r>
          </w:p>
        </w:tc>
      </w:tr>
    </w:tbl>
    <w:p>
      <w:pPr>
        <w:pStyle w:val="Heading2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Laenderwirkung</w:t>
      </w:r>
    </w:p>
    <w:tbl>
      <w:tblPr>
        <w:tblW w:w="11300" w:type="dxa"/>
        <w:tblBorders>
          <w:top w:val="single" w:color="C7D5DC" w:sz="4"/>
          <w:left w:val="single" w:color="C7D5DC" w:sz="4"/>
          <w:bottom w:val="single" w:color="C7D5DC" w:sz="4"/>
          <w:right w:val="single" w:color="C7D5DC" w:sz="4"/>
          <w:insideH w:val="single" w:color="DCE5E9" w:sz="3"/>
          <w:insideV w:val="single" w:color="DCE5E9" w:sz="3"/>
        </w:tblBorders>
        <w:tblLayout w:type="fixed"/>
      </w:tblPr>
      <w:tblGrid>
        <w:gridCol w:w="2000"/>
        <w:gridCol w:w="2200"/>
        <w:gridCol w:w="7100"/>
      </w:tblGrid>
      <w:tr>
        <w:trPr>
          <w:cantSplit/>
          <w:tblHeader/>
        </w:trPr>
        <w:tc>
          <w:tcPr>
            <w:tcW w:w="20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7"/>
                <w:szCs w:val="17"/>
              </w:rPr>
              <w:t xml:space="preserve">TSC</w:t>
            </w:r>
          </w:p>
        </w:tc>
        <w:tc>
          <w:tcPr>
            <w:tcW w:w="22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7"/>
                <w:szCs w:val="17"/>
              </w:rPr>
              <w:t xml:space="preserve">Zusaetzlich intern</w:t>
            </w:r>
          </w:p>
        </w:tc>
        <w:tc>
          <w:tcPr>
            <w:tcW w:w="7100" w:type="dxa"/>
            <w:shd w:val="clear" w:fill="1B496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FFFFFF"/>
                <w:sz w:val="17"/>
                <w:szCs w:val="17"/>
              </w:rPr>
              <w:t xml:space="preserve">Einordnung</w:t>
            </w:r>
          </w:p>
        </w:tc>
      </w:tr>
      <w:tr>
        <w:trPr>
          <w:cantSplit/>
        </w:trPr>
        <w:tc>
          <w:tcPr>
            <w:tcW w:w="2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7"/>
                <w:szCs w:val="17"/>
              </w:rPr>
              <w:t xml:space="preserve">TRIT</w:t>
            </w:r>
          </w:p>
        </w:tc>
        <w:tc>
          <w:tcPr>
            <w:tcW w:w="22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674</w:t>
            </w:r>
          </w:p>
        </w:tc>
        <w:tc>
          <w:tcPr>
            <w:tcW w:w="71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Hauptwirkung; verbleibende Supplier-Luecken werden teilweise geschlossen</w:t>
            </w:r>
          </w:p>
        </w:tc>
      </w:tr>
      <w:tr>
        <w:trPr>
          <w:cantSplit/>
        </w:trPr>
        <w:tc>
          <w:tcPr>
            <w:tcW w:w="2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7"/>
                <w:szCs w:val="17"/>
              </w:rPr>
              <w:t xml:space="preserve">TRFR</w:t>
            </w:r>
          </w:p>
        </w:tc>
        <w:tc>
          <w:tcPr>
            <w:tcW w:w="22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28</w:t>
            </w:r>
          </w:p>
        </w:tc>
        <w:tc>
          <w:tcPr>
            <w:tcW w:w="71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kleine Erweiterung</w:t>
            </w:r>
          </w:p>
        </w:tc>
      </w:tr>
      <w:tr>
        <w:trPr>
          <w:cantSplit/>
        </w:trPr>
        <w:tc>
          <w:tcPr>
            <w:tcW w:w="2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7"/>
                <w:szCs w:val="17"/>
              </w:rPr>
              <w:t xml:space="preserve">TRUS</w:t>
            </w:r>
          </w:p>
        </w:tc>
        <w:tc>
          <w:tcPr>
            <w:tcW w:w="22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10</w:t>
            </w:r>
          </w:p>
        </w:tc>
        <w:tc>
          <w:tcPr>
            <w:tcW w:w="71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kleine Erweiterung</w:t>
            </w:r>
          </w:p>
        </w:tc>
      </w:tr>
      <w:tr>
        <w:trPr>
          <w:cantSplit/>
        </w:trPr>
        <w:tc>
          <w:tcPr>
            <w:tcW w:w="20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7"/>
                <w:szCs w:val="17"/>
              </w:rPr>
              <w:t xml:space="preserve">TRDE</w:t>
            </w:r>
          </w:p>
        </w:tc>
        <w:tc>
          <w:tcPr>
            <w:tcW w:w="22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8</w:t>
            </w:r>
          </w:p>
        </w:tc>
        <w:tc>
          <w:tcPr>
            <w:tcW w:w="7100" w:type="dxa"/>
            <w:shd w:val="clear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kleine Erweiterung</w:t>
            </w:r>
          </w:p>
        </w:tc>
      </w:tr>
      <w:tr>
        <w:trPr>
          <w:cantSplit/>
        </w:trPr>
        <w:tc>
          <w:tcPr>
            <w:tcW w:w="20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b/>
                <w:color w:val="263238"/>
                <w:sz w:val="17"/>
                <w:szCs w:val="17"/>
              </w:rPr>
              <w:t xml:space="preserve">TRES / TRIN</w:t>
            </w:r>
          </w:p>
        </w:tc>
        <w:tc>
          <w:tcPr>
            <w:tcW w:w="22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0</w:t>
            </w:r>
          </w:p>
        </w:tc>
        <w:tc>
          <w:tcPr>
            <w:tcW w:w="7100" w:type="dxa"/>
            <w:shd w:val="clear" w:fill="FAFC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>
            <w:pPr>
              <w:pStyle w:val="TableTex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7"/>
                <w:szCs w:val="17"/>
              </w:rPr>
              <w:t xml:space="preserve">keine Aenderung</w:t>
            </w:r>
          </w:p>
        </w:tc>
      </w:tr>
    </w:tbl>
    <w:tbl>
      <w:tblPr>
        <w:tblW w:w="12100" w:type="dxa"/>
        <w:tblBorders>
          <w:top w:val="nil"/>
          <w:left w:val="single" w:color="7A5A00" w:sz="18"/>
          <w:bottom w:val="nil"/>
          <w:right w:val="nil"/>
          <w:insideH w:val="nil"/>
          <w:insideV w:val="nil"/>
        </w:tblBorders>
      </w:tblPr>
      <w:tblGrid>
        <w:gridCol w:w="12100"/>
      </w:tblGrid>
      <w:tr>
        <w:tc>
          <w:tcPr>
            <w:shd w:val="clear" w:fill="FFF8E1"/>
            <w:tcMar>
              <w:top w:w="180" w:type="dxa"/>
              <w:left w:w="280" w:type="dxa"/>
              <w:bottom w:w="180" w:type="dxa"/>
              <w:right w:w="280" w:type="dxa"/>
            </w:tcMar>
          </w:tcPr>
          <w:p>
            <w:pPr>
              <w:pStyle w:val="Callout"/>
              <w:spacing w:after="0" w:line="260" w:lineRule="auto"/>
            </w:pPr>
            <w:r>
              <w:rPr>
                <w:rFonts w:ascii="Aptos" w:hAnsi="Aptos" w:eastAsia="Aptos"/>
                <w:color w:val="7A5A00"/>
                <w:sz w:val="18"/>
                <w:szCs w:val="18"/>
              </w:rPr>
              <w:t xml:space="preserve">Technischer Stand: 471/471 Tests gruen. Der gemeinsame Deploy wartet noch auf die SAP-Aktivierung von ZDISPO_GRP und ZDISPO_SPART; ein vorzeitiger Build wuerde die Einkaufs-Produktgruppennamen ausblenden. Der MARC-Backfill wurde deshalb nur read-only validiert und noch nicht produktiv geschrieben.</w:t>
            </w:r>
          </w:p>
        </w:tc>
      </w:tr>
    </w:tbl>
    <w:p>
      <w:r>
        <w:br w:type="page"/>
      </w:r>
    </w:p>
    <w:p>
      <w:pPr>
        <w:pStyle w:val="Heading1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5  Copy-ready für Issue 7</w:t>
      </w:r>
    </w:p>
    <w:p>
      <w:pPr>
        <w:pStyle w:val="Heading2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Nächster Schritt</w:t>
      </w:r>
    </w:p>
    <w:tbl>
      <w:tblPr>
        <w:tblW w:w="12100" w:type="dxa"/>
        <w:tblBorders>
          <w:top w:val="nil"/>
          <w:left w:val="single" w:color="245A34" w:sz="18"/>
          <w:bottom w:val="nil"/>
          <w:right w:val="nil"/>
          <w:insideH w:val="nil"/>
          <w:insideV w:val="nil"/>
        </w:tblBorders>
      </w:tblPr>
      <w:tblGrid>
        <w:gridCol w:w="12100"/>
      </w:tblGrid>
      <w:tr>
        <w:tc>
          <w:tcPr>
            <w:shd w:val="clear" w:fill="E3F3E7"/>
            <w:tcMar>
              <w:top w:w="180" w:type="dxa"/>
              <w:left w:w="280" w:type="dxa"/>
              <w:bottom w:w="180" w:type="dxa"/>
              <w:right w:w="280" w:type="dxa"/>
            </w:tcMar>
          </w:tcPr>
          <w:p>
            <w:pPr>
              <w:pStyle w:val="Callout"/>
              <w:spacing w:after="0" w:line="260" w:lineRule="auto"/>
            </w:pPr>
            <w:r>
              <w:rPr>
                <w:rFonts w:ascii="Aptos" w:hAnsi="Aptos" w:eastAsia="Aptos"/>
                <w:color w:val="245A34"/>
                <w:sz w:val="18"/>
                <w:szCs w:val="18"/>
              </w:rPr>
              <w:t xml:space="preserve">Nach SAP-Aktivierung von ZDISPO den gemeinsamen App-Release deployen, den MARC-Werk-1100-Cache mit 66.047 Artikeln backfillen und die erwarteten 720 zusaetzlichen Intern-Zuordnungen pruefen. Danach die verbleibenden 12.023 unklaren Fallback-Zeilen nach Land und Quellfeld bearbeiten. Fuer CH/AT mit Andreas weiterhin nur entscheiden, ob externe Einkaufsbelege Ausnahmen zur Herstellerregel bilden.</w:t>
            </w:r>
          </w:p>
        </w:tc>
      </w:tr>
    </w:tbl>
    <w:p>
      <w:pPr>
        <w:pStyle w:val="Heading2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Kommentar</w:t>
      </w:r>
    </w:p>
    <w:tbl>
      <w:tblPr>
        <w:tblW w:w="12100" w:type="dxa"/>
        <w:tblBorders>
          <w:top w:val="nil"/>
          <w:left w:val="single" w:color="263238" w:sz="18"/>
          <w:bottom w:val="nil"/>
          <w:right w:val="nil"/>
          <w:insideH w:val="nil"/>
          <w:insideV w:val="nil"/>
        </w:tblBorders>
      </w:tblPr>
      <w:tblGrid>
        <w:gridCol w:w="12100"/>
      </w:tblGrid>
      <w:tr>
        <w:tc>
          <w:tcPr>
            <w:shd w:val="clear" w:fill="F3F6F8"/>
            <w:tcMar>
              <w:top w:w="180" w:type="dxa"/>
              <w:left w:w="280" w:type="dxa"/>
              <w:bottom w:w="180" w:type="dxa"/>
              <w:right w:w="280" w:type="dxa"/>
            </w:tcMar>
          </w:tcPr>
          <w:p>
            <w:pPr>
              <w:pStyle w:val="Callout"/>
              <w:spacing w:after="0" w:line="260" w:lineRule="auto"/>
            </w:pPr>
            <w:r>
              <w:rPr>
                <w:rFonts w:ascii="Aptos" w:hAnsi="Aptos" w:eastAsia="Aptos"/>
                <w:color w:val="263238"/>
                <w:sz w:val="18"/>
                <w:szCs w:val="18"/>
              </w:rPr>
              <w:t xml:space="preserve">Fuer Fremdstandorte ohne Supplier und ohne Sales Type ist der neue, auf die alte Regel umschaltbare CH-Stammdaten-Fallback umgesetzt: Ein Treffer in MARC/Werk 1100 klassifiziert als Intern/TR_AG. Gegenueber MBEW bringt dies 720 zusaetzliche Zeilen beziehungsweise 392 Materialien, ohne bisherige Treffer zu verlieren; 674 der 720 Zeilen betreffen Italien. Ein expliziter Supplier hat immer Vorrang. CH/AT sind kein Zirkularreferenzproblem; dort bleiben Klassifikation und Kostenbasis getrennt.</w:t>
            </w:r>
          </w:p>
        </w:tc>
      </w:tr>
    </w:tbl>
    <w:p>
      <w:pPr>
        <w:pStyle w:val="Heading1"/>
        <w:spacing w:after="10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6  Nachweise und Grenzen</w:t>
      </w:r>
    </w:p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•  neu.xlsx, Blatt Sales, ausgelesen am 11.08.2026.</w:t>
      </w:r>
    </w:p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•  Produktive trafag_exporter.db, ausschließlich read-only; Messung am 11.08.2026.</w:t>
      </w:r>
    </w:p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•  Services/GroupMarginSupplierClassifier.cs und Services/GroupMarginCalculator.cs – aktuelle Klassifikations- und Kostenlogik.</w:t>
      </w:r>
    </w:p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•  docs/FINANCE_VBRP_WAVWR_SPEZ_2026-07-16.md – ursprüngliche SAP-Rohwertstichproben.</w:t>
      </w:r>
    </w:p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•  docs/FINANCE_TRIN_EIGENFERTIGUNG_2026-08-05.md – Indien-Ersatzklassifikation.</w:t>
      </w:r>
    </w:p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•  docs/FINANCE_SUPPLIER_FALLBACK_UMSCHALTER_2026-08-11.md - Messung, Umschalter, Tests und Deploymentstatus.</w:t>
      </w:r>
    </w:p>
    <w:p>
      <w:pPr>
        <w:pStyle w:val="List"/>
        <w:spacing w:after="70" w:line="260" w:lineRule="auto"/>
      </w:pPr>
      <w:r>
        <w:rPr>
          <w:rFonts w:ascii="Aptos" w:hAnsi="Aptos" w:eastAsia="Aptos"/>
          <w:color w:val="263238"/>
          <w:sz w:val="19"/>
          <w:szCs w:val="19"/>
        </w:rPr>
        <w:t xml:space="preserve">•  Grenze: MaterialUsageCache enthält nur 105 Zeilen; negative Aussagen zur Eigenfertigung sind daraus nicht zulässig.</w:t>
      </w:r>
    </w:p>
    <w:p>
      <w:pPr>
        <w:pStyle w:val="Meta"/>
        <w:spacing w:after="120" w:line="260" w:lineRule="auto"/>
      </w:pPr>
      <w:r>
        <w:rPr>
          <w:rFonts w:ascii="Aptos" w:hAnsi="Aptos" w:eastAsia="Aptos"/>
          <w:color w:val="607D8B"/>
          <w:sz w:val="19"/>
          <w:szCs w:val="19"/>
        </w:rPr>
        <w:t xml:space="preserve">Erstellt für Finance / Issue 7 · Trafag Sales Exporter</w:t>
      </w:r>
    </w:p>
    <w:sectPr>
      <w:headerReference xmlns:r="http://schemas.openxmlformats.org/officeDocument/2006/relationships" w:type="default" r:id="Rf3c4f5969ccc4f16"/>
      <w:footerReference xmlns:r="http://schemas.openxmlformats.org/officeDocument/2006/relationships" w:type="default" r:id="R24ab9c3a04f345a8"/>
      <w:pgSz w:w="16838" w:h="11906" w:orient="landscape"/>
      <w:pgMar w:top="720" w:right="720" w:bottom="720" w:left="720" w:header="320" w:footer="320"/>
      <w:cols w:space="36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Footer"/>
      <w:spacing w:after="0" w:line="260" w:lineRule="auto"/>
    </w:pPr>
    <w:r>
      <w:rPr>
        <w:rFonts w:ascii="Aptos" w:hAnsi="Aptos" w:eastAsia="Aptos"/>
        <w:color w:val="78909C"/>
        <w:sz w:val="14"/>
        <w:szCs w:val="14"/>
      </w:rPr>
      <w:t xml:space="preserve">Finance Data Quality   ·   vertrauliche Arbeitsunterlage                                      </w:t>
    </w:r>
    <w:r>
      <w:rPr>
        <w:color w:val="78909C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w="http://schemas.openxmlformats.org/wordprocessingml/2006/main">
  <w:p>
    <w:pPr>
      <w:pStyle w:val="Header"/>
      <w:spacing w:after="0" w:line="260" w:lineRule="auto"/>
    </w:pPr>
    <w:r>
      <w:rPr>
        <w:rFonts w:ascii="Aptos" w:hAnsi="Aptos" w:eastAsia="Aptos"/>
        <w:color w:val="607D8B"/>
        <w:sz w:val="15"/>
        <w:szCs w:val="15"/>
      </w:rPr>
      <w:t xml:space="preserve">TRAFAG  |  Supplier Review  |  11.08.2026</w:t>
    </w:r>
  </w:p>
</w:hdr>
</file>

<file path=word/styles.xml><?xml version="1.0" encoding="utf-8"?>
<w:styles xmlns:w="http://schemas.openxmlformats.org/wordprocessingml/2006/main">
  <w:docDefaults>
    <w:rPrDefault>
      <w:rPr>
        <w:rFonts w:ascii="Aptos" w:hAnsi="Aptos" w:eastAsia="Aptos"/>
        <w:color w:val="263238"/>
        <w:sz w:val="19"/>
      </w:rPr>
    </w:rPrDefault>
    <w:pPrDefault>
      <w:pPr>
        <w:spacing w:after="100" w:line="260" w:lineRule="auto"/>
      </w:pPr>
    </w:pPrDefault>
  </w:docDefaults>
  <w:style w:type="paragraph" w:styleId="Normal" w:customStyle="false">
    <w:name w:val="Normal"/>
    <w:pPr>
      <w:spacing w:before="0" w:after="100"/>
    </w:pPr>
    <w:rPr>
      <w:rFonts w:ascii="Aptos Display" w:hAnsi="Aptos Display" w:eastAsia="Aptos"/>
      <w:color w:val="263238"/>
      <w:sz w:val="19"/>
      <w:szCs w:val="19"/>
    </w:rPr>
  </w:style>
  <w:style w:type="paragraph" w:styleId="Title" w:customStyle="false">
    <w:name w:val="Title"/>
    <w:basedOn w:val="Normal"/>
    <w:pPr>
      <w:spacing w:before="0" w:after="100"/>
    </w:pPr>
    <w:rPr>
      <w:rFonts w:ascii="Aptos Display" w:hAnsi="Aptos Display" w:eastAsia="Aptos"/>
      <w:b/>
      <w:color w:val="1B4965"/>
      <w:sz w:val="40"/>
      <w:szCs w:val="40"/>
    </w:rPr>
  </w:style>
  <w:style w:type="paragraph" w:styleId="Subtitle" w:customStyle="false">
    <w:name w:val="Subtitle"/>
    <w:basedOn w:val="Normal"/>
    <w:pPr>
      <w:spacing w:before="0" w:after="100"/>
    </w:pPr>
    <w:rPr>
      <w:rFonts w:ascii="Aptos Display" w:hAnsi="Aptos Display" w:eastAsia="Aptos"/>
      <w:color w:val="1B4965"/>
      <w:sz w:val="28"/>
      <w:szCs w:val="28"/>
    </w:rPr>
  </w:style>
  <w:style w:type="paragraph" w:styleId="Heading1" w:customStyle="false">
    <w:name w:val="Heading 1"/>
    <w:basedOn w:val="Normal"/>
    <w:pPr>
      <w:keepNext/>
      <w:spacing w:before="320" w:after="100"/>
    </w:pPr>
    <w:rPr>
      <w:rFonts w:ascii="Aptos Display" w:hAnsi="Aptos Display" w:eastAsia="Aptos"/>
      <w:b/>
      <w:color w:val="1B4965"/>
      <w:sz w:val="27"/>
      <w:szCs w:val="27"/>
    </w:rPr>
  </w:style>
  <w:style w:type="paragraph" w:styleId="Heading2" w:customStyle="false">
    <w:name w:val="Heading 2"/>
    <w:basedOn w:val="Normal"/>
    <w:pPr>
      <w:keepNext/>
      <w:spacing w:before="220" w:after="80"/>
    </w:pPr>
    <w:rPr>
      <w:rFonts w:ascii="Aptos Display" w:hAnsi="Aptos Display" w:eastAsia="Aptos"/>
      <w:b/>
      <w:color w:val="2A6F77"/>
      <w:sz w:val="21"/>
      <w:szCs w:val="21"/>
    </w:rPr>
  </w:style>
  <w:style w:type="paragraph" w:styleId="BodyText" w:customStyle="true">
    <w:name w:val="BodyText"/>
    <w:basedOn w:val="Normal"/>
    <w:pPr>
      <w:spacing w:before="0" w:after="100"/>
    </w:pPr>
    <w:rPr>
      <w:rFonts w:ascii="Aptos Display" w:hAnsi="Aptos Display" w:eastAsia="Aptos"/>
      <w:color w:val="263238"/>
      <w:sz w:val="19"/>
      <w:szCs w:val="19"/>
    </w:rPr>
  </w:style>
  <w:style w:type="paragraph" w:styleId="List" w:customStyle="true">
    <w:name w:val="List"/>
    <w:basedOn w:val="Normal"/>
    <w:pPr>
      <w:spacing w:before="0" w:after="100"/>
    </w:pPr>
    <w:rPr>
      <w:rFonts w:ascii="Aptos Display" w:hAnsi="Aptos Display" w:eastAsia="Aptos"/>
      <w:color w:val="263238"/>
      <w:sz w:val="19"/>
      <w:szCs w:val="19"/>
    </w:rPr>
  </w:style>
  <w:style w:type="paragraph" w:styleId="Callout" w:customStyle="true">
    <w:name w:val="Callout"/>
    <w:basedOn w:val="Normal"/>
    <w:pPr>
      <w:spacing w:before="0" w:after="100"/>
    </w:pPr>
    <w:rPr>
      <w:rFonts w:ascii="Aptos Display" w:hAnsi="Aptos Display" w:eastAsia="Aptos"/>
      <w:color w:val="263238"/>
      <w:sz w:val="19"/>
      <w:szCs w:val="19"/>
    </w:rPr>
  </w:style>
  <w:style w:type="paragraph" w:styleId="TableText" w:customStyle="true">
    <w:name w:val="TableText"/>
    <w:basedOn w:val="Normal"/>
    <w:pPr>
      <w:spacing w:before="0" w:after="100"/>
    </w:pPr>
    <w:rPr>
      <w:rFonts w:ascii="Aptos Display" w:hAnsi="Aptos Display" w:eastAsia="Aptos"/>
      <w:color w:val="263238"/>
      <w:sz w:val="19"/>
      <w:szCs w:val="19"/>
    </w:rPr>
  </w:style>
  <w:style w:type="paragraph" w:styleId="Caption" w:customStyle="true">
    <w:name w:val="Caption"/>
    <w:basedOn w:val="Normal"/>
    <w:pPr>
      <w:spacing w:before="0" w:after="100"/>
    </w:pPr>
    <w:rPr>
      <w:rFonts w:ascii="Aptos Display" w:hAnsi="Aptos Display" w:eastAsia="Aptos"/>
      <w:color w:val="263238"/>
      <w:sz w:val="19"/>
      <w:szCs w:val="19"/>
    </w:rPr>
  </w:style>
  <w:style w:type="paragraph" w:styleId="Meta" w:customStyle="true">
    <w:name w:val="Meta"/>
    <w:basedOn w:val="Normal"/>
    <w:pPr>
      <w:spacing w:before="0" w:after="100"/>
    </w:pPr>
    <w:rPr>
      <w:rFonts w:ascii="Aptos Display" w:hAnsi="Aptos Display" w:eastAsia="Aptos"/>
      <w:color w:val="263238"/>
      <w:sz w:val="19"/>
      <w:szCs w:val="19"/>
    </w:rPr>
  </w:style>
  <w:style w:type="paragraph" w:styleId="Band" w:customStyle="true">
    <w:name w:val="Band"/>
    <w:basedOn w:val="Normal"/>
    <w:pPr>
      <w:spacing w:before="0" w:after="100"/>
    </w:pPr>
    <w:rPr>
      <w:rFonts w:ascii="Aptos Display" w:hAnsi="Aptos Display" w:eastAsia="Aptos"/>
      <w:color w:val="263238"/>
      <w:sz w:val="19"/>
      <w:szCs w:val="19"/>
    </w:rPr>
  </w:style>
  <w:style w:type="paragraph" w:styleId="Metric" w:customStyle="true">
    <w:name w:val="Metric"/>
    <w:basedOn w:val="Normal"/>
    <w:pPr>
      <w:spacing w:before="0" w:after="100"/>
    </w:pPr>
    <w:rPr>
      <w:rFonts w:ascii="Aptos Display" w:hAnsi="Aptos Display" w:eastAsia="Aptos"/>
      <w:color w:val="263238"/>
      <w:sz w:val="19"/>
      <w:szCs w:val="19"/>
    </w:rPr>
  </w:style>
  <w:style w:type="paragraph" w:styleId="MetricLabel" w:customStyle="true">
    <w:name w:val="MetricLabel"/>
    <w:basedOn w:val="Normal"/>
    <w:pPr>
      <w:spacing w:before="0" w:after="100"/>
    </w:pPr>
    <w:rPr>
      <w:rFonts w:ascii="Aptos Display" w:hAnsi="Aptos Display" w:eastAsia="Aptos"/>
      <w:color w:val="263238"/>
      <w:sz w:val="19"/>
      <w:szCs w:val="19"/>
    </w:rPr>
  </w:style>
  <w:style w:type="paragraph" w:styleId="Header" w:customStyle="true">
    <w:name w:val="Header"/>
    <w:basedOn w:val="Normal"/>
    <w:pPr>
      <w:spacing w:before="0" w:after="100"/>
    </w:pPr>
    <w:rPr>
      <w:rFonts w:ascii="Aptos Display" w:hAnsi="Aptos Display" w:eastAsia="Aptos"/>
      <w:color w:val="263238"/>
      <w:sz w:val="19"/>
      <w:szCs w:val="19"/>
    </w:rPr>
  </w:style>
  <w:style w:type="paragraph" w:styleId="Footer" w:customStyle="true">
    <w:name w:val="Footer"/>
    <w:basedOn w:val="Normal"/>
    <w:pPr>
      <w:spacing w:before="0" w:after="100"/>
    </w:pPr>
    <w:rPr>
      <w:rFonts w:ascii="Aptos Display" w:hAnsi="Aptos Display" w:eastAsia="Aptos"/>
      <w:color w:val="263238"/>
      <w:sz w:val="19"/>
      <w:szCs w:val="19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d64ec730c974845" /><Relationship Type="http://schemas.openxmlformats.org/officeDocument/2006/relationships/header" Target="/word/header1.xml" Id="Rf3c4f5969ccc4f16" /><Relationship Type="http://schemas.openxmlformats.org/officeDocument/2006/relationships/footer" Target="/word/footer1.xml" Id="R24ab9c3a04f345a8" /></Relationships>
</file>