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d7e63ff59721a27bbfbdb576207110ad206202"/>
    <w:p>
      <w:pPr>
        <w:pStyle w:val="Heading1"/>
      </w:pPr>
      <w:r>
        <w:t xml:space="preserve">Project Starlight: Pluto Offline Intelligence &amp; Knowledge Engine</w:t>
      </w:r>
    </w:p>
    <w:p>
      <w:pPr>
        <w:pStyle w:val="FirstParagraph"/>
      </w:pPr>
      <w:r>
        <w:rPr>
          <w:b/>
          <w:bCs/>
        </w:rPr>
        <w:t xml:space="preserve">Product Requirements Document &amp; Technical Specification</w:t>
      </w:r>
      <w:r>
        <w:br/>
      </w:r>
      <w:r>
        <w:rPr>
          <w:i/>
          <w:iCs/>
        </w:rPr>
        <w:t xml:space="preserve">Version 2.4 · Q3/Q4 Architecture Brief · Confidential / Internal</w:t>
      </w:r>
    </w:p>
    <w:p>
      <w:r>
        <w:pict>
          <v:rect style="width:0;height:1.5pt" o:hralign="center" o:hrstd="t" o:hr="t"/>
        </w:pict>
      </w:r>
    </w:p>
    <w:bookmarkStart w:id="20" w:name="executive-summary-objective"/>
    <w:p>
      <w:pPr>
        <w:pStyle w:val="Heading2"/>
      </w:pPr>
      <w:r>
        <w:t xml:space="preserve">1. Executive Summary &amp; Objective</w:t>
      </w:r>
    </w:p>
    <w:p>
      <w:pPr>
        <w:pStyle w:val="FirstParagraph"/>
      </w:pPr>
      <w:r>
        <w:t xml:space="preserve">Project Starlight delivers Pluto’s next-generation offline meeting assistant capabilities. The objective is to provide an executive-level second brain that captures, transcribes, and synthesizes conversations with zero cloud leakage, operating entirely on-device with sub-3-second note synthesis on Apple Silicon hardware.</w:t>
      </w:r>
    </w:p>
    <w:p>
      <w:pPr>
        <w:pStyle w:val="BodyText"/>
      </w:pPr>
      <w:r>
        <w:t xml:space="preserve">In this phase, Pluto introduces</w:t>
      </w:r>
      <w:r>
        <w:t xml:space="preserve"> </w:t>
      </w:r>
      <w:r>
        <w:rPr>
          <w:b/>
          <w:bCs/>
        </w:rPr>
        <w:t xml:space="preserve">Reference Document Ingestion</w:t>
      </w:r>
      <w:r>
        <w:t xml:space="preserve">, enabling users to attach project briefs, technical specs, and meeting agendas directly to specific meetings to ground and enrich LLM notes generation with exact domain context.</w:t>
      </w:r>
    </w:p>
    <w:p>
      <w:r>
        <w:pict>
          <v:rect style="width:0;height:1.5pt" o:hralign="center" o:hrstd="t" o:hr="t"/>
        </w:pict>
      </w:r>
    </w:p>
    <w:bookmarkEnd w:id="20"/>
    <w:bookmarkStart w:id="21" w:name="team-key-stakeholders"/>
    <w:p>
      <w:pPr>
        <w:pStyle w:val="Heading2"/>
      </w:pPr>
      <w:r>
        <w:t xml:space="preserve">2. Team &amp; Key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Maya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Platform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persistence, junction schema design, vector indexing, and revision hashing.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Alex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Product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 meeting notes UX, zero-footprint attachment bar, and document inspector.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Rossi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Audio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CoreAudio ring-buffer synchronization, device switching resilience, and echo cancellation.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Whisper.cpp CoreML optimization, speaker diarization, and voiceprint clustering.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rchitecture-technical-constraints"/>
    <w:p>
      <w:pPr>
        <w:pStyle w:val="Heading2"/>
      </w:pPr>
      <w:r>
        <w:t xml:space="preserve">3. Architecture &amp; Technical Constraints</w:t>
      </w:r>
    </w:p>
    <w:bookmarkStart w:id="22" w:name="local-artifacts-junction-pipeline"/>
    <w:p>
      <w:pPr>
        <w:pStyle w:val="Heading3"/>
      </w:pPr>
      <w:r>
        <w:t xml:space="preserve">3.1 Local Artifacts Junction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Schema</w:t>
      </w:r>
      <w:r>
        <w:t xml:space="preserve">: Reference documents are linked to meetings via the</w:t>
      </w:r>
      <w:r>
        <w:t xml:space="preserve"> </w:t>
      </w:r>
      <w:r>
        <w:rPr>
          <w:rStyle w:val="VerbatimChar"/>
        </w:rPr>
        <w:t xml:space="preserve">meeting_local_artifacts</w:t>
      </w:r>
      <w:r>
        <w:t xml:space="preserve"> </w:t>
      </w:r>
      <w:r>
        <w:t xml:space="preserve">junction table (</w:t>
      </w:r>
      <w:r>
        <w:rPr>
          <w:rStyle w:val="VerbatimChar"/>
        </w:rPr>
        <w:t xml:space="preserve">meeting_id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artifact_id</w:t>
      </w:r>
      <w:r>
        <w:t xml:space="preserve">) with cascading deletes on meeting or document removal.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 Invalidation &amp; Revision Hashes</w:t>
      </w:r>
      <w:r>
        <w:t xml:space="preserve">: Attaching or detaching an artifact computes a SHA-256 hash across both user notes and attached document text (</w:t>
      </w:r>
      <w:r>
        <w:rPr>
          <w:rStyle w:val="VerbatimChar"/>
        </w:rPr>
        <w:t xml:space="preserve">userNotesHash</w:t>
      </w:r>
      <w:r>
        <w:t xml:space="preserve">). Any modification invalidates outdated cached synthesis runs, prompting the user to regenerate notes.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Window Budget</w:t>
      </w:r>
      <w:r>
        <w:t xml:space="preserve">: To prevent prompt saturation on 8k/16k context local models, extracted text injected into the LLM synthesis prompt is capped at 48KB per meeting, prioritised by relevance and recency.</w:t>
      </w:r>
    </w:p>
    <w:bookmarkEnd w:id="22"/>
    <w:bookmarkStart w:id="23" w:name="supported-file-formats-extraction"/>
    <w:p>
      <w:pPr>
        <w:pStyle w:val="Heading3"/>
      </w:pPr>
      <w:r>
        <w:t xml:space="preserve">3.2 Supported File Formats &amp; Extraction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Microsoft Word (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)</w:t>
      </w:r>
      <w:r>
        <w:t xml:space="preserve">: Unzipped XML stream parser via JSZip extracting body paragraphs and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Apple Pages (</w:t>
      </w:r>
      <w:r>
        <w:rPr>
          <w:rStyle w:val="VerbatimChar"/>
          <w:b/>
          <w:bCs/>
        </w:rPr>
        <w:t xml:space="preserve">.pages</w:t>
      </w:r>
      <w:r>
        <w:rPr>
          <w:b/>
          <w:bCs/>
        </w:rPr>
        <w:t xml:space="preserve">)</w:t>
      </w:r>
      <w:r>
        <w:t xml:space="preserve">: Native zip extraction inspecting protobuf index data and quick-look previews.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Document Format (</w:t>
      </w:r>
      <w:r>
        <w:rPr>
          <w:rStyle w:val="VerbatimChar"/>
          <w:b/>
          <w:bCs/>
        </w:rPr>
        <w:t xml:space="preserve">.pdf</w:t>
      </w:r>
      <w:r>
        <w:rPr>
          <w:b/>
          <w:bCs/>
        </w:rPr>
        <w:t xml:space="preserve">)</w:t>
      </w:r>
      <w:r>
        <w:t xml:space="preserve">: Extracted via</w:t>
      </w:r>
      <w:r>
        <w:t xml:space="preserve"> </w:t>
      </w:r>
      <w:r>
        <w:rPr>
          <w:rStyle w:val="VerbatimChar"/>
        </w:rPr>
        <w:t xml:space="preserve">unpdf</w:t>
      </w:r>
      <w:r>
        <w:t xml:space="preserve"> </w:t>
      </w:r>
      <w:r>
        <w:t xml:space="preserve">with page boundary normalisation and whitespace cleanup.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Plaintext &amp; Markdown (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.txt</w:t>
      </w:r>
      <w:r>
        <w:rPr>
          <w:b/>
          <w:bCs/>
        </w:rPr>
        <w:t xml:space="preserve">)</w:t>
      </w:r>
      <w:r>
        <w:t xml:space="preserve">: UTF-8 normalized stream ingestion.</w:t>
      </w:r>
    </w:p>
    <w:bookmarkEnd w:id="23"/>
    <w:bookmarkStart w:id="24" w:name="privacy-grounding-guarantees"/>
    <w:p>
      <w:pPr>
        <w:pStyle w:val="Heading3"/>
      </w:pPr>
      <w:r>
        <w:t xml:space="preserve">3.3 Privacy &amp; Grounding Guarantees</w:t>
      </w:r>
    </w:p>
    <w:p>
      <w:pPr>
        <w:pStyle w:val="Compact"/>
        <w:numPr>
          <w:ilvl w:val="0"/>
          <w:numId w:val="1003"/>
        </w:numPr>
      </w:pPr>
      <w:r>
        <w:t xml:space="preserve">Raw audio, transcripts, and attached document text must never leave the user’s machine without explicit export actions.</w:t>
      </w:r>
    </w:p>
    <w:p>
      <w:pPr>
        <w:pStyle w:val="Compact"/>
        <w:numPr>
          <w:ilvl w:val="0"/>
          <w:numId w:val="1003"/>
        </w:numPr>
      </w:pPr>
      <w:r>
        <w:t xml:space="preserve">Notes synthesis must explicitly cite and ground claims in evidence: statements from attached documents are distinguished from spoken dialogue using</w:t>
      </w:r>
      <w:r>
        <w:t xml:space="preserve"> </w:t>
      </w:r>
      <w:r>
        <w:rPr>
          <w:rStyle w:val="VerbatimChar"/>
        </w:rPr>
        <w:t xml:space="preserve">[Attached Document: &lt;Title&gt;]</w:t>
      </w:r>
      <w:r>
        <w:t xml:space="preserve"> </w:t>
      </w:r>
      <w:r>
        <w:t xml:space="preserve">markers.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q3-sprint-milestones-deliverables"/>
    <w:p>
      <w:pPr>
        <w:pStyle w:val="Heading2"/>
      </w:pPr>
      <w:r>
        <w:t xml:space="preserve">4. Q3 Sprint Milestones &amp; Deliverables</w:t>
      </w:r>
    </w:p>
    <w:bookmarkStart w:id="26" w:name="X15137323f8c8339bb32491fdefabcd808cc8189"/>
    <w:p>
      <w:pPr>
        <w:pStyle w:val="Heading3"/>
      </w:pPr>
      <w:r>
        <w:t xml:space="preserve">Milestone 1: Document Ingestion &amp; Impeccable Notes UI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Completion</w:t>
      </w:r>
      <w:r>
        <w:t xml:space="preserve">: October 3, 2026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Owners</w:t>
      </w:r>
      <w:r>
        <w:t xml:space="preserve">: Alex Chen &amp; Maya Lin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Success Criteria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Zero-footprint empty state when no documents are attached.</w:t>
      </w:r>
    </w:p>
    <w:p>
      <w:pPr>
        <w:pStyle w:val="Compact"/>
        <w:numPr>
          <w:ilvl w:val="1"/>
          <w:numId w:val="1005"/>
        </w:numPr>
      </w:pPr>
      <w:r>
        <w:t xml:space="preserve">Document attachment accessible via dropdown (</w:t>
      </w:r>
      <w:r>
        <w:rPr>
          <w:rStyle w:val="VerbatimChar"/>
        </w:rPr>
        <w:t xml:space="preserve">...</w:t>
      </w:r>
      <w:r>
        <w:t xml:space="preserve"> </w:t>
      </w:r>
      <w:r>
        <w:t xml:space="preserve">menu) and instant drag-and-drop on the notes surface.</w:t>
      </w:r>
    </w:p>
    <w:p>
      <w:pPr>
        <w:pStyle w:val="Compact"/>
        <w:numPr>
          <w:ilvl w:val="1"/>
          <w:numId w:val="1005"/>
        </w:numPr>
      </w:pPr>
      <w:r>
        <w:t xml:space="preserve">Quiet inline badge row (</w:t>
      </w:r>
      <w:r>
        <w:rPr>
          <w:rStyle w:val="VerbatimChar"/>
        </w:rPr>
        <w:t xml:space="preserve">📎 Reference docs: [Word · PRD ✕] + Add</w:t>
      </w:r>
      <w:r>
        <w:t xml:space="preserve">) with full-text inspection modal.</w:t>
      </w:r>
    </w:p>
    <w:bookmarkEnd w:id="26"/>
    <w:bookmarkStart w:id="27" w:name="X8a3092e400d89ca65e22d2095c60c92942ad97e"/>
    <w:p>
      <w:pPr>
        <w:pStyle w:val="Heading3"/>
      </w:pPr>
      <w:r>
        <w:t xml:space="preserve">Milestone 2: Audio Pipeline Hardware Resilience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Completion</w:t>
      </w:r>
      <w:r>
        <w:t xml:space="preserve">: October 10,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</w:t>
      </w:r>
      <w:r>
        <w:t xml:space="preserve">: David Rossi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Success Criteria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Seamless audio recovery during Bluetooth headphone disconnects without crashing recording streams.</w:t>
      </w:r>
    </w:p>
    <w:p>
      <w:pPr>
        <w:pStyle w:val="Compact"/>
        <w:numPr>
          <w:ilvl w:val="1"/>
          <w:numId w:val="1007"/>
        </w:numPr>
      </w:pPr>
      <w:r>
        <w:t xml:space="preserve">Drift compensation under 15ms between system loopback and microphone input streams.</w:t>
      </w:r>
    </w:p>
    <w:bookmarkEnd w:id="27"/>
    <w:bookmarkStart w:id="28" w:name="X8b15aa2e498bc2282d47d8d50d4dbf4953a5d0b"/>
    <w:p>
      <w:pPr>
        <w:pStyle w:val="Heading3"/>
      </w:pPr>
      <w:r>
        <w:t xml:space="preserve">Milestone 3: Speaker Diarization &amp; Voice Matching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Completion</w:t>
      </w:r>
      <w:r>
        <w:t xml:space="preserve">: October 17, 2026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Owner</w:t>
      </w:r>
      <w:r>
        <w:t xml:space="preserve">: Priya Sharma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Success Criteria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CoreML Whisper.cpp inference time under 0.25x real-time on M2 Max / M3 Pro.</w:t>
      </w:r>
    </w:p>
    <w:p>
      <w:pPr>
        <w:pStyle w:val="Compact"/>
        <w:numPr>
          <w:ilvl w:val="1"/>
          <w:numId w:val="1009"/>
        </w:numPr>
      </w:pPr>
      <w:r>
        <w:t xml:space="preserve">One-click speaker voice suggestion matching against historical voiceprint embeddings.</w:t>
      </w:r>
    </w:p>
    <w:bookmarkEnd w:id="28"/>
    <w:bookmarkStart w:id="29" w:name="Xfcedb6777db30499b34a9fc42fe3c491846287c"/>
    <w:p>
      <w:pPr>
        <w:pStyle w:val="Heading3"/>
      </w:pPr>
      <w:r>
        <w:t xml:space="preserve">Milestone 4: Production Packaging &amp; Stress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 Completion</w:t>
      </w:r>
      <w:r>
        <w:t xml:space="preserve">: October 24, 2026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Owners</w:t>
      </w:r>
      <w:r>
        <w:t xml:space="preserve">: Full Engineering Team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Success Criteria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Memory consumption below 280MB during active 60-minute meeting recording.</w:t>
      </w:r>
    </w:p>
    <w:p>
      <w:pPr>
        <w:pStyle w:val="Compact"/>
        <w:numPr>
          <w:ilvl w:val="1"/>
          <w:numId w:val="1011"/>
        </w:numPr>
      </w:pPr>
      <w:r>
        <w:t xml:space="preserve">SQLite ABI rebuild verification verified across Electron updates.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ey-decisions-trade-offs"/>
    <w:p>
      <w:pPr>
        <w:pStyle w:val="Heading2"/>
      </w:pPr>
      <w:r>
        <w:t xml:space="preserve">5. Key Decisions &amp; Trade-Offs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Inline Pill Row vs. Persistent Upload Card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Decision</w:t>
      </w:r>
      <w:r>
        <w:t xml:space="preserve">: Removed the persistent upload card in favor of a zero-footprint state that renders nothing until documents are attached, nesting the primary attachment action inside the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menu and supporting drag-and-drop.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Rationale</w:t>
      </w:r>
      <w:r>
        <w:t xml:space="preserve">: Meeting notes should feel like a calm executive brief; empty dropzones add unnecessary cognitive clutter to everyday meetings.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Per-Meeting Attachments vs. Global Library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Decision</w:t>
      </w:r>
      <w:r>
        <w:t xml:space="preserve">: Adopted a junction model allowing documents to belong directly to specific meetings, while maintaining an overview in the Local Sources tab.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Rationale</w:t>
      </w:r>
      <w:r>
        <w:t xml:space="preserve">: Different meetings require distinct context (e.g., Sprint PRD vs. Legal Contract) without polluting the global LLM prompt.</w:t>
      </w:r>
    </w:p>
    <w:p>
      <w:r>
        <w:pict>
          <v:rect style="width:0;height:1.5pt" o:hralign="center" o:hrstd="t" o:hr="t"/>
        </w:pict>
      </w:r>
    </w:p>
    <w:bookmarkEnd w:id="31"/>
    <w:bookmarkStart w:id="32" w:name="open-action-items-risks"/>
    <w:p>
      <w:pPr>
        <w:pStyle w:val="Heading2"/>
      </w:pPr>
      <w:r>
        <w:t xml:space="preserve">6. Open Action Items &amp; Risks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 1 (High)</w:t>
      </w:r>
      <w:r>
        <w:t xml:space="preserve">: Scanned or image-only PDFs will produce empty text extractions without OCR.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Mitigation</w:t>
      </w:r>
      <w:r>
        <w:t xml:space="preserve">: Fallback to Apple Vision framework text recognition planned for Q4.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Action Item (Maya)</w:t>
      </w:r>
      <w:r>
        <w:t xml:space="preserve">: Benchmark SQLite junction query latency with &gt; 500 attached artifacts.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Action Item (Priya)</w:t>
      </w:r>
      <w:r>
        <w:t xml:space="preserve">: Quantize Whisper medium model to Q4_0 for 8GB RAM MacBook Air support.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Action Item (David)</w:t>
      </w:r>
      <w:r>
        <w:t xml:space="preserve">: Implement auto-retry on audio ring buffer overflow events.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2026-09-21T14:00:31Z</dcterms:created>
  <dcterms:modified xsi:type="dcterms:W3CDTF">2026-09-21T14:00:31Z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