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32BF3" w14:textId="77777777" w:rsidR="00C22765" w:rsidRDefault="004A4594">
      <w:pPr>
        <w:jc w:val="center"/>
        <w:rPr>
          <w:rFonts w:cstheme="minorHAnsi"/>
          <w:b/>
          <w:sz w:val="24"/>
          <w:szCs w:val="24"/>
          <w:u w:val="single"/>
        </w:rPr>
      </w:pPr>
      <w:r>
        <w:rPr>
          <w:rFonts w:cstheme="minorHAnsi"/>
          <w:b/>
          <w:sz w:val="24"/>
          <w:szCs w:val="24"/>
          <w:u w:val="single"/>
        </w:rPr>
        <w:t>Methods for using RTS and census commute data to estimate travel distributions by LA and by road type</w:t>
      </w:r>
    </w:p>
    <w:p w14:paraId="0199C2E7" w14:textId="77777777" w:rsidR="00C22765" w:rsidRDefault="00C22765">
      <w:pPr>
        <w:rPr>
          <w:rFonts w:cstheme="minorHAnsi"/>
          <w:b/>
          <w:i/>
          <w:iCs/>
        </w:rPr>
      </w:pPr>
    </w:p>
    <w:p w14:paraId="02D6BF2F" w14:textId="0F53F94F" w:rsidR="00C22765" w:rsidRDefault="004A4594">
      <w:pPr>
        <w:rPr>
          <w:rFonts w:cstheme="minorHAnsi"/>
          <w:b/>
          <w:bCs/>
          <w:i/>
          <w:iCs/>
        </w:rPr>
      </w:pPr>
      <w:r>
        <w:rPr>
          <w:rFonts w:cstheme="minorHAnsi"/>
          <w:b/>
          <w:bCs/>
          <w:i/>
          <w:iCs/>
        </w:rPr>
        <w:t>Part 1: Estimate the volume of traffic on motorways from RTS</w:t>
      </w:r>
    </w:p>
    <w:p w14:paraId="03712873" w14:textId="4F135CEB" w:rsidR="00C22765" w:rsidRDefault="004A4594">
      <w:r>
        <w:t>We use</w:t>
      </w:r>
      <w:r w:rsidR="00324CA5">
        <w:t>d</w:t>
      </w:r>
      <w:r>
        <w:t xml:space="preserve"> annual average daily flow (AADF) estimates from RTS</w:t>
      </w:r>
      <w:r>
        <w:rPr>
          <w:rStyle w:val="FootnoteAnchor"/>
        </w:rPr>
        <w:footnoteReference w:id="1"/>
      </w:r>
      <w:r>
        <w:t xml:space="preserve"> </w:t>
      </w:r>
      <w:r w:rsidR="00324CA5">
        <w:t>plus</w:t>
      </w:r>
      <w:r>
        <w:t xml:space="preserve"> link lengths from RTS to estimate total annual travel on motorways. The roads are described in terms of links, and each link has an estimated AADF (which might be a count of one day, and might be last year’s count augmented by an ‘expansion factor’ based on other counts). </w:t>
      </w:r>
      <w:r w:rsidR="007817DC">
        <w:t>We assign</w:t>
      </w:r>
      <w:r w:rsidR="00324CA5">
        <w:t>ed</w:t>
      </w:r>
      <w:r w:rsidR="007817DC">
        <w:t xml:space="preserve"> road type by the last </w:t>
      </w:r>
      <w:r w:rsidR="007817DC" w:rsidRPr="004A4594">
        <w:t>letter of the “</w:t>
      </w:r>
      <w:proofErr w:type="spellStart"/>
      <w:r w:rsidR="007817DC" w:rsidRPr="004A4594">
        <w:t>road_category</w:t>
      </w:r>
      <w:proofErr w:type="spellEnd"/>
      <w:r w:rsidR="007817DC" w:rsidRPr="004A4594">
        <w:t>” column.</w:t>
      </w:r>
      <w:r w:rsidR="007817DC">
        <w:rPr>
          <w:rStyle w:val="FootnoteReference"/>
        </w:rPr>
        <w:footnoteReference w:id="2"/>
      </w:r>
      <w:r w:rsidR="007817DC">
        <w:t xml:space="preserve">  A</w:t>
      </w:r>
      <w:r>
        <w:t xml:space="preserve">s each link has a link length (LL) and an AADF, we estimate total travel as 365*LL*AADF. </w:t>
      </w:r>
      <w:r w:rsidR="007817DC">
        <w:t>T</w:t>
      </w:r>
      <w:r>
        <w:t>hese estimates coincide with those provided</w:t>
      </w:r>
      <w:r w:rsidR="007817DC">
        <w:t xml:space="preserve"> for motorway travel</w:t>
      </w:r>
      <w:r>
        <w:t xml:space="preserve"> by RTS.</w:t>
      </w:r>
    </w:p>
    <w:p w14:paraId="29D4DF2E" w14:textId="5081D63D" w:rsidR="00C22765" w:rsidRDefault="004A4594">
      <w:pPr>
        <w:rPr>
          <w:i/>
          <w:iCs/>
          <w:color w:val="FF0000"/>
        </w:rPr>
      </w:pPr>
      <w:r w:rsidRPr="007817DC">
        <w:rPr>
          <w:i/>
          <w:iCs/>
          <w:color w:val="FF0000"/>
        </w:rPr>
        <w:t>-</w:t>
      </w:r>
      <w:r w:rsidR="007817DC">
        <w:rPr>
          <w:i/>
          <w:iCs/>
          <w:color w:val="FF0000"/>
        </w:rPr>
        <w:t xml:space="preserve"> NB </w:t>
      </w:r>
      <w:r w:rsidRPr="007817DC">
        <w:rPr>
          <w:i/>
          <w:iCs/>
          <w:color w:val="FF0000"/>
        </w:rPr>
        <w:t xml:space="preserve"> there are a lot of count point ids in the AADF dataset that don’t have a corresponding entry (count point id) in the link lengths dataset. </w:t>
      </w:r>
      <w:proofErr w:type="spellStart"/>
      <w:r w:rsidRPr="007817DC">
        <w:rPr>
          <w:i/>
          <w:iCs/>
          <w:color w:val="FF0000"/>
        </w:rPr>
        <w:t>E.g</w:t>
      </w:r>
      <w:proofErr w:type="spellEnd"/>
      <w:r w:rsidRPr="007817DC">
        <w:rPr>
          <w:i/>
          <w:iCs/>
          <w:color w:val="FF0000"/>
        </w:rPr>
        <w:t xml:space="preserve"> the M10 and the M41 don’t have lengths but they do have counts. Missing count points include about 100  A-road links from the Bristol city region in the years 2010 to 2015, for which we reached the same total as RTS. This amounts to 4.3% of total counts for </w:t>
      </w:r>
      <w:proofErr w:type="spellStart"/>
      <w:r w:rsidRPr="007817DC">
        <w:rPr>
          <w:i/>
          <w:iCs/>
          <w:color w:val="FF0000"/>
        </w:rPr>
        <w:t>cars_and_taxis</w:t>
      </w:r>
      <w:proofErr w:type="spellEnd"/>
      <w:r w:rsidRPr="007817DC">
        <w:rPr>
          <w:i/>
          <w:iCs/>
          <w:color w:val="FF0000"/>
        </w:rPr>
        <w:t>, 2.7% for cycles, 4% for motorbikes, 4.1% for buses, 4% for vans, 2.5% for HGVs. Considering A roads alone, it’s 6.5% for cars, 6% for HGVs, 5.8% for vans, 4.9% for motorbikes, 4.8% for buses, and 2.7% for cycles.</w:t>
      </w:r>
      <w:r w:rsidR="00EF56B9" w:rsidRPr="007817DC">
        <w:rPr>
          <w:i/>
          <w:iCs/>
          <w:color w:val="FF0000"/>
        </w:rPr>
        <w:t xml:space="preserve"> At present they are excluded from the A/M totals, which seems to match what RTS does.</w:t>
      </w:r>
      <w:r w:rsidRPr="007817DC">
        <w:rPr>
          <w:i/>
          <w:iCs/>
          <w:color w:val="FF0000"/>
        </w:rPr>
        <w:t xml:space="preserve"> [To follow up with RTS</w:t>
      </w:r>
      <w:r w:rsidR="00910127" w:rsidRPr="007817DC">
        <w:rPr>
          <w:i/>
          <w:iCs/>
          <w:color w:val="FF0000"/>
        </w:rPr>
        <w:t>…? Or just delete this</w:t>
      </w:r>
      <w:r w:rsidRPr="007817DC">
        <w:rPr>
          <w:i/>
          <w:iCs/>
          <w:color w:val="FF0000"/>
        </w:rPr>
        <w:t>]</w:t>
      </w:r>
    </w:p>
    <w:p w14:paraId="2004D5B4" w14:textId="7487114F" w:rsidR="007817DC" w:rsidRDefault="007817DC">
      <w:pPr>
        <w:rPr>
          <w:i/>
          <w:iCs/>
          <w:color w:val="FF0000"/>
        </w:rPr>
      </w:pPr>
    </w:p>
    <w:p w14:paraId="44D485C9" w14:textId="77777777" w:rsidR="007817DC" w:rsidRDefault="007817DC">
      <w:pPr>
        <w:spacing w:after="0" w:line="240" w:lineRule="auto"/>
        <w:rPr>
          <w:rFonts w:cstheme="minorHAnsi"/>
          <w:b/>
          <w:i/>
          <w:iCs/>
        </w:rPr>
      </w:pPr>
      <w:r>
        <w:rPr>
          <w:rFonts w:cstheme="minorHAnsi"/>
          <w:b/>
          <w:i/>
          <w:iCs/>
        </w:rPr>
        <w:br w:type="page"/>
      </w:r>
    </w:p>
    <w:p w14:paraId="68C125BA" w14:textId="0D565A57" w:rsidR="00C22765" w:rsidRDefault="004A4594">
      <w:pPr>
        <w:rPr>
          <w:rFonts w:cstheme="minorHAnsi"/>
          <w:b/>
          <w:i/>
          <w:iCs/>
        </w:rPr>
      </w:pPr>
      <w:r>
        <w:rPr>
          <w:rFonts w:cstheme="minorHAnsi"/>
          <w:b/>
          <w:i/>
          <w:iCs/>
        </w:rPr>
        <w:lastRenderedPageBreak/>
        <w:t>Part 2: route Census data through graphhopper</w:t>
      </w:r>
    </w:p>
    <w:p w14:paraId="54D14ED3" w14:textId="77777777" w:rsidR="00C22765" w:rsidRDefault="004A4594">
      <w:pPr>
        <w:rPr>
          <w:rFonts w:cstheme="minorHAnsi"/>
          <w:b/>
          <w:i/>
          <w:iCs/>
        </w:rPr>
      </w:pPr>
      <w:r>
        <w:rPr>
          <w:rFonts w:cstheme="minorHAnsi"/>
          <w:b/>
          <w:i/>
          <w:iCs/>
        </w:rPr>
        <w:t>Select commute origin-destination pairs from Census 2011</w:t>
      </w:r>
    </w:p>
    <w:p w14:paraId="7CC9D0F6" w14:textId="0DA96179" w:rsidR="00C22765" w:rsidRDefault="004A4594">
      <w:pPr>
        <w:pStyle w:val="ListParagraph"/>
        <w:numPr>
          <w:ilvl w:val="0"/>
          <w:numId w:val="2"/>
        </w:numPr>
        <w:rPr>
          <w:rFonts w:cstheme="minorHAnsi"/>
        </w:rPr>
      </w:pPr>
      <w:r>
        <w:rPr>
          <w:rFonts w:cstheme="minorHAnsi"/>
        </w:rPr>
        <w:t xml:space="preserve">Take a random sample of 5k commuters per LA, selecting 1k each from foot; bicycle; car (driver or passenger); motorbike; or bus. Limit selection to those who have a fixed workplace. If fewer than 1k commuters using the mod in question are available, then just use the full sample.  This gives 1.4 million commuters selected out of a total of 23 million. </w:t>
      </w:r>
    </w:p>
    <w:p w14:paraId="6562652D" w14:textId="77777777" w:rsidR="00C22765" w:rsidRDefault="004A4594">
      <w:pPr>
        <w:pStyle w:val="ListParagraph"/>
        <w:numPr>
          <w:ilvl w:val="0"/>
          <w:numId w:val="2"/>
        </w:numPr>
      </w:pPr>
      <w:r>
        <w:rPr>
          <w:rFonts w:cstheme="minorHAnsi"/>
        </w:rPr>
        <w:t xml:space="preserve">Use the LSOA:LSOA OD dataset, as this is the finest grain resolution dataset that also gives mode of travel. </w:t>
      </w:r>
    </w:p>
    <w:p w14:paraId="0AD05A46" w14:textId="77777777" w:rsidR="00C22765" w:rsidRDefault="004A4594">
      <w:pPr>
        <w:pStyle w:val="ListParagraph"/>
        <w:numPr>
          <w:ilvl w:val="0"/>
          <w:numId w:val="2"/>
        </w:numPr>
      </w:pPr>
      <w:r>
        <w:rPr>
          <w:rFonts w:cstheme="minorHAnsi"/>
        </w:rPr>
        <w:t>Use the postcode centroid for each start point, and the population-weighted centroid of the LSOA for the end point.</w:t>
      </w:r>
    </w:p>
    <w:p w14:paraId="7623EA9F" w14:textId="77777777" w:rsidR="00C22765" w:rsidRDefault="004A4594">
      <w:pPr>
        <w:pStyle w:val="ListParagraph"/>
        <w:numPr>
          <w:ilvl w:val="0"/>
          <w:numId w:val="2"/>
        </w:numPr>
        <w:rPr>
          <w:rFonts w:cstheme="minorHAnsi"/>
        </w:rPr>
      </w:pPr>
      <w:r>
        <w:rPr>
          <w:rFonts w:cstheme="minorHAnsi"/>
        </w:rPr>
        <w:t xml:space="preserve">Exclude OD-pairs which have Euclidean distance above the 98% percentile for commute trips by that mode observed in the National Travel Survey. This corresponds to a distance of 19.3 km for cycling, 4.8km for walking, 72.4km for car, 59.5km for motorbike and 27.4km for bus. These excluded trips are assumed mostly to reflect a person commuting from a different address (e.g. from a second home near their work). </w:t>
      </w:r>
    </w:p>
    <w:p w14:paraId="5AECC2A2" w14:textId="77777777" w:rsidR="00C22765" w:rsidRDefault="00C22765">
      <w:pPr>
        <w:pStyle w:val="ListParagraph"/>
        <w:rPr>
          <w:rFonts w:cstheme="minorHAnsi"/>
        </w:rPr>
      </w:pPr>
    </w:p>
    <w:p w14:paraId="47F397D8" w14:textId="77777777" w:rsidR="00C22765" w:rsidRDefault="004A4594">
      <w:pPr>
        <w:rPr>
          <w:rFonts w:cstheme="minorHAnsi"/>
          <w:b/>
          <w:i/>
          <w:iCs/>
        </w:rPr>
      </w:pPr>
      <w:r>
        <w:rPr>
          <w:rFonts w:cstheme="minorHAnsi"/>
          <w:b/>
          <w:i/>
          <w:iCs/>
        </w:rPr>
        <w:t>Route origin-destination pairs</w:t>
      </w:r>
    </w:p>
    <w:p w14:paraId="67150EE3" w14:textId="77777777" w:rsidR="00C22765" w:rsidRDefault="004A4594">
      <w:pPr>
        <w:pStyle w:val="ListParagraph"/>
        <w:numPr>
          <w:ilvl w:val="0"/>
          <w:numId w:val="2"/>
        </w:numPr>
      </w:pPr>
      <w:r>
        <w:rPr>
          <w:rFonts w:cstheme="minorHAnsi"/>
        </w:rPr>
        <w:t>Use graphhopper</w:t>
      </w:r>
      <w:r>
        <w:rPr>
          <w:rStyle w:val="FootnoteAnchor"/>
          <w:rFonts w:cstheme="minorHAnsi"/>
        </w:rPr>
        <w:footnoteReference w:id="3"/>
      </w:r>
      <w:r>
        <w:rPr>
          <w:rFonts w:cstheme="minorHAnsi"/>
        </w:rPr>
        <w:t xml:space="preserve"> to route separately for walking, cycling, car, motorbike, bus.  The routing decisions is made to provide </w:t>
      </w:r>
      <w:r>
        <w:rPr>
          <w:rFonts w:ascii="Segoe UI" w:hAnsi="Segoe UI" w:cs="Segoe UI"/>
          <w:sz w:val="21"/>
          <w:szCs w:val="21"/>
        </w:rPr>
        <w:t xml:space="preserve">the "fastest" option; graph hopper does not have the same option as </w:t>
      </w:r>
      <w:proofErr w:type="spellStart"/>
      <w:r>
        <w:rPr>
          <w:rFonts w:ascii="Segoe UI" w:hAnsi="Segoe UI" w:cs="Segoe UI"/>
          <w:sz w:val="21"/>
          <w:szCs w:val="21"/>
        </w:rPr>
        <w:t>cyclestreets</w:t>
      </w:r>
      <w:proofErr w:type="spellEnd"/>
      <w:r>
        <w:rPr>
          <w:rFonts w:ascii="Segoe UI" w:hAnsi="Segoe UI" w:cs="Segoe UI"/>
          <w:sz w:val="21"/>
          <w:szCs w:val="21"/>
        </w:rPr>
        <w:t xml:space="preserve"> to choose ‘quieter’ routes, although fastest option for bikes does also include “a complicated mix of some heuristics to also provide a rather safe route.”</w:t>
      </w:r>
    </w:p>
    <w:p w14:paraId="2DE8F701" w14:textId="77777777" w:rsidR="00C22765" w:rsidRDefault="004A4594">
      <w:pPr>
        <w:pStyle w:val="ListParagraph"/>
        <w:numPr>
          <w:ilvl w:val="0"/>
          <w:numId w:val="2"/>
        </w:numPr>
      </w:pPr>
      <w:r>
        <w:rPr>
          <w:rFonts w:cstheme="minorHAnsi"/>
        </w:rPr>
        <w:t>Graphhopper routes by mode. For bicycle use the option ‘bike’. For car/motorbike, use the option ‘car’.</w:t>
      </w:r>
      <w:r>
        <w:rPr>
          <w:rStyle w:val="FootnoteAnchor"/>
          <w:rFonts w:cstheme="minorHAnsi"/>
        </w:rPr>
        <w:footnoteReference w:id="4"/>
      </w:r>
      <w:r>
        <w:rPr>
          <w:rFonts w:cstheme="minorHAnsi"/>
        </w:rPr>
        <w:t xml:space="preserve"> For bus use the mode ‘truck’, as the closest mode option available.</w:t>
      </w:r>
      <w:r>
        <w:rPr>
          <w:rStyle w:val="FootnoteAnchor"/>
          <w:rFonts w:cstheme="minorHAnsi"/>
        </w:rPr>
        <w:footnoteReference w:id="5"/>
      </w:r>
    </w:p>
    <w:p w14:paraId="5D58A15A" w14:textId="16812BCA" w:rsidR="00C22765" w:rsidRDefault="004A4594">
      <w:pPr>
        <w:pStyle w:val="ListParagraph"/>
        <w:numPr>
          <w:ilvl w:val="0"/>
          <w:numId w:val="2"/>
        </w:numPr>
        <w:rPr>
          <w:rFonts w:cstheme="minorHAnsi"/>
        </w:rPr>
      </w:pPr>
      <w:r>
        <w:rPr>
          <w:rFonts w:cstheme="minorHAnsi"/>
        </w:rPr>
        <w:t xml:space="preserve">Graphhopper provides information on road type, drawing on OpenStreetMap. </w:t>
      </w:r>
      <w:r w:rsidR="007817DC">
        <w:rPr>
          <w:rFonts w:cstheme="minorHAnsi"/>
        </w:rPr>
        <w:t>Roads are divided into ‘motorway’ and ‘other’.</w:t>
      </w:r>
    </w:p>
    <w:p w14:paraId="29DF6A13" w14:textId="77777777" w:rsidR="00C22765" w:rsidRDefault="00C22765">
      <w:pPr>
        <w:pStyle w:val="ListParagraph"/>
        <w:rPr>
          <w:rFonts w:cstheme="minorHAnsi"/>
        </w:rPr>
      </w:pPr>
    </w:p>
    <w:p w14:paraId="7AF519C4" w14:textId="77777777" w:rsidR="00C22765" w:rsidRDefault="004A4594">
      <w:pPr>
        <w:spacing w:after="0" w:line="240" w:lineRule="auto"/>
        <w:rPr>
          <w:rFonts w:cstheme="minorHAnsi"/>
          <w:b/>
          <w:bCs/>
          <w:i/>
          <w:iCs/>
        </w:rPr>
      </w:pPr>
      <w:r>
        <w:br w:type="page"/>
      </w:r>
    </w:p>
    <w:p w14:paraId="27EA5D41" w14:textId="359D09D8" w:rsidR="00C22765" w:rsidRDefault="004A4594">
      <w:pPr>
        <w:rPr>
          <w:rFonts w:cstheme="minorHAnsi"/>
          <w:b/>
          <w:bCs/>
          <w:i/>
          <w:iCs/>
        </w:rPr>
      </w:pPr>
      <w:r>
        <w:rPr>
          <w:rFonts w:cstheme="minorHAnsi"/>
          <w:b/>
          <w:i/>
          <w:iCs/>
        </w:rPr>
        <w:lastRenderedPageBreak/>
        <w:t xml:space="preserve">Part 3: </w:t>
      </w:r>
      <w:r>
        <w:rPr>
          <w:rFonts w:cstheme="minorHAnsi"/>
          <w:b/>
          <w:bCs/>
          <w:i/>
          <w:iCs/>
        </w:rPr>
        <w:t xml:space="preserve">Process the graphhopper estimates to estimate travel by road type for </w:t>
      </w:r>
      <w:r>
        <w:rPr>
          <w:rFonts w:cstheme="minorHAnsi"/>
          <w:b/>
          <w:bCs/>
          <w:i/>
          <w:iCs/>
          <w:u w:val="single"/>
        </w:rPr>
        <w:t>all trips</w:t>
      </w:r>
      <w:r>
        <w:rPr>
          <w:rFonts w:cstheme="minorHAnsi"/>
          <w:b/>
          <w:bCs/>
          <w:i/>
          <w:iCs/>
        </w:rPr>
        <w:t xml:space="preserve">, and use RTS to scale relative distances between motorways and </w:t>
      </w:r>
      <w:r w:rsidR="007817DC">
        <w:rPr>
          <w:rFonts w:cstheme="minorHAnsi"/>
          <w:b/>
          <w:bCs/>
          <w:i/>
          <w:iCs/>
        </w:rPr>
        <w:t>other</w:t>
      </w:r>
      <w:r>
        <w:rPr>
          <w:rFonts w:cstheme="minorHAnsi"/>
          <w:b/>
          <w:bCs/>
          <w:i/>
          <w:iCs/>
        </w:rPr>
        <w:t xml:space="preserve"> roads</w:t>
      </w:r>
    </w:p>
    <w:p w14:paraId="65085390" w14:textId="77777777" w:rsidR="00C22765" w:rsidRDefault="004A4594">
      <w:pPr>
        <w:pStyle w:val="ListParagraph"/>
        <w:numPr>
          <w:ilvl w:val="0"/>
          <w:numId w:val="3"/>
        </w:numPr>
        <w:ind w:left="720"/>
        <w:rPr>
          <w:rFonts w:cstheme="minorHAnsi"/>
        </w:rPr>
      </w:pPr>
      <w:r>
        <w:rPr>
          <w:rFonts w:cstheme="minorHAnsi"/>
        </w:rPr>
        <w:t>For each home local authority, for each mode, calculate the distance in each English local authority. Sum these distances across all home local authorities to get the proportion of total distance in each local authority.</w:t>
      </w:r>
    </w:p>
    <w:p w14:paraId="0B7AAA0F" w14:textId="6D882B3C" w:rsidR="00C22765" w:rsidRDefault="004A4594">
      <w:pPr>
        <w:pStyle w:val="ListParagraph"/>
        <w:numPr>
          <w:ilvl w:val="0"/>
          <w:numId w:val="3"/>
        </w:numPr>
        <w:ind w:left="720"/>
        <w:rPr>
          <w:rFonts w:cstheme="minorHAnsi"/>
        </w:rPr>
      </w:pPr>
      <w:r>
        <w:rPr>
          <w:rFonts w:cstheme="minorHAnsi"/>
        </w:rPr>
        <w:t xml:space="preserve">For all travel in a given local authority (done by people living anywhere in England), for each mode, calculate the distance on </w:t>
      </w:r>
      <w:r w:rsidR="007817DC">
        <w:rPr>
          <w:rFonts w:cstheme="minorHAnsi"/>
        </w:rPr>
        <w:t>motorway versus other roads</w:t>
      </w:r>
      <w:r>
        <w:rPr>
          <w:rFonts w:cstheme="minorHAnsi"/>
        </w:rPr>
        <w:t>.</w:t>
      </w:r>
    </w:p>
    <w:p w14:paraId="1307DAFE" w14:textId="383A8C89" w:rsidR="00C22765" w:rsidRDefault="007817DC" w:rsidP="007817DC">
      <w:pPr>
        <w:pStyle w:val="ListParagraph"/>
        <w:numPr>
          <w:ilvl w:val="0"/>
          <w:numId w:val="3"/>
        </w:numPr>
        <w:ind w:left="720"/>
        <w:rPr>
          <w:rFonts w:cstheme="minorHAnsi"/>
        </w:rPr>
      </w:pPr>
      <w:r w:rsidRPr="007817DC">
        <w:rPr>
          <w:rFonts w:cstheme="minorHAnsi"/>
        </w:rPr>
        <w:t xml:space="preserve">Compare the proportion of motorway travel </w:t>
      </w:r>
      <w:r w:rsidR="004A4594" w:rsidRPr="007817DC">
        <w:rPr>
          <w:rFonts w:cstheme="minorHAnsi"/>
        </w:rPr>
        <w:t>generated in Step 2 above with the proportions derived from RTS counts (see Part 1).</w:t>
      </w:r>
      <w:r w:rsidR="007F6C80">
        <w:rPr>
          <w:rFonts w:cstheme="minorHAnsi"/>
        </w:rPr>
        <w:t xml:space="preserve"> This RTS data used pooled data across 2010-2015 inclusive.</w:t>
      </w:r>
      <w:r w:rsidR="004A4594" w:rsidRPr="007817DC">
        <w:rPr>
          <w:rFonts w:cstheme="minorHAnsi"/>
        </w:rPr>
        <w:t xml:space="preserve"> Generate odds ratios scaling factors to scale the </w:t>
      </w:r>
      <w:r w:rsidRPr="007817DC">
        <w:rPr>
          <w:rFonts w:cstheme="minorHAnsi"/>
        </w:rPr>
        <w:t>‘</w:t>
      </w:r>
      <w:r w:rsidR="004A4594" w:rsidRPr="007817DC">
        <w:rPr>
          <w:rFonts w:cstheme="minorHAnsi"/>
        </w:rPr>
        <w:t>motorway</w:t>
      </w:r>
      <w:r w:rsidRPr="007817DC">
        <w:rPr>
          <w:rFonts w:cstheme="minorHAnsi"/>
        </w:rPr>
        <w:t>’</w:t>
      </w:r>
      <w:r w:rsidR="004A4594" w:rsidRPr="007817DC">
        <w:rPr>
          <w:rFonts w:cstheme="minorHAnsi"/>
        </w:rPr>
        <w:t xml:space="preserve"> and </w:t>
      </w:r>
      <w:r w:rsidRPr="007817DC">
        <w:rPr>
          <w:rFonts w:cstheme="minorHAnsi"/>
        </w:rPr>
        <w:t>‘other’</w:t>
      </w:r>
      <w:r w:rsidR="004A4594" w:rsidRPr="007817DC">
        <w:rPr>
          <w:rFonts w:cstheme="minorHAnsi"/>
        </w:rPr>
        <w:t xml:space="preserve"> road figures accordingly. </w:t>
      </w:r>
      <w:r>
        <w:rPr>
          <w:rFonts w:cstheme="minorHAnsi"/>
        </w:rPr>
        <w:t>Do this step at the city region level, i.e. the same scaling factor is used for all local authorities in a given city region.</w:t>
      </w:r>
    </w:p>
    <w:p w14:paraId="5C3C942B" w14:textId="77777777" w:rsidR="007817DC" w:rsidRPr="007817DC" w:rsidRDefault="007817DC" w:rsidP="007817DC">
      <w:pPr>
        <w:pStyle w:val="ListParagraph"/>
        <w:rPr>
          <w:rFonts w:cstheme="minorHAnsi"/>
        </w:rPr>
      </w:pPr>
    </w:p>
    <w:p w14:paraId="2F6905EF" w14:textId="77777777" w:rsidR="00C22765" w:rsidRDefault="004A4594">
      <w:pPr>
        <w:pStyle w:val="ListParagraph"/>
        <w:ind w:left="360"/>
        <w:rPr>
          <w:rFonts w:cstheme="minorHAnsi"/>
        </w:rPr>
      </w:pPr>
      <w:r>
        <w:rPr>
          <w:rFonts w:cstheme="minorHAnsi"/>
        </w:rPr>
        <w:t>The matrices generated by the first two steps can be applied sequentially in order to take estimates of travel done by residents living in a given local authority (from the scenarios), and turn these into estimates of travel done within each local authority, and on each road type.  The odds ratios scaling factors calculated in Step three can then be applied, before calculating final proportions.</w:t>
      </w:r>
    </w:p>
    <w:p w14:paraId="6B157C7C" w14:textId="77777777" w:rsidR="00C22765" w:rsidRDefault="00C22765">
      <w:pPr>
        <w:pStyle w:val="ListParagraph"/>
        <w:ind w:left="360"/>
        <w:rPr>
          <w:rFonts w:cstheme="minorHAnsi"/>
          <w:b/>
          <w:bCs/>
          <w:i/>
          <w:iCs/>
        </w:rPr>
      </w:pPr>
    </w:p>
    <w:p w14:paraId="32559902" w14:textId="3DD3E202" w:rsidR="00C22765" w:rsidRDefault="004A4594">
      <w:pPr>
        <w:rPr>
          <w:rFonts w:cstheme="minorHAnsi"/>
          <w:b/>
          <w:bCs/>
          <w:i/>
          <w:iCs/>
        </w:rPr>
      </w:pPr>
      <w:r>
        <w:rPr>
          <w:rFonts w:cstheme="minorHAnsi"/>
          <w:b/>
          <w:bCs/>
          <w:i/>
          <w:iCs/>
        </w:rPr>
        <w:t>Example output matrices, for Bristol city region</w:t>
      </w:r>
      <w:r w:rsidR="00E93F03">
        <w:rPr>
          <w:rFonts w:cstheme="minorHAnsi"/>
          <w:b/>
          <w:bCs/>
          <w:i/>
          <w:iCs/>
        </w:rPr>
        <w:t xml:space="preserve"> local authorities</w:t>
      </w:r>
      <w:r>
        <w:rPr>
          <w:rFonts w:cstheme="minorHAnsi"/>
          <w:b/>
          <w:bCs/>
          <w:i/>
          <w:iCs/>
        </w:rPr>
        <w:t xml:space="preserve"> for car/van travel</w:t>
      </w:r>
      <w:r w:rsidR="009F1C19" w:rsidRPr="009F1C19">
        <w:rPr>
          <w:rFonts w:cstheme="minorHAnsi"/>
          <w:i/>
          <w:iCs/>
        </w:rPr>
        <w:t xml:space="preserve"> [in reality these matrices are often larger, including very small amounts of travel in a large number of local authorities, so a simplified version shown here]</w:t>
      </w:r>
    </w:p>
    <w:p w14:paraId="18DBB43A" w14:textId="77777777" w:rsidR="00C22765" w:rsidRDefault="004A4594">
      <w:r>
        <w:rPr>
          <w:rFonts w:cstheme="minorHAnsi"/>
          <w:b/>
          <w:bCs/>
          <w:i/>
          <w:iCs/>
        </w:rPr>
        <w:t xml:space="preserve">1) For each home LA, for car/van trips, the proportion of distance in each English LA from Graphhopper </w:t>
      </w:r>
    </w:p>
    <w:tbl>
      <w:tblPr>
        <w:tblW w:w="8514" w:type="dxa"/>
        <w:tblInd w:w="-56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1218"/>
        <w:gridCol w:w="1218"/>
        <w:gridCol w:w="1215"/>
        <w:gridCol w:w="1216"/>
        <w:gridCol w:w="1216"/>
        <w:gridCol w:w="1216"/>
        <w:gridCol w:w="1215"/>
      </w:tblGrid>
      <w:tr w:rsidR="00C22765" w14:paraId="67571A6E" w14:textId="77777777">
        <w:tc>
          <w:tcPr>
            <w:tcW w:w="1217" w:type="dxa"/>
            <w:tcBorders>
              <w:top w:val="single" w:sz="4" w:space="0" w:color="000001"/>
              <w:left w:val="single" w:sz="4" w:space="0" w:color="000001"/>
              <w:bottom w:val="single" w:sz="4" w:space="0" w:color="000001"/>
              <w:right w:val="single" w:sz="4" w:space="0" w:color="000001"/>
            </w:tcBorders>
            <w:shd w:val="clear" w:color="auto" w:fill="auto"/>
            <w:vAlign w:val="bottom"/>
          </w:tcPr>
          <w:p w14:paraId="3F9DC806" w14:textId="77777777" w:rsidR="00C22765" w:rsidRDefault="00C22765">
            <w:pPr>
              <w:spacing w:after="0" w:line="240" w:lineRule="auto"/>
              <w:rPr>
                <w:rFonts w:ascii="Calibri" w:eastAsia="Times New Roman" w:hAnsi="Calibri" w:cs="Calibri"/>
                <w:sz w:val="20"/>
                <w:szCs w:val="20"/>
                <w:lang w:eastAsia="en-GB"/>
              </w:rPr>
            </w:pPr>
          </w:p>
        </w:tc>
        <w:tc>
          <w:tcPr>
            <w:tcW w:w="1218" w:type="dxa"/>
            <w:tcBorders>
              <w:top w:val="single" w:sz="4" w:space="0" w:color="000001"/>
              <w:left w:val="single" w:sz="4" w:space="0" w:color="000001"/>
              <w:bottom w:val="single" w:sz="4" w:space="0" w:color="000001"/>
              <w:right w:val="single" w:sz="4" w:space="0" w:color="000001"/>
            </w:tcBorders>
            <w:shd w:val="clear" w:color="auto" w:fill="auto"/>
            <w:vAlign w:val="bottom"/>
          </w:tcPr>
          <w:p w14:paraId="230F5570" w14:textId="77777777" w:rsidR="00C22765" w:rsidRDefault="00C22765">
            <w:pPr>
              <w:spacing w:after="0" w:line="240" w:lineRule="auto"/>
              <w:rPr>
                <w:rFonts w:ascii="Calibri" w:eastAsia="Times New Roman" w:hAnsi="Calibri" w:cs="Calibri"/>
                <w:sz w:val="20"/>
                <w:szCs w:val="20"/>
                <w:lang w:eastAsia="en-GB"/>
              </w:rPr>
            </w:pPr>
          </w:p>
        </w:tc>
        <w:tc>
          <w:tcPr>
            <w:tcW w:w="1215" w:type="dxa"/>
            <w:tcBorders>
              <w:top w:val="single" w:sz="4" w:space="0" w:color="000001"/>
              <w:left w:val="single" w:sz="4" w:space="0" w:color="000001"/>
              <w:bottom w:val="single" w:sz="4" w:space="0" w:color="000001"/>
              <w:right w:val="single" w:sz="4" w:space="0" w:color="000001"/>
            </w:tcBorders>
            <w:shd w:val="clear" w:color="auto" w:fill="auto"/>
            <w:vAlign w:val="bottom"/>
          </w:tcPr>
          <w:p w14:paraId="1E4D7990" w14:textId="77777777" w:rsidR="00C22765" w:rsidRDefault="00C22765">
            <w:pPr>
              <w:spacing w:after="0" w:line="240" w:lineRule="auto"/>
              <w:rPr>
                <w:rFonts w:ascii="Calibri" w:eastAsia="Times New Roman" w:hAnsi="Calibri" w:cs="Calibri"/>
                <w:sz w:val="20"/>
                <w:szCs w:val="20"/>
                <w:lang w:eastAsia="en-GB"/>
              </w:rPr>
            </w:pPr>
          </w:p>
        </w:tc>
        <w:tc>
          <w:tcPr>
            <w:tcW w:w="1216" w:type="dxa"/>
            <w:tcBorders>
              <w:top w:val="single" w:sz="4" w:space="0" w:color="000001"/>
              <w:left w:val="single" w:sz="4" w:space="0" w:color="000001"/>
              <w:bottom w:val="single" w:sz="4" w:space="0" w:color="000001"/>
              <w:right w:val="single" w:sz="4" w:space="0" w:color="000001"/>
            </w:tcBorders>
            <w:shd w:val="clear" w:color="auto" w:fill="auto"/>
            <w:vAlign w:val="bottom"/>
          </w:tcPr>
          <w:p w14:paraId="1D3D54EB" w14:textId="77777777" w:rsidR="00C22765" w:rsidRDefault="00C22765">
            <w:pPr>
              <w:spacing w:after="0" w:line="240" w:lineRule="auto"/>
              <w:rPr>
                <w:rFonts w:ascii="Calibri" w:eastAsia="Times New Roman" w:hAnsi="Calibri" w:cs="Calibri"/>
                <w:sz w:val="20"/>
                <w:szCs w:val="20"/>
                <w:lang w:eastAsia="en-GB"/>
              </w:rPr>
            </w:pPr>
          </w:p>
        </w:tc>
        <w:tc>
          <w:tcPr>
            <w:tcW w:w="1216" w:type="dxa"/>
            <w:tcBorders>
              <w:top w:val="single" w:sz="4" w:space="0" w:color="000001"/>
              <w:left w:val="single" w:sz="4" w:space="0" w:color="000001"/>
              <w:bottom w:val="single" w:sz="4" w:space="0" w:color="000001"/>
              <w:right w:val="single" w:sz="4" w:space="0" w:color="000001"/>
            </w:tcBorders>
            <w:shd w:val="clear" w:color="auto" w:fill="auto"/>
            <w:vAlign w:val="bottom"/>
          </w:tcPr>
          <w:p w14:paraId="54EF7969" w14:textId="77777777" w:rsidR="00C22765" w:rsidRDefault="004A4594">
            <w:pPr>
              <w:spacing w:after="0" w:line="240" w:lineRule="auto"/>
              <w:rPr>
                <w:rFonts w:ascii="Calibri" w:eastAsia="Times New Roman" w:hAnsi="Calibri" w:cs="Calibri"/>
                <w:sz w:val="20"/>
                <w:szCs w:val="20"/>
                <w:lang w:eastAsia="en-GB"/>
              </w:rPr>
            </w:pPr>
            <w:r>
              <w:rPr>
                <w:rFonts w:eastAsia="Times New Roman" w:cs="Calibri"/>
                <w:sz w:val="20"/>
                <w:szCs w:val="20"/>
                <w:lang w:eastAsia="en-GB"/>
              </w:rPr>
              <w:t>LA of travel</w:t>
            </w:r>
          </w:p>
        </w:tc>
        <w:tc>
          <w:tcPr>
            <w:tcW w:w="1216" w:type="dxa"/>
            <w:tcBorders>
              <w:top w:val="single" w:sz="4" w:space="0" w:color="000001"/>
              <w:left w:val="single" w:sz="4" w:space="0" w:color="000001"/>
              <w:bottom w:val="single" w:sz="4" w:space="0" w:color="000001"/>
              <w:right w:val="single" w:sz="4" w:space="0" w:color="000001"/>
            </w:tcBorders>
            <w:shd w:val="clear" w:color="auto" w:fill="auto"/>
            <w:vAlign w:val="bottom"/>
          </w:tcPr>
          <w:p w14:paraId="02119A46" w14:textId="77777777" w:rsidR="00C22765" w:rsidRDefault="00C22765">
            <w:pPr>
              <w:spacing w:after="0" w:line="240" w:lineRule="auto"/>
              <w:rPr>
                <w:rFonts w:ascii="Calibri" w:eastAsia="Times New Roman" w:hAnsi="Calibri" w:cs="Calibri"/>
                <w:sz w:val="20"/>
                <w:szCs w:val="20"/>
                <w:lang w:eastAsia="en-GB"/>
              </w:rPr>
            </w:pPr>
          </w:p>
        </w:tc>
        <w:tc>
          <w:tcPr>
            <w:tcW w:w="1215" w:type="dxa"/>
            <w:tcBorders>
              <w:top w:val="single" w:sz="4" w:space="0" w:color="000001"/>
              <w:left w:val="single" w:sz="4" w:space="0" w:color="000001"/>
              <w:bottom w:val="single" w:sz="4" w:space="0" w:color="000001"/>
              <w:right w:val="single" w:sz="4" w:space="0" w:color="000001"/>
            </w:tcBorders>
            <w:shd w:val="clear" w:color="auto" w:fill="auto"/>
            <w:vAlign w:val="bottom"/>
          </w:tcPr>
          <w:p w14:paraId="78581CD5" w14:textId="77777777" w:rsidR="00C22765" w:rsidRDefault="00C22765">
            <w:pPr>
              <w:spacing w:after="0" w:line="240" w:lineRule="auto"/>
              <w:rPr>
                <w:rFonts w:ascii="Calibri" w:eastAsia="Times New Roman" w:hAnsi="Calibri" w:cs="Calibri"/>
                <w:sz w:val="20"/>
                <w:szCs w:val="20"/>
                <w:lang w:eastAsia="en-GB"/>
              </w:rPr>
            </w:pPr>
          </w:p>
        </w:tc>
      </w:tr>
      <w:tr w:rsidR="00C22765" w14:paraId="4719CCD7" w14:textId="77777777">
        <w:tc>
          <w:tcPr>
            <w:tcW w:w="1217" w:type="dxa"/>
            <w:tcBorders>
              <w:top w:val="single" w:sz="4" w:space="0" w:color="000001"/>
              <w:left w:val="single" w:sz="4" w:space="0" w:color="000001"/>
              <w:bottom w:val="single" w:sz="4" w:space="0" w:color="000001"/>
              <w:right w:val="single" w:sz="4" w:space="0" w:color="000001"/>
            </w:tcBorders>
            <w:shd w:val="clear" w:color="auto" w:fill="auto"/>
            <w:vAlign w:val="bottom"/>
          </w:tcPr>
          <w:p w14:paraId="139DD2E4" w14:textId="77777777" w:rsidR="00C22765" w:rsidRDefault="004A4594">
            <w:pPr>
              <w:spacing w:after="0" w:line="240" w:lineRule="auto"/>
              <w:rPr>
                <w:rFonts w:ascii="Calibri" w:eastAsia="Times New Roman" w:hAnsi="Calibri" w:cs="Calibri"/>
                <w:sz w:val="20"/>
                <w:szCs w:val="20"/>
                <w:lang w:eastAsia="en-GB"/>
              </w:rPr>
            </w:pPr>
            <w:r>
              <w:rPr>
                <w:rFonts w:cs="Calibri"/>
                <w:sz w:val="20"/>
                <w:szCs w:val="20"/>
              </w:rPr>
              <w:t>Home LA</w:t>
            </w:r>
          </w:p>
        </w:tc>
        <w:tc>
          <w:tcPr>
            <w:tcW w:w="1218" w:type="dxa"/>
            <w:tcBorders>
              <w:top w:val="single" w:sz="4" w:space="0" w:color="000001"/>
              <w:left w:val="single" w:sz="4" w:space="0" w:color="000001"/>
              <w:bottom w:val="single" w:sz="4" w:space="0" w:color="000001"/>
              <w:right w:val="single" w:sz="4" w:space="0" w:color="000001"/>
            </w:tcBorders>
            <w:shd w:val="clear" w:color="auto" w:fill="auto"/>
            <w:vAlign w:val="bottom"/>
          </w:tcPr>
          <w:p w14:paraId="28B04202" w14:textId="77777777" w:rsidR="00C22765" w:rsidRDefault="004A4594">
            <w:pPr>
              <w:spacing w:after="0" w:line="240" w:lineRule="auto"/>
              <w:jc w:val="center"/>
              <w:rPr>
                <w:rFonts w:ascii="Calibri" w:eastAsia="Times New Roman" w:hAnsi="Calibri" w:cs="Calibri"/>
                <w:sz w:val="20"/>
                <w:szCs w:val="20"/>
                <w:lang w:eastAsia="en-GB"/>
              </w:rPr>
            </w:pPr>
            <w:r>
              <w:rPr>
                <w:rFonts w:cs="Calibri"/>
                <w:sz w:val="20"/>
                <w:szCs w:val="20"/>
              </w:rPr>
              <w:t>E06000019</w:t>
            </w:r>
          </w:p>
        </w:tc>
        <w:tc>
          <w:tcPr>
            <w:tcW w:w="1215" w:type="dxa"/>
            <w:tcBorders>
              <w:top w:val="single" w:sz="4" w:space="0" w:color="000001"/>
              <w:left w:val="single" w:sz="4" w:space="0" w:color="000001"/>
              <w:bottom w:val="single" w:sz="4" w:space="0" w:color="000001"/>
              <w:right w:val="single" w:sz="4" w:space="0" w:color="000001"/>
            </w:tcBorders>
            <w:shd w:val="clear" w:color="auto" w:fill="auto"/>
            <w:vAlign w:val="bottom"/>
          </w:tcPr>
          <w:p w14:paraId="0CE0FDA7" w14:textId="77777777" w:rsidR="00C22765" w:rsidRDefault="004A4594">
            <w:pPr>
              <w:spacing w:after="0" w:line="240" w:lineRule="auto"/>
              <w:jc w:val="center"/>
              <w:rPr>
                <w:rFonts w:ascii="Calibri" w:eastAsia="Times New Roman" w:hAnsi="Calibri" w:cs="Calibri"/>
                <w:sz w:val="20"/>
                <w:szCs w:val="20"/>
                <w:lang w:eastAsia="en-GB"/>
              </w:rPr>
            </w:pPr>
            <w:r>
              <w:rPr>
                <w:rFonts w:cs="Calibri"/>
                <w:sz w:val="20"/>
                <w:szCs w:val="20"/>
              </w:rPr>
              <w:t>E06000022</w:t>
            </w:r>
          </w:p>
        </w:tc>
        <w:tc>
          <w:tcPr>
            <w:tcW w:w="1216" w:type="dxa"/>
            <w:tcBorders>
              <w:top w:val="single" w:sz="4" w:space="0" w:color="000001"/>
              <w:left w:val="single" w:sz="4" w:space="0" w:color="000001"/>
              <w:bottom w:val="single" w:sz="4" w:space="0" w:color="000001"/>
              <w:right w:val="single" w:sz="4" w:space="0" w:color="000001"/>
            </w:tcBorders>
            <w:shd w:val="clear" w:color="auto" w:fill="auto"/>
            <w:vAlign w:val="bottom"/>
          </w:tcPr>
          <w:p w14:paraId="2E6FA89D" w14:textId="77777777" w:rsidR="00C22765" w:rsidRDefault="004A4594">
            <w:pPr>
              <w:spacing w:after="0" w:line="240" w:lineRule="auto"/>
              <w:jc w:val="center"/>
              <w:rPr>
                <w:rFonts w:ascii="Calibri" w:eastAsia="Times New Roman" w:hAnsi="Calibri" w:cs="Calibri"/>
                <w:sz w:val="20"/>
                <w:szCs w:val="20"/>
                <w:lang w:eastAsia="en-GB"/>
              </w:rPr>
            </w:pPr>
            <w:r>
              <w:rPr>
                <w:rFonts w:cs="Calibri"/>
                <w:sz w:val="20"/>
                <w:szCs w:val="20"/>
              </w:rPr>
              <w:t>E06000023</w:t>
            </w:r>
          </w:p>
        </w:tc>
        <w:tc>
          <w:tcPr>
            <w:tcW w:w="1216" w:type="dxa"/>
            <w:tcBorders>
              <w:top w:val="single" w:sz="4" w:space="0" w:color="000001"/>
              <w:left w:val="single" w:sz="4" w:space="0" w:color="000001"/>
              <w:bottom w:val="single" w:sz="4" w:space="0" w:color="000001"/>
              <w:right w:val="single" w:sz="4" w:space="0" w:color="000001"/>
            </w:tcBorders>
            <w:shd w:val="clear" w:color="auto" w:fill="auto"/>
            <w:vAlign w:val="bottom"/>
          </w:tcPr>
          <w:p w14:paraId="0CA46AAD" w14:textId="77777777" w:rsidR="00C22765" w:rsidRDefault="004A4594">
            <w:pPr>
              <w:spacing w:after="0" w:line="240" w:lineRule="auto"/>
              <w:jc w:val="center"/>
              <w:rPr>
                <w:rFonts w:ascii="Calibri" w:eastAsia="Times New Roman" w:hAnsi="Calibri" w:cs="Calibri"/>
                <w:sz w:val="20"/>
                <w:szCs w:val="20"/>
                <w:lang w:eastAsia="en-GB"/>
              </w:rPr>
            </w:pPr>
            <w:r>
              <w:rPr>
                <w:rFonts w:cs="Calibri"/>
                <w:sz w:val="20"/>
                <w:szCs w:val="20"/>
              </w:rPr>
              <w:t>E06000024</w:t>
            </w:r>
          </w:p>
        </w:tc>
        <w:tc>
          <w:tcPr>
            <w:tcW w:w="1216" w:type="dxa"/>
            <w:tcBorders>
              <w:top w:val="single" w:sz="4" w:space="0" w:color="000001"/>
              <w:left w:val="single" w:sz="4" w:space="0" w:color="000001"/>
              <w:bottom w:val="single" w:sz="4" w:space="0" w:color="000001"/>
              <w:right w:val="single" w:sz="4" w:space="0" w:color="000001"/>
            </w:tcBorders>
            <w:shd w:val="clear" w:color="auto" w:fill="auto"/>
            <w:vAlign w:val="bottom"/>
          </w:tcPr>
          <w:p w14:paraId="1A9D27F2" w14:textId="77777777" w:rsidR="00C22765" w:rsidRDefault="004A4594">
            <w:pPr>
              <w:spacing w:after="0" w:line="240" w:lineRule="auto"/>
              <w:jc w:val="center"/>
              <w:rPr>
                <w:rFonts w:ascii="Calibri" w:eastAsia="Times New Roman" w:hAnsi="Calibri" w:cs="Calibri"/>
                <w:sz w:val="20"/>
                <w:szCs w:val="20"/>
                <w:lang w:eastAsia="en-GB"/>
              </w:rPr>
            </w:pPr>
            <w:r>
              <w:rPr>
                <w:rFonts w:cs="Calibri"/>
                <w:sz w:val="20"/>
                <w:szCs w:val="20"/>
              </w:rPr>
              <w:t>E06000025</w:t>
            </w:r>
          </w:p>
        </w:tc>
        <w:tc>
          <w:tcPr>
            <w:tcW w:w="1215" w:type="dxa"/>
            <w:tcBorders>
              <w:top w:val="single" w:sz="4" w:space="0" w:color="000001"/>
              <w:left w:val="single" w:sz="4" w:space="0" w:color="000001"/>
              <w:bottom w:val="single" w:sz="4" w:space="0" w:color="000001"/>
              <w:right w:val="single" w:sz="4" w:space="0" w:color="000001"/>
            </w:tcBorders>
            <w:shd w:val="clear" w:color="auto" w:fill="auto"/>
            <w:vAlign w:val="bottom"/>
          </w:tcPr>
          <w:p w14:paraId="1A123221" w14:textId="77777777" w:rsidR="00C22765" w:rsidRDefault="004A4594">
            <w:pPr>
              <w:spacing w:after="0" w:line="240" w:lineRule="auto"/>
              <w:jc w:val="center"/>
              <w:rPr>
                <w:rFonts w:ascii="Calibri" w:eastAsia="Times New Roman" w:hAnsi="Calibri" w:cs="Calibri"/>
                <w:sz w:val="20"/>
                <w:szCs w:val="20"/>
                <w:lang w:eastAsia="en-GB"/>
              </w:rPr>
            </w:pPr>
            <w:r>
              <w:rPr>
                <w:rFonts w:cs="Calibri"/>
                <w:sz w:val="20"/>
                <w:szCs w:val="20"/>
              </w:rPr>
              <w:t>E06000030</w:t>
            </w:r>
          </w:p>
        </w:tc>
      </w:tr>
      <w:tr w:rsidR="00C22765" w14:paraId="0F47851B" w14:textId="77777777">
        <w:tc>
          <w:tcPr>
            <w:tcW w:w="1217" w:type="dxa"/>
            <w:tcBorders>
              <w:top w:val="single" w:sz="4" w:space="0" w:color="000001"/>
              <w:left w:val="single" w:sz="4" w:space="0" w:color="000001"/>
              <w:bottom w:val="single" w:sz="4" w:space="0" w:color="000001"/>
              <w:right w:val="single" w:sz="4" w:space="0" w:color="000001"/>
            </w:tcBorders>
            <w:shd w:val="clear" w:color="auto" w:fill="auto"/>
            <w:vAlign w:val="bottom"/>
          </w:tcPr>
          <w:p w14:paraId="43D43E6E" w14:textId="77777777" w:rsidR="00C22765" w:rsidRDefault="004A4594">
            <w:pPr>
              <w:spacing w:after="0" w:line="240" w:lineRule="auto"/>
              <w:rPr>
                <w:rFonts w:ascii="Calibri" w:eastAsia="Times New Roman" w:hAnsi="Calibri" w:cs="Calibri"/>
                <w:sz w:val="20"/>
                <w:szCs w:val="20"/>
                <w:lang w:eastAsia="en-GB"/>
              </w:rPr>
            </w:pPr>
            <w:r>
              <w:rPr>
                <w:rFonts w:cs="Calibri"/>
                <w:sz w:val="20"/>
                <w:szCs w:val="20"/>
              </w:rPr>
              <w:t>E06000022</w:t>
            </w:r>
          </w:p>
        </w:tc>
        <w:tc>
          <w:tcPr>
            <w:tcW w:w="1218" w:type="dxa"/>
            <w:tcBorders>
              <w:top w:val="single" w:sz="4" w:space="0" w:color="000001"/>
              <w:left w:val="single" w:sz="4" w:space="0" w:color="000001"/>
              <w:bottom w:val="single" w:sz="4" w:space="0" w:color="000001"/>
              <w:right w:val="single" w:sz="4" w:space="0" w:color="000001"/>
            </w:tcBorders>
            <w:shd w:val="clear" w:color="auto" w:fill="auto"/>
            <w:vAlign w:val="bottom"/>
          </w:tcPr>
          <w:p w14:paraId="406BD222" w14:textId="77777777" w:rsidR="00C22765" w:rsidRDefault="004A4594">
            <w:pPr>
              <w:spacing w:after="0" w:line="240" w:lineRule="auto"/>
              <w:jc w:val="center"/>
              <w:rPr>
                <w:rFonts w:ascii="Calibri" w:eastAsia="Times New Roman" w:hAnsi="Calibri" w:cs="Calibri"/>
                <w:sz w:val="20"/>
                <w:szCs w:val="20"/>
                <w:lang w:eastAsia="en-GB"/>
              </w:rPr>
            </w:pPr>
            <w:r>
              <w:rPr>
                <w:rFonts w:cs="Calibri"/>
                <w:sz w:val="20"/>
                <w:szCs w:val="20"/>
              </w:rPr>
              <w:t>0.0%</w:t>
            </w:r>
          </w:p>
        </w:tc>
        <w:tc>
          <w:tcPr>
            <w:tcW w:w="1215" w:type="dxa"/>
            <w:tcBorders>
              <w:top w:val="single" w:sz="4" w:space="0" w:color="000001"/>
              <w:left w:val="single" w:sz="4" w:space="0" w:color="000001"/>
              <w:bottom w:val="single" w:sz="4" w:space="0" w:color="000001"/>
              <w:right w:val="single" w:sz="4" w:space="0" w:color="000001"/>
            </w:tcBorders>
            <w:shd w:val="clear" w:color="auto" w:fill="auto"/>
            <w:vAlign w:val="bottom"/>
          </w:tcPr>
          <w:p w14:paraId="036949D5" w14:textId="77777777" w:rsidR="00C22765" w:rsidRDefault="004A4594">
            <w:pPr>
              <w:spacing w:after="0" w:line="240" w:lineRule="auto"/>
              <w:jc w:val="center"/>
              <w:rPr>
                <w:rFonts w:ascii="Calibri" w:eastAsia="Times New Roman" w:hAnsi="Calibri" w:cs="Calibri"/>
                <w:sz w:val="20"/>
                <w:szCs w:val="20"/>
                <w:lang w:eastAsia="en-GB"/>
              </w:rPr>
            </w:pPr>
            <w:r>
              <w:rPr>
                <w:rFonts w:cs="Calibri"/>
                <w:sz w:val="20"/>
                <w:szCs w:val="20"/>
              </w:rPr>
              <w:t>56.7%</w:t>
            </w:r>
          </w:p>
        </w:tc>
        <w:tc>
          <w:tcPr>
            <w:tcW w:w="1216" w:type="dxa"/>
            <w:tcBorders>
              <w:top w:val="single" w:sz="4" w:space="0" w:color="000001"/>
              <w:left w:val="single" w:sz="4" w:space="0" w:color="000001"/>
              <w:bottom w:val="single" w:sz="4" w:space="0" w:color="000001"/>
              <w:right w:val="single" w:sz="4" w:space="0" w:color="000001"/>
            </w:tcBorders>
            <w:shd w:val="clear" w:color="auto" w:fill="auto"/>
            <w:vAlign w:val="bottom"/>
          </w:tcPr>
          <w:p w14:paraId="79421DEF" w14:textId="77777777" w:rsidR="00C22765" w:rsidRDefault="004A4594">
            <w:pPr>
              <w:spacing w:after="0" w:line="240" w:lineRule="auto"/>
              <w:jc w:val="center"/>
              <w:rPr>
                <w:rFonts w:ascii="Calibri" w:eastAsia="Times New Roman" w:hAnsi="Calibri" w:cs="Calibri"/>
                <w:sz w:val="20"/>
                <w:szCs w:val="20"/>
                <w:lang w:eastAsia="en-GB"/>
              </w:rPr>
            </w:pPr>
            <w:r>
              <w:rPr>
                <w:rFonts w:cs="Calibri"/>
                <w:sz w:val="20"/>
                <w:szCs w:val="20"/>
              </w:rPr>
              <w:t>6.6%</w:t>
            </w:r>
          </w:p>
        </w:tc>
        <w:tc>
          <w:tcPr>
            <w:tcW w:w="1216" w:type="dxa"/>
            <w:tcBorders>
              <w:top w:val="single" w:sz="4" w:space="0" w:color="000001"/>
              <w:left w:val="single" w:sz="4" w:space="0" w:color="000001"/>
              <w:bottom w:val="single" w:sz="4" w:space="0" w:color="000001"/>
              <w:right w:val="single" w:sz="4" w:space="0" w:color="000001"/>
            </w:tcBorders>
            <w:shd w:val="clear" w:color="auto" w:fill="auto"/>
            <w:vAlign w:val="bottom"/>
          </w:tcPr>
          <w:p w14:paraId="78834472" w14:textId="77777777" w:rsidR="00C22765" w:rsidRDefault="004A4594">
            <w:pPr>
              <w:spacing w:after="0" w:line="240" w:lineRule="auto"/>
              <w:jc w:val="center"/>
              <w:rPr>
                <w:rFonts w:ascii="Calibri" w:eastAsia="Times New Roman" w:hAnsi="Calibri" w:cs="Calibri"/>
                <w:sz w:val="20"/>
                <w:szCs w:val="20"/>
                <w:lang w:eastAsia="en-GB"/>
              </w:rPr>
            </w:pPr>
            <w:r>
              <w:rPr>
                <w:rFonts w:cs="Calibri"/>
                <w:sz w:val="20"/>
                <w:szCs w:val="20"/>
              </w:rPr>
              <w:t>3.9%</w:t>
            </w:r>
          </w:p>
        </w:tc>
        <w:tc>
          <w:tcPr>
            <w:tcW w:w="1216" w:type="dxa"/>
            <w:tcBorders>
              <w:top w:val="single" w:sz="4" w:space="0" w:color="000001"/>
              <w:left w:val="single" w:sz="4" w:space="0" w:color="000001"/>
              <w:bottom w:val="single" w:sz="4" w:space="0" w:color="000001"/>
              <w:right w:val="single" w:sz="4" w:space="0" w:color="000001"/>
            </w:tcBorders>
            <w:shd w:val="clear" w:color="auto" w:fill="auto"/>
            <w:vAlign w:val="bottom"/>
          </w:tcPr>
          <w:p w14:paraId="5EE5B589" w14:textId="77777777" w:rsidR="00C22765" w:rsidRDefault="004A4594">
            <w:pPr>
              <w:spacing w:after="0" w:line="240" w:lineRule="auto"/>
              <w:jc w:val="center"/>
              <w:rPr>
                <w:rFonts w:ascii="Calibri" w:eastAsia="Times New Roman" w:hAnsi="Calibri" w:cs="Calibri"/>
                <w:sz w:val="20"/>
                <w:szCs w:val="20"/>
                <w:lang w:eastAsia="en-GB"/>
              </w:rPr>
            </w:pPr>
            <w:r>
              <w:rPr>
                <w:rFonts w:cs="Calibri"/>
                <w:sz w:val="20"/>
                <w:szCs w:val="20"/>
              </w:rPr>
              <w:t>11.2%</w:t>
            </w:r>
          </w:p>
        </w:tc>
        <w:tc>
          <w:tcPr>
            <w:tcW w:w="1215" w:type="dxa"/>
            <w:tcBorders>
              <w:top w:val="single" w:sz="4" w:space="0" w:color="000001"/>
              <w:left w:val="single" w:sz="4" w:space="0" w:color="000001"/>
              <w:bottom w:val="single" w:sz="4" w:space="0" w:color="000001"/>
              <w:right w:val="single" w:sz="4" w:space="0" w:color="000001"/>
            </w:tcBorders>
            <w:shd w:val="clear" w:color="auto" w:fill="auto"/>
            <w:vAlign w:val="bottom"/>
          </w:tcPr>
          <w:p w14:paraId="2D7226CE" w14:textId="77777777" w:rsidR="00C22765" w:rsidRDefault="004A4594">
            <w:pPr>
              <w:spacing w:after="0" w:line="240" w:lineRule="auto"/>
              <w:jc w:val="center"/>
              <w:rPr>
                <w:rFonts w:ascii="Calibri" w:eastAsia="Times New Roman" w:hAnsi="Calibri" w:cs="Calibri"/>
                <w:sz w:val="20"/>
                <w:szCs w:val="20"/>
                <w:lang w:eastAsia="en-GB"/>
              </w:rPr>
            </w:pPr>
            <w:r>
              <w:rPr>
                <w:rFonts w:cs="Calibri"/>
                <w:sz w:val="20"/>
                <w:szCs w:val="20"/>
              </w:rPr>
              <w:t>0.3%</w:t>
            </w:r>
          </w:p>
        </w:tc>
      </w:tr>
      <w:tr w:rsidR="00C22765" w14:paraId="2FCF6CD7" w14:textId="77777777">
        <w:trPr>
          <w:trHeight w:val="70"/>
        </w:trPr>
        <w:tc>
          <w:tcPr>
            <w:tcW w:w="1217" w:type="dxa"/>
            <w:tcBorders>
              <w:top w:val="single" w:sz="4" w:space="0" w:color="000001"/>
              <w:left w:val="single" w:sz="4" w:space="0" w:color="000001"/>
              <w:bottom w:val="single" w:sz="4" w:space="0" w:color="000001"/>
              <w:right w:val="single" w:sz="4" w:space="0" w:color="000001"/>
            </w:tcBorders>
            <w:shd w:val="clear" w:color="auto" w:fill="auto"/>
            <w:vAlign w:val="bottom"/>
          </w:tcPr>
          <w:p w14:paraId="45CA0F3C" w14:textId="77777777" w:rsidR="00C22765" w:rsidRDefault="004A4594">
            <w:pPr>
              <w:spacing w:after="0" w:line="240" w:lineRule="auto"/>
              <w:rPr>
                <w:rFonts w:ascii="Calibri" w:eastAsia="Times New Roman" w:hAnsi="Calibri" w:cs="Calibri"/>
                <w:sz w:val="20"/>
                <w:szCs w:val="20"/>
                <w:lang w:eastAsia="en-GB"/>
              </w:rPr>
            </w:pPr>
            <w:r>
              <w:rPr>
                <w:rFonts w:cs="Calibri"/>
                <w:sz w:val="20"/>
                <w:szCs w:val="20"/>
              </w:rPr>
              <w:t>E06000023</w:t>
            </w:r>
          </w:p>
        </w:tc>
        <w:tc>
          <w:tcPr>
            <w:tcW w:w="1218" w:type="dxa"/>
            <w:tcBorders>
              <w:top w:val="single" w:sz="4" w:space="0" w:color="000001"/>
              <w:left w:val="single" w:sz="4" w:space="0" w:color="000001"/>
              <w:bottom w:val="single" w:sz="4" w:space="0" w:color="000001"/>
              <w:right w:val="single" w:sz="4" w:space="0" w:color="000001"/>
            </w:tcBorders>
            <w:shd w:val="clear" w:color="auto" w:fill="auto"/>
            <w:vAlign w:val="bottom"/>
          </w:tcPr>
          <w:p w14:paraId="73B75400" w14:textId="77777777" w:rsidR="00C22765" w:rsidRDefault="004A4594">
            <w:pPr>
              <w:spacing w:after="0" w:line="240" w:lineRule="auto"/>
              <w:jc w:val="center"/>
              <w:rPr>
                <w:rFonts w:ascii="Calibri" w:eastAsia="Times New Roman" w:hAnsi="Calibri" w:cs="Calibri"/>
                <w:sz w:val="20"/>
                <w:szCs w:val="20"/>
                <w:lang w:eastAsia="en-GB"/>
              </w:rPr>
            </w:pPr>
            <w:r>
              <w:rPr>
                <w:rFonts w:cs="Calibri"/>
                <w:sz w:val="20"/>
                <w:szCs w:val="20"/>
              </w:rPr>
              <w:t>0.0%</w:t>
            </w:r>
          </w:p>
        </w:tc>
        <w:tc>
          <w:tcPr>
            <w:tcW w:w="1215" w:type="dxa"/>
            <w:tcBorders>
              <w:top w:val="single" w:sz="4" w:space="0" w:color="000001"/>
              <w:left w:val="single" w:sz="4" w:space="0" w:color="000001"/>
              <w:bottom w:val="single" w:sz="4" w:space="0" w:color="000001"/>
              <w:right w:val="single" w:sz="4" w:space="0" w:color="000001"/>
            </w:tcBorders>
            <w:shd w:val="clear" w:color="auto" w:fill="auto"/>
            <w:vAlign w:val="bottom"/>
          </w:tcPr>
          <w:p w14:paraId="5B1E70B8" w14:textId="77777777" w:rsidR="00C22765" w:rsidRDefault="004A4594">
            <w:pPr>
              <w:spacing w:after="0" w:line="240" w:lineRule="auto"/>
              <w:jc w:val="center"/>
              <w:rPr>
                <w:rFonts w:ascii="Calibri" w:eastAsia="Times New Roman" w:hAnsi="Calibri" w:cs="Calibri"/>
                <w:sz w:val="20"/>
                <w:szCs w:val="20"/>
                <w:lang w:eastAsia="en-GB"/>
              </w:rPr>
            </w:pPr>
            <w:r>
              <w:rPr>
                <w:rFonts w:cs="Calibri"/>
                <w:sz w:val="20"/>
                <w:szCs w:val="20"/>
              </w:rPr>
              <w:t>5.5%</w:t>
            </w:r>
          </w:p>
        </w:tc>
        <w:tc>
          <w:tcPr>
            <w:tcW w:w="1216" w:type="dxa"/>
            <w:tcBorders>
              <w:top w:val="single" w:sz="4" w:space="0" w:color="000001"/>
              <w:left w:val="single" w:sz="4" w:space="0" w:color="000001"/>
              <w:bottom w:val="single" w:sz="4" w:space="0" w:color="000001"/>
              <w:right w:val="single" w:sz="4" w:space="0" w:color="000001"/>
            </w:tcBorders>
            <w:shd w:val="clear" w:color="auto" w:fill="auto"/>
            <w:vAlign w:val="bottom"/>
          </w:tcPr>
          <w:p w14:paraId="39D73243" w14:textId="77777777" w:rsidR="00C22765" w:rsidRDefault="004A4594">
            <w:pPr>
              <w:spacing w:after="0" w:line="240" w:lineRule="auto"/>
              <w:jc w:val="center"/>
              <w:rPr>
                <w:rFonts w:ascii="Calibri" w:eastAsia="Times New Roman" w:hAnsi="Calibri" w:cs="Calibri"/>
                <w:sz w:val="20"/>
                <w:szCs w:val="20"/>
                <w:lang w:eastAsia="en-GB"/>
              </w:rPr>
            </w:pPr>
            <w:r>
              <w:rPr>
                <w:rFonts w:cs="Calibri"/>
                <w:sz w:val="20"/>
                <w:szCs w:val="20"/>
              </w:rPr>
              <w:t>48.1%</w:t>
            </w:r>
          </w:p>
        </w:tc>
        <w:tc>
          <w:tcPr>
            <w:tcW w:w="1216" w:type="dxa"/>
            <w:tcBorders>
              <w:top w:val="single" w:sz="4" w:space="0" w:color="000001"/>
              <w:left w:val="single" w:sz="4" w:space="0" w:color="000001"/>
              <w:bottom w:val="single" w:sz="4" w:space="0" w:color="000001"/>
              <w:right w:val="single" w:sz="4" w:space="0" w:color="000001"/>
            </w:tcBorders>
            <w:shd w:val="clear" w:color="auto" w:fill="auto"/>
            <w:vAlign w:val="bottom"/>
          </w:tcPr>
          <w:p w14:paraId="0FB01201" w14:textId="77777777" w:rsidR="00C22765" w:rsidRDefault="004A4594">
            <w:pPr>
              <w:spacing w:after="0" w:line="240" w:lineRule="auto"/>
              <w:jc w:val="center"/>
              <w:rPr>
                <w:rFonts w:ascii="Calibri" w:eastAsia="Times New Roman" w:hAnsi="Calibri" w:cs="Calibri"/>
                <w:sz w:val="20"/>
                <w:szCs w:val="20"/>
                <w:lang w:eastAsia="en-GB"/>
              </w:rPr>
            </w:pPr>
            <w:r>
              <w:rPr>
                <w:rFonts w:cs="Calibri"/>
                <w:sz w:val="20"/>
                <w:szCs w:val="20"/>
              </w:rPr>
              <w:t>9.8%</w:t>
            </w:r>
          </w:p>
        </w:tc>
        <w:tc>
          <w:tcPr>
            <w:tcW w:w="1216" w:type="dxa"/>
            <w:tcBorders>
              <w:top w:val="single" w:sz="4" w:space="0" w:color="000001"/>
              <w:left w:val="single" w:sz="4" w:space="0" w:color="000001"/>
              <w:bottom w:val="single" w:sz="4" w:space="0" w:color="000001"/>
              <w:right w:val="single" w:sz="4" w:space="0" w:color="000001"/>
            </w:tcBorders>
            <w:shd w:val="clear" w:color="auto" w:fill="auto"/>
            <w:vAlign w:val="bottom"/>
          </w:tcPr>
          <w:p w14:paraId="70AF65C9" w14:textId="77777777" w:rsidR="00C22765" w:rsidRDefault="004A4594">
            <w:pPr>
              <w:spacing w:after="0" w:line="240" w:lineRule="auto"/>
              <w:jc w:val="center"/>
              <w:rPr>
                <w:rFonts w:ascii="Calibri" w:eastAsia="Times New Roman" w:hAnsi="Calibri" w:cs="Calibri"/>
                <w:sz w:val="20"/>
                <w:szCs w:val="20"/>
                <w:lang w:eastAsia="en-GB"/>
              </w:rPr>
            </w:pPr>
            <w:r>
              <w:rPr>
                <w:rFonts w:cs="Calibri"/>
                <w:sz w:val="20"/>
                <w:szCs w:val="20"/>
              </w:rPr>
              <w:t>26.5%</w:t>
            </w:r>
          </w:p>
        </w:tc>
        <w:tc>
          <w:tcPr>
            <w:tcW w:w="1215" w:type="dxa"/>
            <w:tcBorders>
              <w:top w:val="single" w:sz="4" w:space="0" w:color="000001"/>
              <w:left w:val="single" w:sz="4" w:space="0" w:color="000001"/>
              <w:bottom w:val="single" w:sz="4" w:space="0" w:color="000001"/>
              <w:right w:val="single" w:sz="4" w:space="0" w:color="000001"/>
            </w:tcBorders>
            <w:shd w:val="clear" w:color="auto" w:fill="auto"/>
            <w:vAlign w:val="bottom"/>
          </w:tcPr>
          <w:p w14:paraId="13E0BD6B" w14:textId="77777777" w:rsidR="00C22765" w:rsidRDefault="004A4594">
            <w:pPr>
              <w:spacing w:after="0" w:line="240" w:lineRule="auto"/>
              <w:jc w:val="center"/>
              <w:rPr>
                <w:rFonts w:ascii="Calibri" w:eastAsia="Times New Roman" w:hAnsi="Calibri" w:cs="Calibri"/>
                <w:sz w:val="20"/>
                <w:szCs w:val="20"/>
                <w:lang w:eastAsia="en-GB"/>
              </w:rPr>
            </w:pPr>
            <w:r>
              <w:rPr>
                <w:rFonts w:cs="Calibri"/>
                <w:sz w:val="20"/>
                <w:szCs w:val="20"/>
              </w:rPr>
              <w:t>0.6%</w:t>
            </w:r>
          </w:p>
        </w:tc>
      </w:tr>
      <w:tr w:rsidR="00C22765" w14:paraId="04375D2F" w14:textId="77777777">
        <w:tc>
          <w:tcPr>
            <w:tcW w:w="1217" w:type="dxa"/>
            <w:tcBorders>
              <w:top w:val="single" w:sz="4" w:space="0" w:color="000001"/>
              <w:left w:val="single" w:sz="4" w:space="0" w:color="000001"/>
              <w:bottom w:val="single" w:sz="4" w:space="0" w:color="000001"/>
              <w:right w:val="single" w:sz="4" w:space="0" w:color="000001"/>
            </w:tcBorders>
            <w:shd w:val="clear" w:color="auto" w:fill="auto"/>
            <w:vAlign w:val="bottom"/>
          </w:tcPr>
          <w:p w14:paraId="438F4C12" w14:textId="77777777" w:rsidR="00C22765" w:rsidRDefault="004A4594">
            <w:pPr>
              <w:spacing w:after="0" w:line="240" w:lineRule="auto"/>
              <w:rPr>
                <w:rFonts w:ascii="Calibri" w:eastAsia="Times New Roman" w:hAnsi="Calibri" w:cs="Calibri"/>
                <w:sz w:val="20"/>
                <w:szCs w:val="20"/>
                <w:lang w:eastAsia="en-GB"/>
              </w:rPr>
            </w:pPr>
            <w:r>
              <w:rPr>
                <w:rFonts w:cs="Calibri"/>
                <w:sz w:val="20"/>
                <w:szCs w:val="20"/>
              </w:rPr>
              <w:t>E06000024</w:t>
            </w:r>
          </w:p>
        </w:tc>
        <w:tc>
          <w:tcPr>
            <w:tcW w:w="1218" w:type="dxa"/>
            <w:tcBorders>
              <w:top w:val="single" w:sz="4" w:space="0" w:color="000001"/>
              <w:left w:val="single" w:sz="4" w:space="0" w:color="000001"/>
              <w:bottom w:val="single" w:sz="4" w:space="0" w:color="000001"/>
              <w:right w:val="single" w:sz="4" w:space="0" w:color="000001"/>
            </w:tcBorders>
            <w:shd w:val="clear" w:color="auto" w:fill="auto"/>
            <w:vAlign w:val="bottom"/>
          </w:tcPr>
          <w:p w14:paraId="6B6631D1" w14:textId="77777777" w:rsidR="00C22765" w:rsidRDefault="004A4594">
            <w:pPr>
              <w:spacing w:after="0" w:line="240" w:lineRule="auto"/>
              <w:jc w:val="center"/>
              <w:rPr>
                <w:rFonts w:ascii="Calibri" w:eastAsia="Times New Roman" w:hAnsi="Calibri" w:cs="Calibri"/>
                <w:sz w:val="20"/>
                <w:szCs w:val="20"/>
                <w:lang w:eastAsia="en-GB"/>
              </w:rPr>
            </w:pPr>
            <w:r>
              <w:rPr>
                <w:rFonts w:cs="Calibri"/>
                <w:sz w:val="20"/>
                <w:szCs w:val="20"/>
              </w:rPr>
              <w:t>0.0%</w:t>
            </w:r>
          </w:p>
        </w:tc>
        <w:tc>
          <w:tcPr>
            <w:tcW w:w="1215" w:type="dxa"/>
            <w:tcBorders>
              <w:top w:val="single" w:sz="4" w:space="0" w:color="000001"/>
              <w:left w:val="single" w:sz="4" w:space="0" w:color="000001"/>
              <w:bottom w:val="single" w:sz="4" w:space="0" w:color="000001"/>
              <w:right w:val="single" w:sz="4" w:space="0" w:color="000001"/>
            </w:tcBorders>
            <w:shd w:val="clear" w:color="auto" w:fill="auto"/>
            <w:vAlign w:val="bottom"/>
          </w:tcPr>
          <w:p w14:paraId="4A92129D" w14:textId="77777777" w:rsidR="00C22765" w:rsidRDefault="004A4594">
            <w:pPr>
              <w:spacing w:after="0" w:line="240" w:lineRule="auto"/>
              <w:jc w:val="center"/>
              <w:rPr>
                <w:rFonts w:ascii="Calibri" w:eastAsia="Times New Roman" w:hAnsi="Calibri" w:cs="Calibri"/>
                <w:sz w:val="20"/>
                <w:szCs w:val="20"/>
                <w:lang w:eastAsia="en-GB"/>
              </w:rPr>
            </w:pPr>
            <w:r>
              <w:rPr>
                <w:rFonts w:cs="Calibri"/>
                <w:sz w:val="20"/>
                <w:szCs w:val="20"/>
              </w:rPr>
              <w:t>1.0%</w:t>
            </w:r>
          </w:p>
        </w:tc>
        <w:tc>
          <w:tcPr>
            <w:tcW w:w="1216" w:type="dxa"/>
            <w:tcBorders>
              <w:top w:val="single" w:sz="4" w:space="0" w:color="000001"/>
              <w:left w:val="single" w:sz="4" w:space="0" w:color="000001"/>
              <w:bottom w:val="single" w:sz="4" w:space="0" w:color="000001"/>
              <w:right w:val="single" w:sz="4" w:space="0" w:color="000001"/>
            </w:tcBorders>
            <w:shd w:val="clear" w:color="auto" w:fill="auto"/>
            <w:vAlign w:val="bottom"/>
          </w:tcPr>
          <w:p w14:paraId="60E0FC41" w14:textId="77777777" w:rsidR="00C22765" w:rsidRDefault="004A4594">
            <w:pPr>
              <w:spacing w:after="0" w:line="240" w:lineRule="auto"/>
              <w:jc w:val="center"/>
              <w:rPr>
                <w:rFonts w:ascii="Calibri" w:eastAsia="Times New Roman" w:hAnsi="Calibri" w:cs="Calibri"/>
                <w:sz w:val="20"/>
                <w:szCs w:val="20"/>
                <w:lang w:eastAsia="en-GB"/>
              </w:rPr>
            </w:pPr>
            <w:r>
              <w:rPr>
                <w:rFonts w:cs="Calibri"/>
                <w:sz w:val="20"/>
                <w:szCs w:val="20"/>
              </w:rPr>
              <w:t>10.6%</w:t>
            </w:r>
          </w:p>
        </w:tc>
        <w:tc>
          <w:tcPr>
            <w:tcW w:w="1216" w:type="dxa"/>
            <w:tcBorders>
              <w:top w:val="single" w:sz="4" w:space="0" w:color="000001"/>
              <w:left w:val="single" w:sz="4" w:space="0" w:color="000001"/>
              <w:bottom w:val="single" w:sz="4" w:space="0" w:color="000001"/>
              <w:right w:val="single" w:sz="4" w:space="0" w:color="000001"/>
            </w:tcBorders>
            <w:shd w:val="clear" w:color="auto" w:fill="auto"/>
            <w:vAlign w:val="bottom"/>
          </w:tcPr>
          <w:p w14:paraId="323A470B" w14:textId="77777777" w:rsidR="00C22765" w:rsidRDefault="004A4594">
            <w:pPr>
              <w:spacing w:after="0" w:line="240" w:lineRule="auto"/>
              <w:jc w:val="center"/>
              <w:rPr>
                <w:rFonts w:ascii="Calibri" w:eastAsia="Times New Roman" w:hAnsi="Calibri" w:cs="Calibri"/>
                <w:sz w:val="20"/>
                <w:szCs w:val="20"/>
                <w:lang w:eastAsia="en-GB"/>
              </w:rPr>
            </w:pPr>
            <w:r>
              <w:rPr>
                <w:rFonts w:cs="Calibri"/>
                <w:sz w:val="20"/>
                <w:szCs w:val="20"/>
              </w:rPr>
              <w:t>69.3%</w:t>
            </w:r>
          </w:p>
        </w:tc>
        <w:tc>
          <w:tcPr>
            <w:tcW w:w="1216" w:type="dxa"/>
            <w:tcBorders>
              <w:top w:val="single" w:sz="4" w:space="0" w:color="000001"/>
              <w:left w:val="single" w:sz="4" w:space="0" w:color="000001"/>
              <w:bottom w:val="single" w:sz="4" w:space="0" w:color="000001"/>
              <w:right w:val="single" w:sz="4" w:space="0" w:color="000001"/>
            </w:tcBorders>
            <w:shd w:val="clear" w:color="auto" w:fill="auto"/>
            <w:vAlign w:val="bottom"/>
          </w:tcPr>
          <w:p w14:paraId="00C44D63" w14:textId="77777777" w:rsidR="00C22765" w:rsidRDefault="004A4594">
            <w:pPr>
              <w:spacing w:after="0" w:line="240" w:lineRule="auto"/>
              <w:jc w:val="center"/>
              <w:rPr>
                <w:rFonts w:ascii="Calibri" w:eastAsia="Times New Roman" w:hAnsi="Calibri" w:cs="Calibri"/>
                <w:sz w:val="20"/>
                <w:szCs w:val="20"/>
                <w:lang w:eastAsia="en-GB"/>
              </w:rPr>
            </w:pPr>
            <w:r>
              <w:rPr>
                <w:rFonts w:cs="Calibri"/>
                <w:sz w:val="20"/>
                <w:szCs w:val="20"/>
              </w:rPr>
              <w:t>10.1%</w:t>
            </w:r>
          </w:p>
        </w:tc>
        <w:tc>
          <w:tcPr>
            <w:tcW w:w="1215" w:type="dxa"/>
            <w:tcBorders>
              <w:top w:val="single" w:sz="4" w:space="0" w:color="000001"/>
              <w:left w:val="single" w:sz="4" w:space="0" w:color="000001"/>
              <w:bottom w:val="single" w:sz="4" w:space="0" w:color="000001"/>
              <w:right w:val="single" w:sz="4" w:space="0" w:color="000001"/>
            </w:tcBorders>
            <w:shd w:val="clear" w:color="auto" w:fill="auto"/>
            <w:vAlign w:val="bottom"/>
          </w:tcPr>
          <w:p w14:paraId="05D98105" w14:textId="77777777" w:rsidR="00C22765" w:rsidRDefault="004A4594">
            <w:pPr>
              <w:spacing w:after="0" w:line="240" w:lineRule="auto"/>
              <w:jc w:val="center"/>
              <w:rPr>
                <w:rFonts w:ascii="Calibri" w:eastAsia="Times New Roman" w:hAnsi="Calibri" w:cs="Calibri"/>
                <w:sz w:val="20"/>
                <w:szCs w:val="20"/>
                <w:lang w:eastAsia="en-GB"/>
              </w:rPr>
            </w:pPr>
            <w:r>
              <w:rPr>
                <w:rFonts w:cs="Calibri"/>
                <w:sz w:val="20"/>
                <w:szCs w:val="20"/>
              </w:rPr>
              <w:t>0.0%</w:t>
            </w:r>
          </w:p>
        </w:tc>
      </w:tr>
      <w:tr w:rsidR="00C22765" w14:paraId="7E704120" w14:textId="77777777">
        <w:tc>
          <w:tcPr>
            <w:tcW w:w="1217" w:type="dxa"/>
            <w:tcBorders>
              <w:top w:val="single" w:sz="4" w:space="0" w:color="000001"/>
              <w:left w:val="single" w:sz="4" w:space="0" w:color="000001"/>
              <w:bottom w:val="single" w:sz="4" w:space="0" w:color="000001"/>
              <w:right w:val="single" w:sz="4" w:space="0" w:color="000001"/>
            </w:tcBorders>
            <w:shd w:val="clear" w:color="auto" w:fill="auto"/>
            <w:vAlign w:val="bottom"/>
          </w:tcPr>
          <w:p w14:paraId="5AFE942B" w14:textId="77777777" w:rsidR="00C22765" w:rsidRDefault="004A4594">
            <w:pPr>
              <w:spacing w:after="0" w:line="240" w:lineRule="auto"/>
              <w:rPr>
                <w:rFonts w:ascii="Calibri" w:eastAsia="Times New Roman" w:hAnsi="Calibri" w:cs="Calibri"/>
                <w:sz w:val="20"/>
                <w:szCs w:val="20"/>
                <w:lang w:eastAsia="en-GB"/>
              </w:rPr>
            </w:pPr>
            <w:r>
              <w:rPr>
                <w:rFonts w:cs="Calibri"/>
                <w:sz w:val="20"/>
                <w:szCs w:val="20"/>
              </w:rPr>
              <w:t>E06000025</w:t>
            </w:r>
          </w:p>
        </w:tc>
        <w:tc>
          <w:tcPr>
            <w:tcW w:w="1218" w:type="dxa"/>
            <w:tcBorders>
              <w:top w:val="single" w:sz="4" w:space="0" w:color="000001"/>
              <w:left w:val="single" w:sz="4" w:space="0" w:color="000001"/>
              <w:bottom w:val="single" w:sz="4" w:space="0" w:color="000001"/>
              <w:right w:val="single" w:sz="4" w:space="0" w:color="000001"/>
            </w:tcBorders>
            <w:shd w:val="clear" w:color="auto" w:fill="auto"/>
            <w:vAlign w:val="bottom"/>
          </w:tcPr>
          <w:p w14:paraId="73872A1C" w14:textId="77777777" w:rsidR="00C22765" w:rsidRDefault="004A4594">
            <w:pPr>
              <w:spacing w:after="0" w:line="240" w:lineRule="auto"/>
              <w:jc w:val="center"/>
              <w:rPr>
                <w:rFonts w:ascii="Calibri" w:eastAsia="Times New Roman" w:hAnsi="Calibri" w:cs="Calibri"/>
                <w:sz w:val="20"/>
                <w:szCs w:val="20"/>
                <w:lang w:eastAsia="en-GB"/>
              </w:rPr>
            </w:pPr>
            <w:r>
              <w:rPr>
                <w:rFonts w:cs="Calibri"/>
                <w:sz w:val="20"/>
                <w:szCs w:val="20"/>
              </w:rPr>
              <w:t>0.3%</w:t>
            </w:r>
          </w:p>
        </w:tc>
        <w:tc>
          <w:tcPr>
            <w:tcW w:w="1215" w:type="dxa"/>
            <w:tcBorders>
              <w:top w:val="single" w:sz="4" w:space="0" w:color="000001"/>
              <w:left w:val="single" w:sz="4" w:space="0" w:color="000001"/>
              <w:bottom w:val="single" w:sz="4" w:space="0" w:color="000001"/>
              <w:right w:val="single" w:sz="4" w:space="0" w:color="000001"/>
            </w:tcBorders>
            <w:shd w:val="clear" w:color="auto" w:fill="auto"/>
            <w:vAlign w:val="bottom"/>
          </w:tcPr>
          <w:p w14:paraId="23675F8C" w14:textId="77777777" w:rsidR="00C22765" w:rsidRDefault="004A4594">
            <w:pPr>
              <w:spacing w:after="0" w:line="240" w:lineRule="auto"/>
              <w:jc w:val="center"/>
              <w:rPr>
                <w:rFonts w:ascii="Calibri" w:eastAsia="Times New Roman" w:hAnsi="Calibri" w:cs="Calibri"/>
                <w:sz w:val="20"/>
                <w:szCs w:val="20"/>
                <w:lang w:eastAsia="en-GB"/>
              </w:rPr>
            </w:pPr>
            <w:r>
              <w:rPr>
                <w:rFonts w:cs="Calibri"/>
                <w:sz w:val="20"/>
                <w:szCs w:val="20"/>
              </w:rPr>
              <w:t>6.0%</w:t>
            </w:r>
          </w:p>
        </w:tc>
        <w:tc>
          <w:tcPr>
            <w:tcW w:w="1216" w:type="dxa"/>
            <w:tcBorders>
              <w:top w:val="single" w:sz="4" w:space="0" w:color="000001"/>
              <w:left w:val="single" w:sz="4" w:space="0" w:color="000001"/>
              <w:bottom w:val="single" w:sz="4" w:space="0" w:color="000001"/>
              <w:right w:val="single" w:sz="4" w:space="0" w:color="000001"/>
            </w:tcBorders>
            <w:shd w:val="clear" w:color="auto" w:fill="auto"/>
            <w:vAlign w:val="bottom"/>
          </w:tcPr>
          <w:p w14:paraId="4FC93C93" w14:textId="77777777" w:rsidR="00C22765" w:rsidRDefault="004A4594">
            <w:pPr>
              <w:spacing w:after="0" w:line="240" w:lineRule="auto"/>
              <w:jc w:val="center"/>
              <w:rPr>
                <w:rFonts w:ascii="Calibri" w:eastAsia="Times New Roman" w:hAnsi="Calibri" w:cs="Calibri"/>
                <w:sz w:val="20"/>
                <w:szCs w:val="20"/>
                <w:lang w:eastAsia="en-GB"/>
              </w:rPr>
            </w:pPr>
            <w:r>
              <w:rPr>
                <w:rFonts w:cs="Calibri"/>
                <w:sz w:val="20"/>
                <w:szCs w:val="20"/>
              </w:rPr>
              <w:t>14.9%</w:t>
            </w:r>
          </w:p>
        </w:tc>
        <w:tc>
          <w:tcPr>
            <w:tcW w:w="1216" w:type="dxa"/>
            <w:tcBorders>
              <w:top w:val="single" w:sz="4" w:space="0" w:color="000001"/>
              <w:left w:val="single" w:sz="4" w:space="0" w:color="000001"/>
              <w:bottom w:val="single" w:sz="4" w:space="0" w:color="000001"/>
              <w:right w:val="single" w:sz="4" w:space="0" w:color="000001"/>
            </w:tcBorders>
            <w:shd w:val="clear" w:color="auto" w:fill="auto"/>
            <w:vAlign w:val="bottom"/>
          </w:tcPr>
          <w:p w14:paraId="7625AE83" w14:textId="77777777" w:rsidR="00C22765" w:rsidRDefault="004A4594">
            <w:pPr>
              <w:spacing w:after="0" w:line="240" w:lineRule="auto"/>
              <w:jc w:val="center"/>
              <w:rPr>
                <w:rFonts w:ascii="Calibri" w:eastAsia="Times New Roman" w:hAnsi="Calibri" w:cs="Calibri"/>
                <w:sz w:val="20"/>
                <w:szCs w:val="20"/>
                <w:lang w:eastAsia="en-GB"/>
              </w:rPr>
            </w:pPr>
            <w:r>
              <w:rPr>
                <w:rFonts w:cs="Calibri"/>
                <w:sz w:val="20"/>
                <w:szCs w:val="20"/>
              </w:rPr>
              <w:t>3.1%</w:t>
            </w:r>
          </w:p>
        </w:tc>
        <w:tc>
          <w:tcPr>
            <w:tcW w:w="1216" w:type="dxa"/>
            <w:tcBorders>
              <w:top w:val="single" w:sz="4" w:space="0" w:color="000001"/>
              <w:left w:val="single" w:sz="4" w:space="0" w:color="000001"/>
              <w:bottom w:val="single" w:sz="4" w:space="0" w:color="000001"/>
              <w:right w:val="single" w:sz="4" w:space="0" w:color="000001"/>
            </w:tcBorders>
            <w:shd w:val="clear" w:color="auto" w:fill="auto"/>
            <w:vAlign w:val="bottom"/>
          </w:tcPr>
          <w:p w14:paraId="1EA4D300" w14:textId="77777777" w:rsidR="00C22765" w:rsidRDefault="004A4594">
            <w:pPr>
              <w:spacing w:after="0" w:line="240" w:lineRule="auto"/>
              <w:jc w:val="center"/>
              <w:rPr>
                <w:rFonts w:ascii="Calibri" w:eastAsia="Times New Roman" w:hAnsi="Calibri" w:cs="Calibri"/>
                <w:sz w:val="20"/>
                <w:szCs w:val="20"/>
                <w:lang w:eastAsia="en-GB"/>
              </w:rPr>
            </w:pPr>
            <w:r>
              <w:rPr>
                <w:rFonts w:cs="Calibri"/>
                <w:sz w:val="20"/>
                <w:szCs w:val="20"/>
              </w:rPr>
              <w:t>66.6%</w:t>
            </w:r>
          </w:p>
        </w:tc>
        <w:tc>
          <w:tcPr>
            <w:tcW w:w="1215" w:type="dxa"/>
            <w:tcBorders>
              <w:top w:val="single" w:sz="4" w:space="0" w:color="000001"/>
              <w:left w:val="single" w:sz="4" w:space="0" w:color="000001"/>
              <w:bottom w:val="single" w:sz="4" w:space="0" w:color="000001"/>
              <w:right w:val="single" w:sz="4" w:space="0" w:color="000001"/>
            </w:tcBorders>
            <w:shd w:val="clear" w:color="auto" w:fill="auto"/>
            <w:vAlign w:val="bottom"/>
          </w:tcPr>
          <w:p w14:paraId="343F60C5" w14:textId="77777777" w:rsidR="00C22765" w:rsidRDefault="004A4594">
            <w:pPr>
              <w:spacing w:after="0" w:line="240" w:lineRule="auto"/>
              <w:jc w:val="center"/>
              <w:rPr>
                <w:rFonts w:ascii="Calibri" w:eastAsia="Times New Roman" w:hAnsi="Calibri" w:cs="Calibri"/>
                <w:sz w:val="20"/>
                <w:szCs w:val="20"/>
                <w:lang w:eastAsia="en-GB"/>
              </w:rPr>
            </w:pPr>
            <w:r>
              <w:rPr>
                <w:rFonts w:cs="Calibri"/>
                <w:sz w:val="20"/>
                <w:szCs w:val="20"/>
              </w:rPr>
              <w:t>0.0%</w:t>
            </w:r>
          </w:p>
        </w:tc>
      </w:tr>
    </w:tbl>
    <w:p w14:paraId="337F677B" w14:textId="77777777" w:rsidR="00C22765" w:rsidRDefault="004A4594">
      <w:pPr>
        <w:rPr>
          <w:i/>
          <w:iCs/>
          <w:sz w:val="20"/>
          <w:szCs w:val="20"/>
        </w:rPr>
      </w:pPr>
      <w:r>
        <w:rPr>
          <w:i/>
          <w:iCs/>
          <w:sz w:val="20"/>
          <w:szCs w:val="20"/>
        </w:rPr>
        <w:t>NB cells show the percentages, e.g. for people living in E06000022 they do 56.7% of car travel within E06000022</w:t>
      </w:r>
    </w:p>
    <w:p w14:paraId="39B1A117" w14:textId="34F7B9AB" w:rsidR="00C22765" w:rsidRDefault="004A4594">
      <w:pPr>
        <w:rPr>
          <w:rFonts w:cstheme="minorHAnsi"/>
          <w:b/>
          <w:bCs/>
          <w:i/>
          <w:iCs/>
        </w:rPr>
      </w:pPr>
      <w:r>
        <w:rPr>
          <w:rFonts w:cstheme="minorHAnsi"/>
          <w:b/>
          <w:bCs/>
          <w:i/>
          <w:iCs/>
        </w:rPr>
        <w:t xml:space="preserve">2) for each LA of travel, for car/van trips, the </w:t>
      </w:r>
      <w:r w:rsidR="00003855">
        <w:rPr>
          <w:rFonts w:cstheme="minorHAnsi"/>
          <w:b/>
          <w:bCs/>
          <w:i/>
          <w:iCs/>
        </w:rPr>
        <w:t>total</w:t>
      </w:r>
      <w:r>
        <w:rPr>
          <w:rFonts w:cstheme="minorHAnsi"/>
          <w:b/>
          <w:bCs/>
          <w:i/>
          <w:iCs/>
        </w:rPr>
        <w:t xml:space="preserve"> distance by road types from Graphhopper</w:t>
      </w:r>
    </w:p>
    <w:tbl>
      <w:tblPr>
        <w:tblW w:w="364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1204"/>
        <w:gridCol w:w="1293"/>
        <w:gridCol w:w="1149"/>
      </w:tblGrid>
      <w:tr w:rsidR="007817DC" w14:paraId="0DC73DE4" w14:textId="77777777" w:rsidTr="007817DC">
        <w:tc>
          <w:tcPr>
            <w:tcW w:w="1204" w:type="dxa"/>
            <w:tcBorders>
              <w:top w:val="single" w:sz="4" w:space="0" w:color="000001"/>
              <w:left w:val="single" w:sz="4" w:space="0" w:color="000001"/>
              <w:bottom w:val="single" w:sz="4" w:space="0" w:color="000001"/>
              <w:right w:val="single" w:sz="4" w:space="0" w:color="000001"/>
            </w:tcBorders>
            <w:shd w:val="clear" w:color="auto" w:fill="auto"/>
            <w:vAlign w:val="bottom"/>
          </w:tcPr>
          <w:p w14:paraId="6E7DCD2A" w14:textId="77777777" w:rsidR="007817DC" w:rsidRDefault="007817DC">
            <w:pPr>
              <w:spacing w:after="0" w:line="240" w:lineRule="auto"/>
              <w:rPr>
                <w:rFonts w:ascii="Calibri" w:eastAsia="Times New Roman" w:hAnsi="Calibri" w:cs="Calibri"/>
                <w:sz w:val="20"/>
                <w:szCs w:val="20"/>
                <w:lang w:eastAsia="en-GB"/>
              </w:rPr>
            </w:pPr>
          </w:p>
        </w:tc>
        <w:tc>
          <w:tcPr>
            <w:tcW w:w="1293" w:type="dxa"/>
            <w:tcBorders>
              <w:top w:val="single" w:sz="4" w:space="0" w:color="000001"/>
              <w:left w:val="single" w:sz="4" w:space="0" w:color="000001"/>
              <w:bottom w:val="single" w:sz="4" w:space="0" w:color="000001"/>
              <w:right w:val="single" w:sz="4" w:space="0" w:color="000001"/>
            </w:tcBorders>
            <w:shd w:val="clear" w:color="auto" w:fill="auto"/>
            <w:vAlign w:val="bottom"/>
          </w:tcPr>
          <w:p w14:paraId="6B34ADFB" w14:textId="462EDB27" w:rsidR="007817DC" w:rsidRDefault="007817DC">
            <w:pPr>
              <w:spacing w:after="0" w:line="240" w:lineRule="auto"/>
              <w:rPr>
                <w:rFonts w:ascii="Calibri" w:eastAsia="Times New Roman" w:hAnsi="Calibri" w:cs="Calibri"/>
                <w:sz w:val="20"/>
                <w:szCs w:val="20"/>
                <w:lang w:eastAsia="en-GB"/>
              </w:rPr>
            </w:pPr>
            <w:r>
              <w:rPr>
                <w:rFonts w:eastAsia="Times New Roman" w:cs="Calibri"/>
                <w:sz w:val="20"/>
                <w:szCs w:val="20"/>
                <w:lang w:eastAsia="en-GB"/>
              </w:rPr>
              <w:t>Road type</w:t>
            </w:r>
          </w:p>
        </w:tc>
        <w:tc>
          <w:tcPr>
            <w:tcW w:w="1149" w:type="dxa"/>
            <w:tcBorders>
              <w:top w:val="single" w:sz="4" w:space="0" w:color="000001"/>
              <w:left w:val="single" w:sz="4" w:space="0" w:color="000001"/>
              <w:bottom w:val="single" w:sz="4" w:space="0" w:color="000001"/>
              <w:right w:val="single" w:sz="4" w:space="0" w:color="000001"/>
            </w:tcBorders>
            <w:shd w:val="clear" w:color="auto" w:fill="auto"/>
            <w:vAlign w:val="bottom"/>
          </w:tcPr>
          <w:p w14:paraId="5F035B69" w14:textId="77777777" w:rsidR="007817DC" w:rsidRDefault="007817DC">
            <w:pPr>
              <w:spacing w:after="0" w:line="240" w:lineRule="auto"/>
              <w:rPr>
                <w:rFonts w:ascii="Calibri" w:eastAsia="Times New Roman" w:hAnsi="Calibri" w:cs="Calibri"/>
                <w:sz w:val="20"/>
                <w:szCs w:val="20"/>
                <w:lang w:eastAsia="en-GB"/>
              </w:rPr>
            </w:pPr>
          </w:p>
        </w:tc>
      </w:tr>
      <w:tr w:rsidR="007817DC" w:rsidRPr="009F1C19" w14:paraId="17D31774" w14:textId="77777777" w:rsidTr="007817DC">
        <w:tc>
          <w:tcPr>
            <w:tcW w:w="1204" w:type="dxa"/>
            <w:tcBorders>
              <w:top w:val="single" w:sz="4" w:space="0" w:color="000001"/>
              <w:left w:val="single" w:sz="4" w:space="0" w:color="000001"/>
              <w:bottom w:val="single" w:sz="4" w:space="0" w:color="000001"/>
              <w:right w:val="single" w:sz="4" w:space="0" w:color="000001"/>
            </w:tcBorders>
            <w:shd w:val="clear" w:color="auto" w:fill="auto"/>
            <w:vAlign w:val="bottom"/>
          </w:tcPr>
          <w:p w14:paraId="2F9E03B5" w14:textId="77777777" w:rsidR="007817DC" w:rsidRPr="009F1C19" w:rsidRDefault="007817DC">
            <w:pPr>
              <w:spacing w:after="0" w:line="240" w:lineRule="auto"/>
              <w:rPr>
                <w:rFonts w:ascii="Calibri" w:eastAsia="Times New Roman" w:hAnsi="Calibri" w:cs="Calibri"/>
                <w:sz w:val="20"/>
                <w:szCs w:val="20"/>
                <w:lang w:eastAsia="en-GB"/>
              </w:rPr>
            </w:pPr>
            <w:r w:rsidRPr="009F1C19">
              <w:rPr>
                <w:rFonts w:eastAsia="Times New Roman" w:cs="Calibri"/>
                <w:sz w:val="20"/>
                <w:szCs w:val="20"/>
                <w:lang w:eastAsia="en-GB"/>
              </w:rPr>
              <w:t>LA of travel</w:t>
            </w:r>
          </w:p>
        </w:tc>
        <w:tc>
          <w:tcPr>
            <w:tcW w:w="1293" w:type="dxa"/>
            <w:tcBorders>
              <w:top w:val="single" w:sz="4" w:space="0" w:color="000001"/>
              <w:left w:val="single" w:sz="4" w:space="0" w:color="000001"/>
              <w:bottom w:val="single" w:sz="4" w:space="0" w:color="000001"/>
              <w:right w:val="single" w:sz="4" w:space="0" w:color="000001"/>
            </w:tcBorders>
            <w:shd w:val="clear" w:color="auto" w:fill="auto"/>
            <w:vAlign w:val="bottom"/>
          </w:tcPr>
          <w:p w14:paraId="5C011337" w14:textId="77777777" w:rsidR="007817DC" w:rsidRPr="009F1C19" w:rsidRDefault="007817DC">
            <w:pPr>
              <w:spacing w:after="0" w:line="240" w:lineRule="auto"/>
              <w:jc w:val="center"/>
              <w:rPr>
                <w:rFonts w:ascii="Calibri" w:eastAsia="Times New Roman" w:hAnsi="Calibri" w:cs="Calibri"/>
                <w:sz w:val="20"/>
                <w:szCs w:val="20"/>
                <w:lang w:eastAsia="en-GB"/>
              </w:rPr>
            </w:pPr>
            <w:r w:rsidRPr="009F1C19">
              <w:rPr>
                <w:rFonts w:eastAsia="Times New Roman" w:cs="Calibri"/>
                <w:sz w:val="20"/>
                <w:szCs w:val="20"/>
                <w:lang w:eastAsia="en-GB"/>
              </w:rPr>
              <w:t>motorway</w:t>
            </w:r>
          </w:p>
        </w:tc>
        <w:tc>
          <w:tcPr>
            <w:tcW w:w="1149" w:type="dxa"/>
            <w:tcBorders>
              <w:top w:val="single" w:sz="4" w:space="0" w:color="000001"/>
              <w:left w:val="single" w:sz="4" w:space="0" w:color="000001"/>
              <w:bottom w:val="single" w:sz="4" w:space="0" w:color="000001"/>
              <w:right w:val="single" w:sz="4" w:space="0" w:color="000001"/>
            </w:tcBorders>
            <w:shd w:val="clear" w:color="auto" w:fill="auto"/>
            <w:vAlign w:val="bottom"/>
          </w:tcPr>
          <w:p w14:paraId="304B045E" w14:textId="4FD8552E" w:rsidR="007817DC" w:rsidRPr="009F1C19" w:rsidRDefault="007817DC">
            <w:pPr>
              <w:spacing w:after="0" w:line="240" w:lineRule="auto"/>
              <w:jc w:val="center"/>
              <w:rPr>
                <w:rFonts w:ascii="Calibri" w:eastAsia="Times New Roman" w:hAnsi="Calibri" w:cs="Calibri"/>
                <w:sz w:val="20"/>
                <w:szCs w:val="20"/>
                <w:lang w:eastAsia="en-GB"/>
              </w:rPr>
            </w:pPr>
            <w:r w:rsidRPr="009F1C19">
              <w:rPr>
                <w:rFonts w:eastAsia="Times New Roman" w:cs="Calibri"/>
                <w:sz w:val="20"/>
                <w:szCs w:val="20"/>
                <w:lang w:eastAsia="en-GB"/>
              </w:rPr>
              <w:t>other</w:t>
            </w:r>
          </w:p>
        </w:tc>
      </w:tr>
      <w:tr w:rsidR="007817DC" w:rsidRPr="009F1C19" w14:paraId="0D5E1F42" w14:textId="77777777" w:rsidTr="007817DC">
        <w:tc>
          <w:tcPr>
            <w:tcW w:w="1204" w:type="dxa"/>
            <w:tcBorders>
              <w:top w:val="single" w:sz="4" w:space="0" w:color="000001"/>
              <w:left w:val="single" w:sz="4" w:space="0" w:color="000001"/>
              <w:bottom w:val="single" w:sz="4" w:space="0" w:color="000001"/>
              <w:right w:val="single" w:sz="4" w:space="0" w:color="000001"/>
            </w:tcBorders>
            <w:shd w:val="clear" w:color="auto" w:fill="auto"/>
            <w:vAlign w:val="bottom"/>
          </w:tcPr>
          <w:p w14:paraId="18376C80" w14:textId="77777777" w:rsidR="007817DC" w:rsidRPr="009F1C19" w:rsidRDefault="007817DC" w:rsidP="007817DC">
            <w:pPr>
              <w:spacing w:after="0" w:line="240" w:lineRule="auto"/>
              <w:rPr>
                <w:rFonts w:ascii="Calibri" w:eastAsia="Times New Roman" w:hAnsi="Calibri" w:cs="Calibri"/>
                <w:sz w:val="20"/>
                <w:szCs w:val="20"/>
                <w:lang w:eastAsia="en-GB"/>
              </w:rPr>
            </w:pPr>
            <w:r w:rsidRPr="009F1C19">
              <w:rPr>
                <w:rFonts w:cs="Calibri"/>
                <w:sz w:val="20"/>
                <w:szCs w:val="20"/>
              </w:rPr>
              <w:t>E06000019</w:t>
            </w:r>
          </w:p>
        </w:tc>
        <w:tc>
          <w:tcPr>
            <w:tcW w:w="1293" w:type="dxa"/>
            <w:tcBorders>
              <w:top w:val="single" w:sz="4" w:space="0" w:color="000001"/>
              <w:left w:val="single" w:sz="4" w:space="0" w:color="000001"/>
              <w:bottom w:val="single" w:sz="4" w:space="0" w:color="000001"/>
              <w:right w:val="single" w:sz="4" w:space="0" w:color="000001"/>
            </w:tcBorders>
            <w:shd w:val="clear" w:color="auto" w:fill="auto"/>
            <w:vAlign w:val="bottom"/>
          </w:tcPr>
          <w:p w14:paraId="214A162F" w14:textId="77777777" w:rsidR="007817DC" w:rsidRPr="009F1C19" w:rsidRDefault="007817DC" w:rsidP="007817DC">
            <w:pPr>
              <w:spacing w:after="0" w:line="240" w:lineRule="auto"/>
              <w:jc w:val="center"/>
              <w:rPr>
                <w:rFonts w:ascii="Calibri" w:eastAsia="Times New Roman" w:hAnsi="Calibri" w:cs="Calibri"/>
                <w:sz w:val="20"/>
                <w:szCs w:val="20"/>
                <w:lang w:eastAsia="en-GB"/>
              </w:rPr>
            </w:pPr>
            <w:r w:rsidRPr="009F1C19">
              <w:rPr>
                <w:rFonts w:cs="Calibri"/>
                <w:sz w:val="20"/>
                <w:szCs w:val="20"/>
              </w:rPr>
              <w:t>0%</w:t>
            </w:r>
          </w:p>
        </w:tc>
        <w:tc>
          <w:tcPr>
            <w:tcW w:w="1149" w:type="dxa"/>
            <w:tcBorders>
              <w:top w:val="single" w:sz="4" w:space="0" w:color="000001"/>
              <w:left w:val="single" w:sz="4" w:space="0" w:color="000001"/>
              <w:bottom w:val="single" w:sz="4" w:space="0" w:color="000001"/>
              <w:right w:val="single" w:sz="4" w:space="0" w:color="000001"/>
            </w:tcBorders>
            <w:shd w:val="clear" w:color="auto" w:fill="auto"/>
            <w:vAlign w:val="bottom"/>
          </w:tcPr>
          <w:p w14:paraId="3241DEF1" w14:textId="7C879BE2" w:rsidR="007817DC" w:rsidRPr="009F1C19" w:rsidRDefault="007817DC" w:rsidP="007817DC">
            <w:pPr>
              <w:spacing w:after="0" w:line="240" w:lineRule="auto"/>
              <w:jc w:val="center"/>
              <w:rPr>
                <w:rFonts w:ascii="Calibri" w:eastAsia="Times New Roman" w:hAnsi="Calibri" w:cs="Calibri"/>
                <w:sz w:val="20"/>
                <w:szCs w:val="20"/>
                <w:lang w:eastAsia="en-GB"/>
              </w:rPr>
            </w:pPr>
            <w:r w:rsidRPr="009F1C19">
              <w:rPr>
                <w:rFonts w:ascii="Calibri" w:hAnsi="Calibri" w:cs="Calibri"/>
                <w:color w:val="000000"/>
                <w:sz w:val="20"/>
                <w:szCs w:val="20"/>
              </w:rPr>
              <w:t>100%</w:t>
            </w:r>
          </w:p>
        </w:tc>
      </w:tr>
      <w:tr w:rsidR="007817DC" w:rsidRPr="009F1C19" w14:paraId="267B1BDA" w14:textId="77777777" w:rsidTr="007817DC">
        <w:tc>
          <w:tcPr>
            <w:tcW w:w="1204" w:type="dxa"/>
            <w:tcBorders>
              <w:top w:val="single" w:sz="4" w:space="0" w:color="000001"/>
              <w:left w:val="single" w:sz="4" w:space="0" w:color="000001"/>
              <w:bottom w:val="single" w:sz="4" w:space="0" w:color="000001"/>
              <w:right w:val="single" w:sz="4" w:space="0" w:color="000001"/>
            </w:tcBorders>
            <w:shd w:val="clear" w:color="auto" w:fill="auto"/>
            <w:vAlign w:val="bottom"/>
          </w:tcPr>
          <w:p w14:paraId="6EE1E577" w14:textId="77777777" w:rsidR="007817DC" w:rsidRPr="009F1C19" w:rsidRDefault="007817DC" w:rsidP="007817DC">
            <w:pPr>
              <w:spacing w:after="0" w:line="240" w:lineRule="auto"/>
              <w:rPr>
                <w:rFonts w:ascii="Calibri" w:eastAsia="Times New Roman" w:hAnsi="Calibri" w:cs="Calibri"/>
                <w:sz w:val="20"/>
                <w:szCs w:val="20"/>
                <w:lang w:eastAsia="en-GB"/>
              </w:rPr>
            </w:pPr>
            <w:r w:rsidRPr="009F1C19">
              <w:rPr>
                <w:rFonts w:cs="Calibri"/>
                <w:sz w:val="20"/>
                <w:szCs w:val="20"/>
              </w:rPr>
              <w:t>E06000022</w:t>
            </w:r>
          </w:p>
        </w:tc>
        <w:tc>
          <w:tcPr>
            <w:tcW w:w="1293" w:type="dxa"/>
            <w:tcBorders>
              <w:top w:val="single" w:sz="4" w:space="0" w:color="000001"/>
              <w:left w:val="single" w:sz="4" w:space="0" w:color="000001"/>
              <w:bottom w:val="single" w:sz="4" w:space="0" w:color="000001"/>
              <w:right w:val="single" w:sz="4" w:space="0" w:color="000001"/>
            </w:tcBorders>
            <w:shd w:val="clear" w:color="auto" w:fill="auto"/>
            <w:vAlign w:val="bottom"/>
          </w:tcPr>
          <w:p w14:paraId="6B2CF2CD" w14:textId="77777777" w:rsidR="007817DC" w:rsidRPr="009F1C19" w:rsidRDefault="007817DC" w:rsidP="007817DC">
            <w:pPr>
              <w:spacing w:after="0" w:line="240" w:lineRule="auto"/>
              <w:jc w:val="center"/>
              <w:rPr>
                <w:rFonts w:ascii="Calibri" w:eastAsia="Times New Roman" w:hAnsi="Calibri" w:cs="Calibri"/>
                <w:sz w:val="20"/>
                <w:szCs w:val="20"/>
                <w:lang w:eastAsia="en-GB"/>
              </w:rPr>
            </w:pPr>
            <w:r w:rsidRPr="009F1C19">
              <w:rPr>
                <w:rFonts w:cs="Calibri"/>
                <w:sz w:val="20"/>
                <w:szCs w:val="20"/>
              </w:rPr>
              <w:t>0%</w:t>
            </w:r>
          </w:p>
        </w:tc>
        <w:tc>
          <w:tcPr>
            <w:tcW w:w="1149" w:type="dxa"/>
            <w:tcBorders>
              <w:top w:val="single" w:sz="4" w:space="0" w:color="000001"/>
              <w:left w:val="single" w:sz="4" w:space="0" w:color="000001"/>
              <w:bottom w:val="single" w:sz="4" w:space="0" w:color="000001"/>
              <w:right w:val="single" w:sz="4" w:space="0" w:color="000001"/>
            </w:tcBorders>
            <w:shd w:val="clear" w:color="auto" w:fill="auto"/>
            <w:vAlign w:val="bottom"/>
          </w:tcPr>
          <w:p w14:paraId="366B83F5" w14:textId="77E127C1" w:rsidR="007817DC" w:rsidRPr="009F1C19" w:rsidRDefault="007817DC" w:rsidP="007817DC">
            <w:pPr>
              <w:spacing w:after="0" w:line="240" w:lineRule="auto"/>
              <w:jc w:val="center"/>
              <w:rPr>
                <w:rFonts w:ascii="Calibri" w:eastAsia="Times New Roman" w:hAnsi="Calibri" w:cs="Calibri"/>
                <w:sz w:val="20"/>
                <w:szCs w:val="20"/>
                <w:lang w:eastAsia="en-GB"/>
              </w:rPr>
            </w:pPr>
            <w:r w:rsidRPr="009F1C19">
              <w:rPr>
                <w:rFonts w:ascii="Calibri" w:hAnsi="Calibri" w:cs="Calibri"/>
                <w:color w:val="000000"/>
                <w:sz w:val="20"/>
                <w:szCs w:val="20"/>
              </w:rPr>
              <w:t>100%</w:t>
            </w:r>
          </w:p>
        </w:tc>
      </w:tr>
      <w:tr w:rsidR="007817DC" w:rsidRPr="009F1C19" w14:paraId="19E04A7C" w14:textId="77777777" w:rsidTr="007817DC">
        <w:tc>
          <w:tcPr>
            <w:tcW w:w="1204" w:type="dxa"/>
            <w:tcBorders>
              <w:top w:val="single" w:sz="4" w:space="0" w:color="000001"/>
              <w:left w:val="single" w:sz="4" w:space="0" w:color="000001"/>
              <w:bottom w:val="single" w:sz="4" w:space="0" w:color="000001"/>
              <w:right w:val="single" w:sz="4" w:space="0" w:color="000001"/>
            </w:tcBorders>
            <w:shd w:val="clear" w:color="auto" w:fill="auto"/>
            <w:vAlign w:val="bottom"/>
          </w:tcPr>
          <w:p w14:paraId="5BE84AE4" w14:textId="77777777" w:rsidR="007817DC" w:rsidRPr="009F1C19" w:rsidRDefault="007817DC" w:rsidP="007817DC">
            <w:pPr>
              <w:spacing w:after="0" w:line="240" w:lineRule="auto"/>
              <w:rPr>
                <w:rFonts w:ascii="Calibri" w:eastAsia="Times New Roman" w:hAnsi="Calibri" w:cs="Calibri"/>
                <w:sz w:val="20"/>
                <w:szCs w:val="20"/>
                <w:lang w:eastAsia="en-GB"/>
              </w:rPr>
            </w:pPr>
            <w:r w:rsidRPr="009F1C19">
              <w:rPr>
                <w:rFonts w:cs="Calibri"/>
                <w:sz w:val="20"/>
                <w:szCs w:val="20"/>
              </w:rPr>
              <w:t>E06000023</w:t>
            </w:r>
          </w:p>
        </w:tc>
        <w:tc>
          <w:tcPr>
            <w:tcW w:w="1293" w:type="dxa"/>
            <w:tcBorders>
              <w:top w:val="single" w:sz="4" w:space="0" w:color="000001"/>
              <w:left w:val="single" w:sz="4" w:space="0" w:color="000001"/>
              <w:bottom w:val="single" w:sz="4" w:space="0" w:color="000001"/>
              <w:right w:val="single" w:sz="4" w:space="0" w:color="000001"/>
            </w:tcBorders>
            <w:shd w:val="clear" w:color="auto" w:fill="auto"/>
            <w:vAlign w:val="bottom"/>
          </w:tcPr>
          <w:p w14:paraId="798DFEB7" w14:textId="77777777" w:rsidR="007817DC" w:rsidRPr="009F1C19" w:rsidRDefault="007817DC" w:rsidP="007817DC">
            <w:pPr>
              <w:spacing w:after="0" w:line="240" w:lineRule="auto"/>
              <w:jc w:val="center"/>
              <w:rPr>
                <w:rFonts w:ascii="Calibri" w:eastAsia="Times New Roman" w:hAnsi="Calibri" w:cs="Calibri"/>
                <w:sz w:val="20"/>
                <w:szCs w:val="20"/>
                <w:lang w:eastAsia="en-GB"/>
              </w:rPr>
            </w:pPr>
            <w:r w:rsidRPr="009F1C19">
              <w:rPr>
                <w:rFonts w:cs="Calibri"/>
                <w:sz w:val="20"/>
                <w:szCs w:val="20"/>
              </w:rPr>
              <w:t>21%</w:t>
            </w:r>
          </w:p>
        </w:tc>
        <w:tc>
          <w:tcPr>
            <w:tcW w:w="1149" w:type="dxa"/>
            <w:tcBorders>
              <w:top w:val="single" w:sz="4" w:space="0" w:color="000001"/>
              <w:left w:val="single" w:sz="4" w:space="0" w:color="000001"/>
              <w:bottom w:val="single" w:sz="4" w:space="0" w:color="000001"/>
              <w:right w:val="single" w:sz="4" w:space="0" w:color="000001"/>
            </w:tcBorders>
            <w:shd w:val="clear" w:color="auto" w:fill="auto"/>
            <w:vAlign w:val="bottom"/>
          </w:tcPr>
          <w:p w14:paraId="5771B647" w14:textId="2333A417" w:rsidR="007817DC" w:rsidRPr="009F1C19" w:rsidRDefault="007817DC" w:rsidP="007817DC">
            <w:pPr>
              <w:spacing w:after="0" w:line="240" w:lineRule="auto"/>
              <w:jc w:val="center"/>
              <w:rPr>
                <w:rFonts w:ascii="Calibri" w:eastAsia="Times New Roman" w:hAnsi="Calibri" w:cs="Calibri"/>
                <w:sz w:val="20"/>
                <w:szCs w:val="20"/>
                <w:lang w:eastAsia="en-GB"/>
              </w:rPr>
            </w:pPr>
            <w:r w:rsidRPr="009F1C19">
              <w:rPr>
                <w:rFonts w:ascii="Calibri" w:hAnsi="Calibri" w:cs="Calibri"/>
                <w:color w:val="000000"/>
                <w:sz w:val="20"/>
                <w:szCs w:val="20"/>
              </w:rPr>
              <w:t>79%</w:t>
            </w:r>
          </w:p>
        </w:tc>
      </w:tr>
      <w:tr w:rsidR="007817DC" w:rsidRPr="009F1C19" w14:paraId="006E4BE2" w14:textId="77777777" w:rsidTr="007817DC">
        <w:tc>
          <w:tcPr>
            <w:tcW w:w="1204" w:type="dxa"/>
            <w:tcBorders>
              <w:top w:val="single" w:sz="4" w:space="0" w:color="000001"/>
              <w:left w:val="single" w:sz="4" w:space="0" w:color="000001"/>
              <w:bottom w:val="single" w:sz="4" w:space="0" w:color="000001"/>
              <w:right w:val="single" w:sz="4" w:space="0" w:color="000001"/>
            </w:tcBorders>
            <w:shd w:val="clear" w:color="auto" w:fill="auto"/>
            <w:vAlign w:val="bottom"/>
          </w:tcPr>
          <w:p w14:paraId="4C9647E5" w14:textId="77777777" w:rsidR="007817DC" w:rsidRPr="009F1C19" w:rsidRDefault="007817DC" w:rsidP="007817DC">
            <w:pPr>
              <w:spacing w:after="0" w:line="240" w:lineRule="auto"/>
              <w:rPr>
                <w:rFonts w:ascii="Calibri" w:eastAsia="Times New Roman" w:hAnsi="Calibri" w:cs="Calibri"/>
                <w:sz w:val="20"/>
                <w:szCs w:val="20"/>
                <w:lang w:eastAsia="en-GB"/>
              </w:rPr>
            </w:pPr>
            <w:r w:rsidRPr="009F1C19">
              <w:rPr>
                <w:rFonts w:cs="Calibri"/>
                <w:sz w:val="20"/>
                <w:szCs w:val="20"/>
              </w:rPr>
              <w:t>E06000024</w:t>
            </w:r>
          </w:p>
        </w:tc>
        <w:tc>
          <w:tcPr>
            <w:tcW w:w="1293" w:type="dxa"/>
            <w:tcBorders>
              <w:top w:val="single" w:sz="4" w:space="0" w:color="000001"/>
              <w:left w:val="single" w:sz="4" w:space="0" w:color="000001"/>
              <w:bottom w:val="single" w:sz="4" w:space="0" w:color="000001"/>
              <w:right w:val="single" w:sz="4" w:space="0" w:color="000001"/>
            </w:tcBorders>
            <w:shd w:val="clear" w:color="auto" w:fill="auto"/>
            <w:vAlign w:val="bottom"/>
          </w:tcPr>
          <w:p w14:paraId="3C50F5A8" w14:textId="77777777" w:rsidR="007817DC" w:rsidRPr="009F1C19" w:rsidRDefault="007817DC" w:rsidP="007817DC">
            <w:pPr>
              <w:spacing w:after="0" w:line="240" w:lineRule="auto"/>
              <w:jc w:val="center"/>
              <w:rPr>
                <w:rFonts w:ascii="Calibri" w:eastAsia="Times New Roman" w:hAnsi="Calibri" w:cs="Calibri"/>
                <w:sz w:val="20"/>
                <w:szCs w:val="20"/>
                <w:lang w:eastAsia="en-GB"/>
              </w:rPr>
            </w:pPr>
            <w:r w:rsidRPr="009F1C19">
              <w:rPr>
                <w:rFonts w:cs="Calibri"/>
                <w:sz w:val="20"/>
                <w:szCs w:val="20"/>
              </w:rPr>
              <w:t>28%</w:t>
            </w:r>
          </w:p>
        </w:tc>
        <w:tc>
          <w:tcPr>
            <w:tcW w:w="1149" w:type="dxa"/>
            <w:tcBorders>
              <w:top w:val="single" w:sz="4" w:space="0" w:color="000001"/>
              <w:left w:val="single" w:sz="4" w:space="0" w:color="000001"/>
              <w:bottom w:val="single" w:sz="4" w:space="0" w:color="000001"/>
              <w:right w:val="single" w:sz="4" w:space="0" w:color="000001"/>
            </w:tcBorders>
            <w:shd w:val="clear" w:color="auto" w:fill="auto"/>
            <w:vAlign w:val="bottom"/>
          </w:tcPr>
          <w:p w14:paraId="08ED033A" w14:textId="794122D8" w:rsidR="007817DC" w:rsidRPr="009F1C19" w:rsidRDefault="007817DC" w:rsidP="007817DC">
            <w:pPr>
              <w:spacing w:after="0" w:line="240" w:lineRule="auto"/>
              <w:jc w:val="center"/>
              <w:rPr>
                <w:rFonts w:ascii="Calibri" w:eastAsia="Times New Roman" w:hAnsi="Calibri" w:cs="Calibri"/>
                <w:sz w:val="20"/>
                <w:szCs w:val="20"/>
                <w:lang w:eastAsia="en-GB"/>
              </w:rPr>
            </w:pPr>
            <w:r w:rsidRPr="009F1C19">
              <w:rPr>
                <w:rFonts w:ascii="Calibri" w:hAnsi="Calibri" w:cs="Calibri"/>
                <w:color w:val="000000"/>
                <w:sz w:val="20"/>
                <w:szCs w:val="20"/>
              </w:rPr>
              <w:t>72%</w:t>
            </w:r>
          </w:p>
        </w:tc>
      </w:tr>
      <w:tr w:rsidR="007817DC" w:rsidRPr="009F1C19" w14:paraId="5FA9151D" w14:textId="77777777" w:rsidTr="007817DC">
        <w:tc>
          <w:tcPr>
            <w:tcW w:w="1204" w:type="dxa"/>
            <w:tcBorders>
              <w:top w:val="single" w:sz="4" w:space="0" w:color="000001"/>
              <w:left w:val="single" w:sz="4" w:space="0" w:color="000001"/>
              <w:bottom w:val="single" w:sz="4" w:space="0" w:color="000001"/>
              <w:right w:val="single" w:sz="4" w:space="0" w:color="000001"/>
            </w:tcBorders>
            <w:shd w:val="clear" w:color="auto" w:fill="auto"/>
            <w:vAlign w:val="bottom"/>
          </w:tcPr>
          <w:p w14:paraId="2261CE42" w14:textId="77777777" w:rsidR="007817DC" w:rsidRPr="009F1C19" w:rsidRDefault="007817DC" w:rsidP="007817DC">
            <w:pPr>
              <w:spacing w:after="0" w:line="240" w:lineRule="auto"/>
              <w:rPr>
                <w:rFonts w:ascii="Calibri" w:eastAsia="Times New Roman" w:hAnsi="Calibri" w:cs="Calibri"/>
                <w:sz w:val="20"/>
                <w:szCs w:val="20"/>
                <w:lang w:eastAsia="en-GB"/>
              </w:rPr>
            </w:pPr>
            <w:r w:rsidRPr="009F1C19">
              <w:rPr>
                <w:rFonts w:cs="Calibri"/>
                <w:sz w:val="20"/>
                <w:szCs w:val="20"/>
              </w:rPr>
              <w:t>E06000025</w:t>
            </w:r>
          </w:p>
        </w:tc>
        <w:tc>
          <w:tcPr>
            <w:tcW w:w="1293" w:type="dxa"/>
            <w:tcBorders>
              <w:top w:val="single" w:sz="4" w:space="0" w:color="000001"/>
              <w:left w:val="single" w:sz="4" w:space="0" w:color="000001"/>
              <w:bottom w:val="single" w:sz="4" w:space="0" w:color="000001"/>
              <w:right w:val="single" w:sz="4" w:space="0" w:color="000001"/>
            </w:tcBorders>
            <w:shd w:val="clear" w:color="auto" w:fill="auto"/>
            <w:vAlign w:val="bottom"/>
          </w:tcPr>
          <w:p w14:paraId="1D327373" w14:textId="77777777" w:rsidR="007817DC" w:rsidRPr="009F1C19" w:rsidRDefault="007817DC" w:rsidP="007817DC">
            <w:pPr>
              <w:spacing w:after="0" w:line="240" w:lineRule="auto"/>
              <w:jc w:val="center"/>
              <w:rPr>
                <w:rFonts w:ascii="Calibri" w:eastAsia="Times New Roman" w:hAnsi="Calibri" w:cs="Calibri"/>
                <w:sz w:val="20"/>
                <w:szCs w:val="20"/>
                <w:lang w:eastAsia="en-GB"/>
              </w:rPr>
            </w:pPr>
            <w:r w:rsidRPr="009F1C19">
              <w:rPr>
                <w:rFonts w:cs="Calibri"/>
                <w:sz w:val="20"/>
                <w:szCs w:val="20"/>
              </w:rPr>
              <w:t>32%</w:t>
            </w:r>
          </w:p>
        </w:tc>
        <w:tc>
          <w:tcPr>
            <w:tcW w:w="1149" w:type="dxa"/>
            <w:tcBorders>
              <w:top w:val="single" w:sz="4" w:space="0" w:color="000001"/>
              <w:left w:val="single" w:sz="4" w:space="0" w:color="000001"/>
              <w:bottom w:val="single" w:sz="4" w:space="0" w:color="000001"/>
              <w:right w:val="single" w:sz="4" w:space="0" w:color="000001"/>
            </w:tcBorders>
            <w:shd w:val="clear" w:color="auto" w:fill="auto"/>
            <w:vAlign w:val="bottom"/>
          </w:tcPr>
          <w:p w14:paraId="3383CDF8" w14:textId="5D8E9EEB" w:rsidR="007817DC" w:rsidRPr="009F1C19" w:rsidRDefault="007817DC" w:rsidP="007817DC">
            <w:pPr>
              <w:spacing w:after="0" w:line="240" w:lineRule="auto"/>
              <w:jc w:val="center"/>
              <w:rPr>
                <w:rFonts w:ascii="Calibri" w:eastAsia="Times New Roman" w:hAnsi="Calibri" w:cs="Calibri"/>
                <w:sz w:val="20"/>
                <w:szCs w:val="20"/>
                <w:lang w:eastAsia="en-GB"/>
              </w:rPr>
            </w:pPr>
            <w:r w:rsidRPr="009F1C19">
              <w:rPr>
                <w:rFonts w:ascii="Calibri" w:hAnsi="Calibri" w:cs="Calibri"/>
                <w:color w:val="000000"/>
                <w:sz w:val="20"/>
                <w:szCs w:val="20"/>
              </w:rPr>
              <w:t>68%</w:t>
            </w:r>
          </w:p>
        </w:tc>
      </w:tr>
      <w:tr w:rsidR="007817DC" w:rsidRPr="009F1C19" w14:paraId="26397B22" w14:textId="77777777" w:rsidTr="007817DC">
        <w:tc>
          <w:tcPr>
            <w:tcW w:w="1204" w:type="dxa"/>
            <w:tcBorders>
              <w:top w:val="single" w:sz="4" w:space="0" w:color="000001"/>
              <w:left w:val="single" w:sz="4" w:space="0" w:color="000001"/>
              <w:bottom w:val="single" w:sz="4" w:space="0" w:color="000001"/>
              <w:right w:val="single" w:sz="4" w:space="0" w:color="000001"/>
            </w:tcBorders>
            <w:shd w:val="clear" w:color="auto" w:fill="auto"/>
            <w:vAlign w:val="bottom"/>
          </w:tcPr>
          <w:p w14:paraId="749BEE1F" w14:textId="77777777" w:rsidR="007817DC" w:rsidRPr="009F1C19" w:rsidRDefault="007817DC" w:rsidP="007817DC">
            <w:pPr>
              <w:spacing w:after="0" w:line="240" w:lineRule="auto"/>
              <w:rPr>
                <w:rFonts w:ascii="Calibri" w:eastAsia="Times New Roman" w:hAnsi="Calibri" w:cs="Calibri"/>
                <w:sz w:val="20"/>
                <w:szCs w:val="20"/>
                <w:lang w:eastAsia="en-GB"/>
              </w:rPr>
            </w:pPr>
            <w:r w:rsidRPr="009F1C19">
              <w:rPr>
                <w:rFonts w:cs="Calibri"/>
                <w:sz w:val="20"/>
                <w:szCs w:val="20"/>
              </w:rPr>
              <w:t>E06000030</w:t>
            </w:r>
          </w:p>
        </w:tc>
        <w:tc>
          <w:tcPr>
            <w:tcW w:w="1293" w:type="dxa"/>
            <w:tcBorders>
              <w:top w:val="single" w:sz="4" w:space="0" w:color="000001"/>
              <w:left w:val="single" w:sz="4" w:space="0" w:color="000001"/>
              <w:bottom w:val="single" w:sz="4" w:space="0" w:color="000001"/>
              <w:right w:val="single" w:sz="4" w:space="0" w:color="000001"/>
            </w:tcBorders>
            <w:shd w:val="clear" w:color="auto" w:fill="auto"/>
            <w:vAlign w:val="bottom"/>
          </w:tcPr>
          <w:p w14:paraId="1D0B0D61" w14:textId="77777777" w:rsidR="007817DC" w:rsidRPr="009F1C19" w:rsidRDefault="007817DC" w:rsidP="007817DC">
            <w:pPr>
              <w:spacing w:after="0" w:line="240" w:lineRule="auto"/>
              <w:jc w:val="center"/>
              <w:rPr>
                <w:rFonts w:ascii="Calibri" w:eastAsia="Times New Roman" w:hAnsi="Calibri" w:cs="Calibri"/>
                <w:sz w:val="20"/>
                <w:szCs w:val="20"/>
                <w:lang w:eastAsia="en-GB"/>
              </w:rPr>
            </w:pPr>
            <w:r w:rsidRPr="009F1C19">
              <w:rPr>
                <w:rFonts w:cs="Calibri"/>
                <w:sz w:val="20"/>
                <w:szCs w:val="20"/>
              </w:rPr>
              <w:t>37%</w:t>
            </w:r>
          </w:p>
        </w:tc>
        <w:tc>
          <w:tcPr>
            <w:tcW w:w="1149" w:type="dxa"/>
            <w:tcBorders>
              <w:top w:val="single" w:sz="4" w:space="0" w:color="000001"/>
              <w:left w:val="single" w:sz="4" w:space="0" w:color="000001"/>
              <w:bottom w:val="single" w:sz="4" w:space="0" w:color="000001"/>
              <w:right w:val="single" w:sz="4" w:space="0" w:color="000001"/>
            </w:tcBorders>
            <w:shd w:val="clear" w:color="auto" w:fill="auto"/>
            <w:vAlign w:val="bottom"/>
          </w:tcPr>
          <w:p w14:paraId="4C0D0E4A" w14:textId="4282A3D4" w:rsidR="007817DC" w:rsidRPr="009F1C19" w:rsidRDefault="007817DC" w:rsidP="007817DC">
            <w:pPr>
              <w:spacing w:after="0" w:line="240" w:lineRule="auto"/>
              <w:jc w:val="center"/>
              <w:rPr>
                <w:rFonts w:ascii="Calibri" w:eastAsia="Times New Roman" w:hAnsi="Calibri" w:cs="Calibri"/>
                <w:sz w:val="20"/>
                <w:szCs w:val="20"/>
                <w:lang w:eastAsia="en-GB"/>
              </w:rPr>
            </w:pPr>
            <w:r w:rsidRPr="009F1C19">
              <w:rPr>
                <w:rFonts w:ascii="Calibri" w:hAnsi="Calibri" w:cs="Calibri"/>
                <w:color w:val="000000"/>
                <w:sz w:val="20"/>
                <w:szCs w:val="20"/>
              </w:rPr>
              <w:t>63%</w:t>
            </w:r>
          </w:p>
        </w:tc>
      </w:tr>
    </w:tbl>
    <w:p w14:paraId="06358CBD" w14:textId="77777777" w:rsidR="00C22765" w:rsidRPr="009F1C19" w:rsidRDefault="00C22765">
      <w:pPr>
        <w:rPr>
          <w:rFonts w:cstheme="minorHAnsi"/>
          <w:b/>
          <w:bCs/>
          <w:i/>
          <w:iCs/>
        </w:rPr>
      </w:pPr>
    </w:p>
    <w:p w14:paraId="4F64E9C7" w14:textId="31CA8529" w:rsidR="00C22765" w:rsidRPr="009F1C19" w:rsidRDefault="004A4594">
      <w:pPr>
        <w:rPr>
          <w:rFonts w:cs="Calibri"/>
          <w:b/>
          <w:bCs/>
          <w:i/>
          <w:iCs/>
        </w:rPr>
      </w:pPr>
      <w:r w:rsidRPr="009F1C19">
        <w:rPr>
          <w:rFonts w:cstheme="minorHAnsi"/>
          <w:b/>
          <w:bCs/>
          <w:i/>
          <w:iCs/>
        </w:rPr>
        <w:t xml:space="preserve">3) Compare relative proportions on </w:t>
      </w:r>
      <w:r w:rsidR="00CD52C1" w:rsidRPr="009F1C19">
        <w:rPr>
          <w:rFonts w:cstheme="minorHAnsi"/>
          <w:b/>
          <w:bCs/>
          <w:i/>
          <w:iCs/>
        </w:rPr>
        <w:t>m</w:t>
      </w:r>
      <w:r w:rsidRPr="009F1C19">
        <w:rPr>
          <w:rFonts w:cstheme="minorHAnsi"/>
          <w:b/>
          <w:bCs/>
          <w:i/>
          <w:iCs/>
        </w:rPr>
        <w:t>otorway</w:t>
      </w:r>
      <w:r w:rsidR="00CD52C1" w:rsidRPr="009F1C19">
        <w:rPr>
          <w:rFonts w:cstheme="minorHAnsi"/>
          <w:b/>
          <w:bCs/>
          <w:i/>
          <w:iCs/>
        </w:rPr>
        <w:t xml:space="preserve">s </w:t>
      </w:r>
      <w:r w:rsidRPr="009F1C19">
        <w:rPr>
          <w:rFonts w:cstheme="minorHAnsi"/>
          <w:b/>
          <w:bCs/>
          <w:i/>
          <w:iCs/>
        </w:rPr>
        <w:t>between graphhopper and RTS</w:t>
      </w:r>
      <w:r w:rsidR="00CD52C1" w:rsidRPr="009F1C19">
        <w:rPr>
          <w:rFonts w:cstheme="minorHAnsi"/>
          <w:b/>
          <w:bCs/>
          <w:i/>
          <w:iCs/>
        </w:rPr>
        <w:t>, to generate scaling weights</w:t>
      </w:r>
      <w:r w:rsidRPr="009F1C19">
        <w:rPr>
          <w:rFonts w:cstheme="minorHAnsi"/>
          <w:b/>
          <w:bCs/>
          <w:i/>
          <w:iCs/>
        </w:rPr>
        <w:t>:</w:t>
      </w:r>
      <w:r w:rsidR="005D0143" w:rsidRPr="009F1C19">
        <w:rPr>
          <w:rFonts w:cstheme="minorHAnsi"/>
          <w:b/>
          <w:bCs/>
          <w:i/>
          <w:iCs/>
        </w:rPr>
        <w:t xml:space="preserve"> worked</w:t>
      </w:r>
      <w:r w:rsidRPr="009F1C19">
        <w:rPr>
          <w:rFonts w:cstheme="minorHAnsi"/>
          <w:b/>
          <w:bCs/>
          <w:i/>
          <w:iCs/>
        </w:rPr>
        <w:t xml:space="preserve"> example for </w:t>
      </w:r>
      <w:r w:rsidR="005160AE" w:rsidRPr="009F1C19">
        <w:rPr>
          <w:rFonts w:cstheme="minorHAnsi"/>
          <w:b/>
          <w:bCs/>
          <w:i/>
          <w:iCs/>
        </w:rPr>
        <w:t xml:space="preserve">car/van travel in </w:t>
      </w:r>
      <w:r w:rsidR="007817DC" w:rsidRPr="009F1C19">
        <w:rPr>
          <w:rFonts w:cs="Calibri"/>
          <w:b/>
          <w:bCs/>
          <w:i/>
          <w:iCs/>
        </w:rPr>
        <w:t>Bristol</w:t>
      </w:r>
      <w:r w:rsidR="00CD52C1" w:rsidRPr="009F1C19">
        <w:rPr>
          <w:rFonts w:cs="Calibri"/>
          <w:b/>
          <w:bCs/>
          <w:i/>
          <w:iCs/>
        </w:rPr>
        <w:t xml:space="preserve"> City Region</w:t>
      </w:r>
    </w:p>
    <w:p w14:paraId="570B8DE1" w14:textId="7828BED7" w:rsidR="00CA1B96" w:rsidRPr="009F1C19" w:rsidRDefault="005D0143" w:rsidP="009F1C19">
      <w:r w:rsidRPr="009F1C19">
        <w:t xml:space="preserve">In </w:t>
      </w:r>
      <w:r w:rsidR="005160AE" w:rsidRPr="009F1C19">
        <w:t xml:space="preserve">Bristol city region as a whole, the proportion of car/van travel done on motorways was </w:t>
      </w:r>
      <w:r w:rsidR="009017D1" w:rsidRPr="009F1C19">
        <w:t>33.0</w:t>
      </w:r>
      <w:r w:rsidR="005160AE" w:rsidRPr="009F1C19">
        <w:t xml:space="preserve">% in RTS versus </w:t>
      </w:r>
      <w:r w:rsidR="009017D1" w:rsidRPr="009F1C19">
        <w:t>26.8</w:t>
      </w:r>
      <w:r w:rsidR="005160AE" w:rsidRPr="009F1C19">
        <w:t xml:space="preserve">% after applying the above graphhopper routing method.  This corresponds to an odds ratio of </w:t>
      </w:r>
      <w:r w:rsidR="00CA1B96" w:rsidRPr="009F1C19">
        <w:t>(</w:t>
      </w:r>
      <w:r w:rsidR="009017D1" w:rsidRPr="009F1C19">
        <w:t>0.330</w:t>
      </w:r>
      <w:r w:rsidR="00CA1B96" w:rsidRPr="009F1C19">
        <w:t xml:space="preserve"> / (1 – </w:t>
      </w:r>
      <w:r w:rsidR="009017D1" w:rsidRPr="009F1C19">
        <w:t>0.330</w:t>
      </w:r>
      <w:r w:rsidR="00CA1B96" w:rsidRPr="009F1C19">
        <w:t>)) / (</w:t>
      </w:r>
      <w:r w:rsidR="009017D1" w:rsidRPr="009F1C19">
        <w:t xml:space="preserve">0.268 </w:t>
      </w:r>
      <w:r w:rsidR="00CA1B96" w:rsidRPr="009F1C19">
        <w:t xml:space="preserve">/ (1 – </w:t>
      </w:r>
      <w:r w:rsidR="009017D1" w:rsidRPr="009F1C19">
        <w:t>0.268</w:t>
      </w:r>
      <w:r w:rsidR="00CA1B96" w:rsidRPr="009F1C19">
        <w:t>))</w:t>
      </w:r>
      <w:r w:rsidR="005160AE" w:rsidRPr="009F1C19">
        <w:t xml:space="preserve"> </w:t>
      </w:r>
      <w:r w:rsidR="00CA1B96" w:rsidRPr="009F1C19">
        <w:t xml:space="preserve">= </w:t>
      </w:r>
      <w:r w:rsidR="009017D1" w:rsidRPr="009F1C19">
        <w:t>1.34</w:t>
      </w:r>
      <w:r w:rsidR="00CA1B96" w:rsidRPr="009F1C19">
        <w:t xml:space="preserve"> </w:t>
      </w:r>
      <w:r w:rsidR="005160AE" w:rsidRPr="009F1C19">
        <w:t>to scale</w:t>
      </w:r>
      <w:r w:rsidR="00003855" w:rsidRPr="009F1C19">
        <w:t xml:space="preserve"> car/van</w:t>
      </w:r>
      <w:r w:rsidR="005160AE" w:rsidRPr="009F1C19">
        <w:t xml:space="preserve"> motorway travel to RTS levels. The corresponding odds ratio for non-motorway roads is 1 / </w:t>
      </w:r>
      <w:r w:rsidR="009017D1" w:rsidRPr="009F1C19">
        <w:t>1.34</w:t>
      </w:r>
      <w:r w:rsidR="005160AE" w:rsidRPr="009F1C19">
        <w:t xml:space="preserve"> = </w:t>
      </w:r>
      <w:r w:rsidR="009017D1" w:rsidRPr="009F1C19">
        <w:t>0.74</w:t>
      </w:r>
      <w:r w:rsidR="005160AE" w:rsidRPr="009F1C19">
        <w:t>.</w:t>
      </w:r>
      <w:r w:rsidR="00CA1B96">
        <w:rPr>
          <w:rFonts w:cstheme="minorHAnsi"/>
          <w:b/>
          <w:i/>
          <w:iCs/>
        </w:rPr>
        <w:br w:type="page"/>
      </w:r>
    </w:p>
    <w:p w14:paraId="40E23FFB" w14:textId="585D5006" w:rsidR="00C22765" w:rsidRDefault="004A4594">
      <w:pPr>
        <w:rPr>
          <w:rFonts w:cstheme="minorHAnsi"/>
          <w:b/>
          <w:bCs/>
          <w:i/>
          <w:iCs/>
        </w:rPr>
      </w:pPr>
      <w:r>
        <w:rPr>
          <w:rFonts w:cstheme="minorHAnsi"/>
          <w:b/>
          <w:i/>
          <w:iCs/>
        </w:rPr>
        <w:lastRenderedPageBreak/>
        <w:t xml:space="preserve">Part 4: </w:t>
      </w:r>
      <w:r>
        <w:rPr>
          <w:rFonts w:cstheme="minorHAnsi"/>
          <w:b/>
          <w:bCs/>
          <w:i/>
          <w:iCs/>
        </w:rPr>
        <w:t xml:space="preserve">Process the graphhopper estimates to estimate travel </w:t>
      </w:r>
      <w:r w:rsidR="005859A6">
        <w:rPr>
          <w:rFonts w:cstheme="minorHAnsi"/>
          <w:b/>
          <w:bCs/>
          <w:i/>
          <w:iCs/>
        </w:rPr>
        <w:t xml:space="preserve">distance </w:t>
      </w:r>
      <w:r>
        <w:rPr>
          <w:rFonts w:cstheme="minorHAnsi"/>
          <w:b/>
          <w:bCs/>
          <w:i/>
          <w:iCs/>
        </w:rPr>
        <w:t>by road type for</w:t>
      </w:r>
      <w:r>
        <w:rPr>
          <w:rFonts w:cstheme="minorHAnsi"/>
          <w:b/>
          <w:bCs/>
          <w:i/>
          <w:iCs/>
          <w:u w:val="single"/>
        </w:rPr>
        <w:t xml:space="preserve"> stratified</w:t>
      </w:r>
      <w:r>
        <w:rPr>
          <w:rFonts w:cstheme="minorHAnsi"/>
          <w:b/>
          <w:bCs/>
          <w:i/>
          <w:iCs/>
        </w:rPr>
        <w:t xml:space="preserve"> trip types, including applying RTS scaling factors for motorways </w:t>
      </w:r>
    </w:p>
    <w:p w14:paraId="42BD5AD9" w14:textId="77777777" w:rsidR="00C22765" w:rsidRDefault="004A4594">
      <w:pPr>
        <w:pStyle w:val="ListParagraph"/>
        <w:numPr>
          <w:ilvl w:val="0"/>
          <w:numId w:val="1"/>
        </w:numPr>
        <w:rPr>
          <w:rFonts w:cstheme="minorHAnsi"/>
        </w:rPr>
      </w:pPr>
      <w:r>
        <w:rPr>
          <w:rFonts w:cstheme="minorHAnsi"/>
        </w:rPr>
        <w:t>We stratified trips in each LA</w:t>
      </w:r>
      <w:r>
        <w:t xml:space="preserve"> </w:t>
      </w:r>
      <w:r>
        <w:rPr>
          <w:rFonts w:cstheme="minorHAnsi"/>
        </w:rPr>
        <w:t xml:space="preserve">by </w:t>
      </w:r>
    </w:p>
    <w:p w14:paraId="7553086D" w14:textId="77777777" w:rsidR="00C22765" w:rsidRDefault="004A4594">
      <w:pPr>
        <w:pStyle w:val="ListParagraph"/>
        <w:numPr>
          <w:ilvl w:val="0"/>
          <w:numId w:val="6"/>
        </w:numPr>
        <w:rPr>
          <w:rFonts w:cstheme="minorHAnsi"/>
        </w:rPr>
      </w:pPr>
      <w:r>
        <w:rPr>
          <w:rFonts w:cstheme="minorHAnsi"/>
        </w:rPr>
        <w:t>the urban/rural status of the home LSOA of participants, in local authorities with the least 10% each in rural and urban areas.</w:t>
      </w:r>
    </w:p>
    <w:p w14:paraId="0D773663" w14:textId="77777777" w:rsidR="00C22765" w:rsidRDefault="004A4594">
      <w:pPr>
        <w:pStyle w:val="ListParagraph"/>
        <w:numPr>
          <w:ilvl w:val="0"/>
          <w:numId w:val="6"/>
        </w:numPr>
        <w:rPr>
          <w:rFonts w:cstheme="minorHAnsi"/>
          <w:i/>
          <w:iCs/>
        </w:rPr>
      </w:pPr>
      <w:r>
        <w:rPr>
          <w:rFonts w:cstheme="minorHAnsi"/>
        </w:rPr>
        <w:t>trip distance, using categories:</w:t>
      </w:r>
    </w:p>
    <w:p w14:paraId="316E1FF3" w14:textId="77777777" w:rsidR="00C22765" w:rsidRDefault="004A4594">
      <w:pPr>
        <w:pStyle w:val="ListParagraph"/>
        <w:numPr>
          <w:ilvl w:val="0"/>
          <w:numId w:val="8"/>
        </w:numPr>
        <w:rPr>
          <w:rFonts w:cstheme="minorHAnsi"/>
          <w:i/>
          <w:iCs/>
        </w:rPr>
      </w:pPr>
      <w:r>
        <w:rPr>
          <w:rFonts w:cstheme="minorHAnsi"/>
        </w:rPr>
        <w:t>for car/van and motorbike: 0-4.9km, 5-14.9km, 15-39.9km, 40km+</w:t>
      </w:r>
    </w:p>
    <w:p w14:paraId="68CC78A7" w14:textId="77777777" w:rsidR="00C22765" w:rsidRDefault="004A4594">
      <w:pPr>
        <w:pStyle w:val="ListParagraph"/>
        <w:numPr>
          <w:ilvl w:val="0"/>
          <w:numId w:val="8"/>
        </w:numPr>
        <w:rPr>
          <w:rFonts w:cstheme="minorHAnsi"/>
          <w:i/>
          <w:iCs/>
        </w:rPr>
      </w:pPr>
      <w:r>
        <w:rPr>
          <w:rFonts w:cstheme="minorHAnsi"/>
        </w:rPr>
        <w:t>for bicycle and bus: 0-4.9km, 5-14.9km, 15km+</w:t>
      </w:r>
    </w:p>
    <w:p w14:paraId="073D9489" w14:textId="77777777" w:rsidR="00C22765" w:rsidRDefault="004A4594">
      <w:pPr>
        <w:pStyle w:val="ListParagraph"/>
        <w:numPr>
          <w:ilvl w:val="0"/>
          <w:numId w:val="8"/>
        </w:numPr>
        <w:rPr>
          <w:rFonts w:cstheme="minorHAnsi"/>
          <w:i/>
          <w:iCs/>
        </w:rPr>
      </w:pPr>
      <w:r>
        <w:rPr>
          <w:rFonts w:cstheme="minorHAnsi"/>
        </w:rPr>
        <w:t>for walking: no sub categorisation by distance</w:t>
      </w:r>
    </w:p>
    <w:p w14:paraId="6077F487" w14:textId="77777777" w:rsidR="00C22765" w:rsidRPr="009017D1" w:rsidRDefault="004A4594">
      <w:pPr>
        <w:pStyle w:val="ListParagraph"/>
        <w:numPr>
          <w:ilvl w:val="0"/>
          <w:numId w:val="7"/>
        </w:numPr>
        <w:rPr>
          <w:rFonts w:cstheme="minorHAnsi"/>
        </w:rPr>
      </w:pPr>
      <w:r>
        <w:rPr>
          <w:rFonts w:cstheme="minorHAnsi"/>
        </w:rPr>
        <w:t xml:space="preserve">For each stratified subtype, we produced </w:t>
      </w:r>
      <w:r w:rsidRPr="009017D1">
        <w:rPr>
          <w:rFonts w:cstheme="minorHAnsi"/>
        </w:rPr>
        <w:t>matrices as described in Steps 1 and 2 of Part 3, i.e. first LA of travel by LA of residence; and then road type by LA of travel.</w:t>
      </w:r>
    </w:p>
    <w:p w14:paraId="74ECD80D" w14:textId="48095047" w:rsidR="00C22765" w:rsidRPr="009017D1" w:rsidRDefault="004A4594">
      <w:pPr>
        <w:pStyle w:val="ListParagraph"/>
        <w:numPr>
          <w:ilvl w:val="0"/>
          <w:numId w:val="7"/>
        </w:numPr>
        <w:rPr>
          <w:rFonts w:cstheme="minorHAnsi"/>
        </w:rPr>
      </w:pPr>
      <w:r w:rsidRPr="009017D1">
        <w:rPr>
          <w:rFonts w:cstheme="minorHAnsi"/>
        </w:rPr>
        <w:t xml:space="preserve">The second set of </w:t>
      </w:r>
      <w:r w:rsidR="00F016CB" w:rsidRPr="009017D1">
        <w:rPr>
          <w:rFonts w:cstheme="minorHAnsi"/>
        </w:rPr>
        <w:t xml:space="preserve">stratified </w:t>
      </w:r>
      <w:r w:rsidRPr="009017D1">
        <w:rPr>
          <w:rFonts w:cstheme="minorHAnsi"/>
        </w:rPr>
        <w:t>matrices, road type by LA of travel,</w:t>
      </w:r>
      <w:r w:rsidR="00F016CB" w:rsidRPr="009017D1">
        <w:rPr>
          <w:rFonts w:cstheme="minorHAnsi"/>
        </w:rPr>
        <w:t xml:space="preserve"> were calculated to incorporate </w:t>
      </w:r>
      <w:r w:rsidRPr="009017D1">
        <w:rPr>
          <w:rFonts w:cstheme="minorHAnsi"/>
        </w:rPr>
        <w:t xml:space="preserve">within them the </w:t>
      </w:r>
      <w:r w:rsidR="00F016CB" w:rsidRPr="009017D1">
        <w:rPr>
          <w:rFonts w:cstheme="minorHAnsi"/>
        </w:rPr>
        <w:t xml:space="preserve">city-region-level </w:t>
      </w:r>
      <w:r w:rsidRPr="009017D1">
        <w:rPr>
          <w:rFonts w:cstheme="minorHAnsi"/>
        </w:rPr>
        <w:t xml:space="preserve">scaling weights estimated in Step 3 of Part 3.  Thus, for example, the </w:t>
      </w:r>
      <w:r w:rsidR="00F016CB" w:rsidRPr="009017D1">
        <w:rPr>
          <w:rFonts w:cstheme="minorHAnsi"/>
        </w:rPr>
        <w:t xml:space="preserve">odds ratio </w:t>
      </w:r>
      <w:r w:rsidRPr="009017D1">
        <w:rPr>
          <w:rFonts w:cstheme="minorHAnsi"/>
        </w:rPr>
        <w:t xml:space="preserve">scaling weight of </w:t>
      </w:r>
      <w:r w:rsidR="009017D1" w:rsidRPr="009017D1">
        <w:rPr>
          <w:rFonts w:cstheme="minorHAnsi"/>
        </w:rPr>
        <w:t>1.34</w:t>
      </w:r>
      <w:r w:rsidRPr="009017D1">
        <w:rPr>
          <w:rFonts w:cstheme="minorHAnsi"/>
        </w:rPr>
        <w:t xml:space="preserve"> </w:t>
      </w:r>
      <w:r w:rsidRPr="009017D1">
        <w:rPr>
          <w:rFonts w:cs="Calibri"/>
        </w:rPr>
        <w:t xml:space="preserve">applied to </w:t>
      </w:r>
      <w:r w:rsidR="00CA1B96" w:rsidRPr="009017D1">
        <w:rPr>
          <w:rFonts w:cstheme="minorHAnsi"/>
        </w:rPr>
        <w:t xml:space="preserve">car/van </w:t>
      </w:r>
      <w:r w:rsidR="00CA1B96" w:rsidRPr="009017D1">
        <w:rPr>
          <w:rFonts w:cs="Calibri"/>
        </w:rPr>
        <w:t xml:space="preserve">motorway travel </w:t>
      </w:r>
      <w:r w:rsidRPr="009017D1">
        <w:rPr>
          <w:rFonts w:cs="Calibri"/>
        </w:rPr>
        <w:t xml:space="preserve">all trips subtypes, even though the initial proportion of motorway trips varied considerably (from negligible for shorter urban trips to substantial for long rural trips).  </w:t>
      </w:r>
      <w:r w:rsidR="00F016CB" w:rsidRPr="009017D1">
        <w:rPr>
          <w:rFonts w:cs="Calibri"/>
        </w:rPr>
        <w:t>The method for applying an odds ratio scaling weight to an initial percentage was as follows:</w:t>
      </w:r>
    </w:p>
    <w:p w14:paraId="7ED02245" w14:textId="043B2280" w:rsidR="00F016CB" w:rsidRPr="009017D1" w:rsidRDefault="00F016CB" w:rsidP="005137BC">
      <w:pPr>
        <w:pStyle w:val="ListParagraph"/>
        <w:numPr>
          <w:ilvl w:val="1"/>
          <w:numId w:val="10"/>
        </w:numPr>
        <w:rPr>
          <w:rFonts w:cstheme="minorHAnsi"/>
        </w:rPr>
      </w:pPr>
      <w:r w:rsidRPr="009017D1">
        <w:rPr>
          <w:rFonts w:cs="Calibri"/>
        </w:rPr>
        <w:t>convert the initial percentage ‘p1’ to an initial odds ratio ‘or1’, as or1 = p1 / (1-p1)</w:t>
      </w:r>
      <w:r w:rsidR="002B072E" w:rsidRPr="009017D1">
        <w:rPr>
          <w:rFonts w:cs="Calibri"/>
        </w:rPr>
        <w:t>.</w:t>
      </w:r>
    </w:p>
    <w:p w14:paraId="665ECE30" w14:textId="4E97498C" w:rsidR="00F016CB" w:rsidRPr="009017D1" w:rsidRDefault="00F016CB" w:rsidP="005137BC">
      <w:pPr>
        <w:pStyle w:val="ListParagraph"/>
        <w:numPr>
          <w:ilvl w:val="1"/>
          <w:numId w:val="10"/>
        </w:numPr>
        <w:rPr>
          <w:rFonts w:cstheme="minorHAnsi"/>
        </w:rPr>
      </w:pPr>
      <w:r w:rsidRPr="009017D1">
        <w:rPr>
          <w:rFonts w:cstheme="minorHAnsi"/>
        </w:rPr>
        <w:t xml:space="preserve">multiply the initial odds ratio by the </w:t>
      </w:r>
      <w:r w:rsidR="00CA1B96" w:rsidRPr="009017D1">
        <w:rPr>
          <w:rFonts w:cstheme="minorHAnsi"/>
        </w:rPr>
        <w:t xml:space="preserve">relevant </w:t>
      </w:r>
      <w:r w:rsidRPr="009017D1">
        <w:rPr>
          <w:rFonts w:cstheme="minorHAnsi"/>
        </w:rPr>
        <w:t>odds ratios scaling weight to generate an updated odds ratio ‘or2’</w:t>
      </w:r>
      <w:r w:rsidR="002B072E" w:rsidRPr="009017D1">
        <w:rPr>
          <w:rFonts w:cstheme="minorHAnsi"/>
        </w:rPr>
        <w:t>.</w:t>
      </w:r>
    </w:p>
    <w:p w14:paraId="33A637FB" w14:textId="54619360" w:rsidR="005859A6" w:rsidRDefault="00F016CB" w:rsidP="005859A6">
      <w:pPr>
        <w:pStyle w:val="ListParagraph"/>
        <w:numPr>
          <w:ilvl w:val="1"/>
          <w:numId w:val="10"/>
        </w:numPr>
        <w:rPr>
          <w:rFonts w:cstheme="minorHAnsi"/>
        </w:rPr>
      </w:pPr>
      <w:r w:rsidRPr="009017D1">
        <w:rPr>
          <w:rFonts w:cstheme="minorHAnsi"/>
        </w:rPr>
        <w:t xml:space="preserve">convert the updated odds ratio to an updated percentage ‘p2’ as p2 = or2 / (1+ or2). This </w:t>
      </w:r>
      <w:r w:rsidR="005137BC" w:rsidRPr="009017D1">
        <w:rPr>
          <w:rFonts w:cstheme="minorHAnsi"/>
        </w:rPr>
        <w:t>u</w:t>
      </w:r>
      <w:r w:rsidRPr="009017D1">
        <w:rPr>
          <w:rFonts w:cstheme="minorHAnsi"/>
        </w:rPr>
        <w:t>pdated percentage is then used in the matrix.</w:t>
      </w:r>
    </w:p>
    <w:p w14:paraId="3E5FA776" w14:textId="77777777" w:rsidR="005859A6" w:rsidRPr="005859A6" w:rsidRDefault="005859A6" w:rsidP="005859A6">
      <w:pPr>
        <w:pStyle w:val="ListParagraph"/>
        <w:ind w:left="1440"/>
        <w:rPr>
          <w:rFonts w:cstheme="minorHAnsi"/>
        </w:rPr>
      </w:pPr>
    </w:p>
    <w:p w14:paraId="7CEF73DF" w14:textId="4761E8C3" w:rsidR="005859A6" w:rsidRDefault="005859A6" w:rsidP="005859A6">
      <w:pPr>
        <w:rPr>
          <w:rFonts w:cstheme="minorHAnsi"/>
          <w:b/>
          <w:bCs/>
          <w:i/>
          <w:iCs/>
        </w:rPr>
      </w:pPr>
      <w:r>
        <w:rPr>
          <w:rFonts w:cstheme="minorHAnsi"/>
          <w:b/>
          <w:i/>
          <w:iCs/>
        </w:rPr>
        <w:t xml:space="preserve">Part </w:t>
      </w:r>
      <w:r>
        <w:rPr>
          <w:rFonts w:cstheme="minorHAnsi"/>
          <w:b/>
          <w:i/>
          <w:iCs/>
        </w:rPr>
        <w:t>5</w:t>
      </w:r>
      <w:r>
        <w:rPr>
          <w:rFonts w:cstheme="minorHAnsi"/>
          <w:b/>
          <w:i/>
          <w:iCs/>
        </w:rPr>
        <w:t>:</w:t>
      </w:r>
      <w:r>
        <w:rPr>
          <w:rFonts w:cstheme="minorHAnsi"/>
          <w:b/>
          <w:bCs/>
          <w:i/>
          <w:iCs/>
        </w:rPr>
        <w:t xml:space="preserve"> Convert the matrices showing estimated travel distance by road type into matrices showing estimated travel </w:t>
      </w:r>
      <w:r w:rsidRPr="005859A6">
        <w:rPr>
          <w:rFonts w:cstheme="minorHAnsi"/>
          <w:b/>
          <w:bCs/>
          <w:i/>
          <w:iCs/>
          <w:u w:val="single"/>
        </w:rPr>
        <w:t>duration</w:t>
      </w:r>
    </w:p>
    <w:p w14:paraId="6B36F30A" w14:textId="77777777" w:rsidR="00BA4703" w:rsidRDefault="005859A6" w:rsidP="005859A6">
      <w:pPr>
        <w:pStyle w:val="ListParagraph"/>
        <w:numPr>
          <w:ilvl w:val="0"/>
          <w:numId w:val="1"/>
        </w:numPr>
        <w:rPr>
          <w:rFonts w:cstheme="minorHAnsi"/>
        </w:rPr>
      </w:pPr>
      <w:r w:rsidRPr="00BA4703">
        <w:rPr>
          <w:rFonts w:cstheme="minorHAnsi"/>
        </w:rPr>
        <w:t xml:space="preserve">We </w:t>
      </w:r>
      <w:r w:rsidRPr="00BA4703">
        <w:rPr>
          <w:rFonts w:cstheme="minorHAnsi"/>
        </w:rPr>
        <w:t xml:space="preserve">took the matrices showing the proportion of travel distance in each LA done on motorways. We converted these into equivalent matrices for travel duration based on estimates as to how travel speed on motorways compares to travel on other roads. </w:t>
      </w:r>
    </w:p>
    <w:p w14:paraId="4311F977" w14:textId="63F3DF9A" w:rsidR="002773E4" w:rsidRDefault="00BA4703" w:rsidP="005859A6">
      <w:pPr>
        <w:pStyle w:val="ListParagraph"/>
        <w:numPr>
          <w:ilvl w:val="0"/>
          <w:numId w:val="1"/>
        </w:numPr>
        <w:rPr>
          <w:rFonts w:cstheme="minorHAnsi"/>
        </w:rPr>
      </w:pPr>
      <w:r>
        <w:rPr>
          <w:rFonts w:cstheme="minorHAnsi"/>
        </w:rPr>
        <w:t>To do this</w:t>
      </w:r>
      <w:r w:rsidR="005859A6" w:rsidRPr="00BA4703">
        <w:rPr>
          <w:rFonts w:cstheme="minorHAnsi"/>
        </w:rPr>
        <w:t>, we</w:t>
      </w:r>
      <w:r>
        <w:rPr>
          <w:rFonts w:cstheme="minorHAnsi"/>
        </w:rPr>
        <w:t xml:space="preserve"> first</w:t>
      </w:r>
      <w:r w:rsidR="005859A6" w:rsidRPr="00BA4703">
        <w:rPr>
          <w:rFonts w:cstheme="minorHAnsi"/>
        </w:rPr>
        <w:t xml:space="preserve"> used NTS to </w:t>
      </w:r>
      <w:r w:rsidRPr="00BA4703">
        <w:rPr>
          <w:rFonts w:cstheme="minorHAnsi"/>
        </w:rPr>
        <w:t>select</w:t>
      </w:r>
      <w:r w:rsidR="005859A6" w:rsidRPr="00BA4703">
        <w:rPr>
          <w:rFonts w:cstheme="minorHAnsi"/>
        </w:rPr>
        <w:t xml:space="preserve"> trips &lt;5km</w:t>
      </w:r>
      <w:r w:rsidRPr="00BA4703">
        <w:rPr>
          <w:rFonts w:cstheme="minorHAnsi"/>
        </w:rPr>
        <w:t xml:space="preserve">, which we </w:t>
      </w:r>
      <w:r w:rsidR="005859A6" w:rsidRPr="00BA4703">
        <w:rPr>
          <w:rFonts w:cstheme="minorHAnsi"/>
        </w:rPr>
        <w:t>assumed to be entirely off motorways</w:t>
      </w:r>
      <w:r w:rsidRPr="00BA4703">
        <w:rPr>
          <w:rFonts w:cstheme="minorHAnsi"/>
        </w:rPr>
        <w:t xml:space="preserve">. On these short trips we calculated average speed at the stage level to be </w:t>
      </w:r>
      <w:r w:rsidR="002773E4" w:rsidRPr="00BA4703">
        <w:rPr>
          <w:rFonts w:cstheme="minorHAnsi"/>
        </w:rPr>
        <w:t>20.</w:t>
      </w:r>
      <w:r w:rsidRPr="00BA4703">
        <w:rPr>
          <w:rFonts w:cstheme="minorHAnsi"/>
        </w:rPr>
        <w:t>9</w:t>
      </w:r>
      <w:r w:rsidR="002773E4" w:rsidRPr="00BA4703">
        <w:rPr>
          <w:rFonts w:cstheme="minorHAnsi"/>
        </w:rPr>
        <w:t>km/hr for cars, 2</w:t>
      </w:r>
      <w:r w:rsidRPr="00BA4703">
        <w:rPr>
          <w:rFonts w:cstheme="minorHAnsi"/>
        </w:rPr>
        <w:t>2.2</w:t>
      </w:r>
      <w:r w:rsidR="002773E4" w:rsidRPr="00BA4703">
        <w:rPr>
          <w:rFonts w:cstheme="minorHAnsi"/>
        </w:rPr>
        <w:t xml:space="preserve">km/hr for motorcycles and </w:t>
      </w:r>
      <w:r w:rsidRPr="00BA4703">
        <w:rPr>
          <w:rFonts w:cstheme="minorHAnsi"/>
        </w:rPr>
        <w:t>11.8</w:t>
      </w:r>
      <w:r w:rsidR="002773E4" w:rsidRPr="00BA4703">
        <w:rPr>
          <w:rFonts w:cstheme="minorHAnsi"/>
        </w:rPr>
        <w:t>km/hr for buses.</w:t>
      </w:r>
    </w:p>
    <w:p w14:paraId="3274C0D5" w14:textId="55DFE445" w:rsidR="00BA4703" w:rsidRDefault="00BA4703" w:rsidP="00BA4703">
      <w:pPr>
        <w:pStyle w:val="ListParagraph"/>
        <w:numPr>
          <w:ilvl w:val="0"/>
          <w:numId w:val="1"/>
        </w:numPr>
        <w:rPr>
          <w:rFonts w:cstheme="minorHAnsi"/>
        </w:rPr>
      </w:pPr>
      <w:r w:rsidRPr="00BA4703">
        <w:rPr>
          <w:rFonts w:cstheme="minorHAnsi"/>
        </w:rPr>
        <w:t>We then compared these to the average speed of 94.9 km/hr (59 miles/hour) reported on England’s Strategic Road Network in 2018.</w:t>
      </w:r>
      <w:r w:rsidR="00D95078">
        <w:rPr>
          <w:rStyle w:val="FootnoteReference"/>
          <w:rFonts w:cstheme="minorHAnsi"/>
        </w:rPr>
        <w:footnoteReference w:id="6"/>
      </w:r>
      <w:r w:rsidRPr="00BA4703">
        <w:rPr>
          <w:rFonts w:cstheme="minorHAnsi"/>
        </w:rPr>
        <w:t xml:space="preserve">  This comparison gave scaling factors of  94.9/20.9=4.5 for cars; </w:t>
      </w:r>
      <w:r w:rsidRPr="00BA4703">
        <w:rPr>
          <w:rFonts w:cstheme="minorHAnsi"/>
        </w:rPr>
        <w:t>94.9/2</w:t>
      </w:r>
      <w:r w:rsidRPr="00BA4703">
        <w:rPr>
          <w:rFonts w:cstheme="minorHAnsi"/>
        </w:rPr>
        <w:t>2.2</w:t>
      </w:r>
      <w:r w:rsidRPr="00BA4703">
        <w:rPr>
          <w:rFonts w:cstheme="minorHAnsi"/>
        </w:rPr>
        <w:t>=4.</w:t>
      </w:r>
      <w:r w:rsidRPr="00BA4703">
        <w:rPr>
          <w:rFonts w:cstheme="minorHAnsi"/>
        </w:rPr>
        <w:t xml:space="preserve">3 for motorcycles; and </w:t>
      </w:r>
      <w:r w:rsidRPr="00BA4703">
        <w:rPr>
          <w:rFonts w:cstheme="minorHAnsi"/>
        </w:rPr>
        <w:t>94.9/</w:t>
      </w:r>
      <w:r w:rsidRPr="00BA4703">
        <w:rPr>
          <w:rFonts w:cstheme="minorHAnsi"/>
        </w:rPr>
        <w:t>11.8</w:t>
      </w:r>
      <w:r w:rsidRPr="00BA4703">
        <w:rPr>
          <w:rFonts w:cstheme="minorHAnsi"/>
        </w:rPr>
        <w:t>=</w:t>
      </w:r>
      <w:r w:rsidRPr="00BA4703">
        <w:rPr>
          <w:rFonts w:cstheme="minorHAnsi"/>
        </w:rPr>
        <w:t>8.0 for buses. In other words, we estimate car travel speed to be 4.5 higher on motorways than on other roads</w:t>
      </w:r>
    </w:p>
    <w:p w14:paraId="6625B8E3" w14:textId="7776174C" w:rsidR="005859A6" w:rsidRPr="00BA4703" w:rsidRDefault="00BA4703" w:rsidP="00BA4703">
      <w:pPr>
        <w:pStyle w:val="ListParagraph"/>
        <w:numPr>
          <w:ilvl w:val="0"/>
          <w:numId w:val="1"/>
        </w:numPr>
        <w:rPr>
          <w:rFonts w:cstheme="minorHAnsi"/>
        </w:rPr>
      </w:pPr>
      <w:r>
        <w:rPr>
          <w:rFonts w:cstheme="minorHAnsi"/>
        </w:rPr>
        <w:t>We used the speed ratios to adjust the proportions in our distance matrices for road type. For example, in a local authority where 20% of car distance was estimated to be on motorways and 80% on other roads, we a) divided 20% by 4.5 = 0.044, and then b) rescaled this fraction to be a percentage as 0.044/(0.044+0.8) = 0.052, or 5.2% of duration estimated to be on motorways.</w:t>
      </w:r>
    </w:p>
    <w:p w14:paraId="74A1DFF9" w14:textId="77777777" w:rsidR="00C22765" w:rsidRPr="005859A6" w:rsidRDefault="00C22765" w:rsidP="00BA4703">
      <w:pPr>
        <w:pStyle w:val="ListParagraph"/>
        <w:rPr>
          <w:rFonts w:cstheme="minorHAnsi"/>
        </w:rPr>
      </w:pPr>
    </w:p>
    <w:p w14:paraId="753AA2FB" w14:textId="77777777" w:rsidR="00C22765" w:rsidRDefault="00C22765">
      <w:pPr>
        <w:spacing w:after="0" w:line="240" w:lineRule="auto"/>
        <w:rPr>
          <w:rFonts w:cstheme="minorHAnsi"/>
          <w:b/>
          <w:bCs/>
          <w:i/>
          <w:iCs/>
        </w:rPr>
      </w:pPr>
    </w:p>
    <w:p w14:paraId="52DFE564" w14:textId="77777777" w:rsidR="00BA4703" w:rsidRDefault="00BA4703">
      <w:pPr>
        <w:spacing w:after="0" w:line="240" w:lineRule="auto"/>
        <w:rPr>
          <w:rFonts w:cstheme="minorHAnsi"/>
          <w:b/>
          <w:bCs/>
          <w:i/>
          <w:iCs/>
        </w:rPr>
      </w:pPr>
      <w:r>
        <w:rPr>
          <w:rFonts w:cstheme="minorHAnsi"/>
          <w:b/>
          <w:bCs/>
          <w:i/>
          <w:iCs/>
        </w:rPr>
        <w:br w:type="page"/>
      </w:r>
    </w:p>
    <w:p w14:paraId="658B7C1B" w14:textId="2FAB1F63" w:rsidR="00C22765" w:rsidRDefault="004A4594">
      <w:pPr>
        <w:spacing w:after="0" w:line="240" w:lineRule="auto"/>
        <w:rPr>
          <w:rFonts w:cstheme="minorHAnsi"/>
          <w:b/>
          <w:bCs/>
          <w:i/>
          <w:iCs/>
        </w:rPr>
      </w:pPr>
      <w:r>
        <w:rPr>
          <w:rFonts w:cstheme="minorHAnsi"/>
          <w:b/>
          <w:bCs/>
          <w:i/>
          <w:iCs/>
        </w:rPr>
        <w:lastRenderedPageBreak/>
        <w:t xml:space="preserve">Notes on potential limitations of this approach </w:t>
      </w:r>
    </w:p>
    <w:p w14:paraId="3324FAA4" w14:textId="77777777" w:rsidR="00C22765" w:rsidRDefault="004A4594">
      <w:pPr>
        <w:pStyle w:val="ListParagraph"/>
        <w:numPr>
          <w:ilvl w:val="0"/>
          <w:numId w:val="1"/>
        </w:numPr>
        <w:rPr>
          <w:rFonts w:cstheme="minorHAnsi"/>
        </w:rPr>
      </w:pPr>
      <w:r>
        <w:rPr>
          <w:rFonts w:cstheme="minorHAnsi"/>
        </w:rPr>
        <w:t xml:space="preserve">We are using “trips made by people who live in a given LA </w:t>
      </w:r>
      <w:r>
        <w:rPr>
          <w:rFonts w:cstheme="minorHAnsi"/>
          <w:b/>
        </w:rPr>
        <w:t>and are starting from that LA</w:t>
      </w:r>
      <w:r>
        <w:rPr>
          <w:rFonts w:cstheme="minorHAnsi"/>
        </w:rPr>
        <w:t xml:space="preserve">” [from the census] as a proxy for “trips made by people who live in a given LA </w:t>
      </w:r>
      <w:r>
        <w:rPr>
          <w:rFonts w:cstheme="minorHAnsi"/>
          <w:b/>
        </w:rPr>
        <w:t>but might be starting their trip anywhere</w:t>
      </w:r>
      <w:r>
        <w:rPr>
          <w:rFonts w:cstheme="minorHAnsi"/>
        </w:rPr>
        <w:t>” [from the travel diary].  This could lead to underestimation of travel in LAs that attract a lot of people in from outside, e.g. you go from St Albans to Westminster, travel around in Westminster during the day for meetings/shopping etc, and then return home – the middle stage would not be captured.  Although this may be partly offset by places that are big attractors of trips from outside, like Westminster, also disproportionately being commuting destinations.</w:t>
      </w:r>
    </w:p>
    <w:p w14:paraId="2CB02F75" w14:textId="77777777" w:rsidR="00C22765" w:rsidRDefault="00C22765">
      <w:pPr>
        <w:pStyle w:val="ListParagraph"/>
        <w:rPr>
          <w:rFonts w:cstheme="minorHAnsi"/>
        </w:rPr>
      </w:pPr>
    </w:p>
    <w:p w14:paraId="7E197916" w14:textId="5AE45C69" w:rsidR="00C22765" w:rsidRDefault="004A4594">
      <w:pPr>
        <w:pStyle w:val="ListParagraph"/>
        <w:numPr>
          <w:ilvl w:val="0"/>
          <w:numId w:val="1"/>
        </w:numPr>
        <w:rPr>
          <w:rFonts w:cstheme="minorHAnsi"/>
        </w:rPr>
      </w:pPr>
      <w:r>
        <w:rPr>
          <w:rFonts w:cstheme="minorHAnsi"/>
        </w:rPr>
        <w:t xml:space="preserve">Relatedly, we are using </w:t>
      </w:r>
      <w:r>
        <w:rPr>
          <w:rFonts w:cstheme="minorHAnsi"/>
          <w:b/>
          <w:bCs/>
        </w:rPr>
        <w:t>commute trips as a proxy for all trips</w:t>
      </w:r>
      <w:r w:rsidR="003D7581">
        <w:rPr>
          <w:rFonts w:cstheme="minorHAnsi"/>
          <w:b/>
          <w:bCs/>
        </w:rPr>
        <w:t xml:space="preserve"> </w:t>
      </w:r>
      <w:r w:rsidR="003D7581" w:rsidRPr="003D7581">
        <w:rPr>
          <w:rFonts w:cstheme="minorHAnsi"/>
        </w:rPr>
        <w:t>when it comes to estimating cross-border flows and % travel on motorways</w:t>
      </w:r>
      <w:r w:rsidRPr="003D7581">
        <w:rPr>
          <w:rFonts w:cstheme="minorHAnsi"/>
        </w:rPr>
        <w:t>. In the NTS the mean d</w:t>
      </w:r>
      <w:r>
        <w:rPr>
          <w:rFonts w:cstheme="minorHAnsi"/>
        </w:rPr>
        <w:t xml:space="preserve">istance for a commute trip by a given mode is similar to  the mean distance for all trips by that mode (see table below). The variance is larger for all trips, however, especially when it comes to trips made by car/motorbike. This reflects a higher proportion of very long trips for non-commute purposes (e.g. 2.1% of non-commute trips by car/can/motorbike are over 100 km, as opposed to 0.7% of commute trips).  These data indicate that commute trips are an imperfect proxy for all trips, and may underestimate the amount of time spent on motorways.  </w:t>
      </w:r>
    </w:p>
    <w:p w14:paraId="32473C2D" w14:textId="77777777" w:rsidR="00C22765" w:rsidRDefault="00C22765">
      <w:pPr>
        <w:spacing w:after="0" w:line="240" w:lineRule="auto"/>
        <w:rPr>
          <w:rFonts w:cstheme="minorHAnsi"/>
        </w:rPr>
      </w:pPr>
    </w:p>
    <w:tbl>
      <w:tblPr>
        <w:tblStyle w:val="TableGrid"/>
        <w:tblW w:w="4917" w:type="dxa"/>
        <w:tblInd w:w="1129" w:type="dxa"/>
        <w:tblLook w:val="04A0" w:firstRow="1" w:lastRow="0" w:firstColumn="1" w:lastColumn="0" w:noHBand="0" w:noVBand="1"/>
      </w:tblPr>
      <w:tblGrid>
        <w:gridCol w:w="1940"/>
        <w:gridCol w:w="1559"/>
        <w:gridCol w:w="1418"/>
      </w:tblGrid>
      <w:tr w:rsidR="00C22765" w14:paraId="33BD9424" w14:textId="77777777">
        <w:tc>
          <w:tcPr>
            <w:tcW w:w="1940" w:type="dxa"/>
            <w:shd w:val="clear" w:color="auto" w:fill="auto"/>
          </w:tcPr>
          <w:p w14:paraId="71DC557F" w14:textId="77777777" w:rsidR="00C22765" w:rsidRDefault="00C22765">
            <w:pPr>
              <w:pStyle w:val="ListParagraph"/>
              <w:spacing w:after="0"/>
              <w:rPr>
                <w:rFonts w:cstheme="minorHAnsi"/>
              </w:rPr>
            </w:pPr>
          </w:p>
        </w:tc>
        <w:tc>
          <w:tcPr>
            <w:tcW w:w="2977" w:type="dxa"/>
            <w:gridSpan w:val="2"/>
            <w:shd w:val="clear" w:color="auto" w:fill="auto"/>
          </w:tcPr>
          <w:p w14:paraId="2CC8F075" w14:textId="77777777" w:rsidR="00C22765" w:rsidRDefault="004A4594">
            <w:pPr>
              <w:spacing w:after="0"/>
              <w:jc w:val="center"/>
              <w:rPr>
                <w:rFonts w:cstheme="minorHAnsi"/>
              </w:rPr>
            </w:pPr>
            <w:r>
              <w:rPr>
                <w:rFonts w:cstheme="minorHAnsi"/>
              </w:rPr>
              <w:t>Mean distance (SD) in km</w:t>
            </w:r>
          </w:p>
        </w:tc>
      </w:tr>
      <w:tr w:rsidR="00C22765" w14:paraId="7A0E6165" w14:textId="77777777">
        <w:tc>
          <w:tcPr>
            <w:tcW w:w="1940" w:type="dxa"/>
            <w:shd w:val="clear" w:color="auto" w:fill="auto"/>
          </w:tcPr>
          <w:p w14:paraId="0AE9088A" w14:textId="77777777" w:rsidR="00C22765" w:rsidRDefault="00C22765">
            <w:pPr>
              <w:spacing w:after="0"/>
              <w:rPr>
                <w:rFonts w:cstheme="minorHAnsi"/>
              </w:rPr>
            </w:pPr>
          </w:p>
        </w:tc>
        <w:tc>
          <w:tcPr>
            <w:tcW w:w="1559" w:type="dxa"/>
            <w:shd w:val="clear" w:color="auto" w:fill="auto"/>
          </w:tcPr>
          <w:p w14:paraId="28F95958" w14:textId="77777777" w:rsidR="00C22765" w:rsidRDefault="004A4594">
            <w:pPr>
              <w:spacing w:after="0"/>
              <w:jc w:val="center"/>
              <w:rPr>
                <w:rFonts w:cstheme="minorHAnsi"/>
              </w:rPr>
            </w:pPr>
            <w:r>
              <w:rPr>
                <w:rFonts w:cstheme="minorHAnsi"/>
              </w:rPr>
              <w:t>Commute trips</w:t>
            </w:r>
          </w:p>
        </w:tc>
        <w:tc>
          <w:tcPr>
            <w:tcW w:w="1418" w:type="dxa"/>
            <w:shd w:val="clear" w:color="auto" w:fill="auto"/>
          </w:tcPr>
          <w:p w14:paraId="00E55C31" w14:textId="77777777" w:rsidR="00C22765" w:rsidRDefault="004A4594">
            <w:pPr>
              <w:spacing w:after="0"/>
              <w:jc w:val="center"/>
              <w:rPr>
                <w:rFonts w:cstheme="minorHAnsi"/>
              </w:rPr>
            </w:pPr>
            <w:r>
              <w:rPr>
                <w:rFonts w:cstheme="minorHAnsi"/>
              </w:rPr>
              <w:t>All trips</w:t>
            </w:r>
          </w:p>
        </w:tc>
      </w:tr>
      <w:tr w:rsidR="00C22765" w14:paraId="13674C3B" w14:textId="77777777">
        <w:tc>
          <w:tcPr>
            <w:tcW w:w="1940" w:type="dxa"/>
            <w:shd w:val="clear" w:color="auto" w:fill="auto"/>
          </w:tcPr>
          <w:p w14:paraId="14BB563B" w14:textId="77777777" w:rsidR="00C22765" w:rsidRDefault="004A4594">
            <w:pPr>
              <w:spacing w:after="0"/>
              <w:rPr>
                <w:rFonts w:cstheme="minorHAnsi"/>
              </w:rPr>
            </w:pPr>
            <w:r>
              <w:rPr>
                <w:rFonts w:cstheme="minorHAnsi"/>
              </w:rPr>
              <w:t>Walking</w:t>
            </w:r>
          </w:p>
        </w:tc>
        <w:tc>
          <w:tcPr>
            <w:tcW w:w="1559" w:type="dxa"/>
            <w:shd w:val="clear" w:color="auto" w:fill="auto"/>
          </w:tcPr>
          <w:p w14:paraId="71E7E215" w14:textId="77777777" w:rsidR="00C22765" w:rsidRDefault="004A4594">
            <w:pPr>
              <w:spacing w:after="0"/>
              <w:jc w:val="center"/>
              <w:rPr>
                <w:rFonts w:cstheme="minorHAnsi"/>
              </w:rPr>
            </w:pPr>
            <w:r>
              <w:rPr>
                <w:rFonts w:cstheme="minorHAnsi"/>
              </w:rPr>
              <w:t>1.4 (1.1)</w:t>
            </w:r>
          </w:p>
        </w:tc>
        <w:tc>
          <w:tcPr>
            <w:tcW w:w="1418" w:type="dxa"/>
            <w:shd w:val="clear" w:color="auto" w:fill="auto"/>
          </w:tcPr>
          <w:p w14:paraId="67D938DC" w14:textId="77777777" w:rsidR="00C22765" w:rsidRDefault="004A4594">
            <w:pPr>
              <w:spacing w:after="0"/>
              <w:jc w:val="center"/>
              <w:rPr>
                <w:rFonts w:cstheme="minorHAnsi"/>
              </w:rPr>
            </w:pPr>
            <w:r>
              <w:rPr>
                <w:rFonts w:cstheme="minorHAnsi"/>
              </w:rPr>
              <w:t>1.2 (1.3)</w:t>
            </w:r>
          </w:p>
        </w:tc>
      </w:tr>
      <w:tr w:rsidR="00C22765" w14:paraId="4440B981" w14:textId="77777777">
        <w:tc>
          <w:tcPr>
            <w:tcW w:w="1940" w:type="dxa"/>
            <w:shd w:val="clear" w:color="auto" w:fill="auto"/>
          </w:tcPr>
          <w:p w14:paraId="7CE43405" w14:textId="77777777" w:rsidR="00C22765" w:rsidRDefault="004A4594">
            <w:pPr>
              <w:spacing w:after="0"/>
              <w:rPr>
                <w:rFonts w:cstheme="minorHAnsi"/>
              </w:rPr>
            </w:pPr>
            <w:r>
              <w:rPr>
                <w:rFonts w:cstheme="minorHAnsi"/>
              </w:rPr>
              <w:t>Cycling</w:t>
            </w:r>
          </w:p>
        </w:tc>
        <w:tc>
          <w:tcPr>
            <w:tcW w:w="1559" w:type="dxa"/>
            <w:shd w:val="clear" w:color="auto" w:fill="auto"/>
          </w:tcPr>
          <w:p w14:paraId="59AC93AF" w14:textId="77777777" w:rsidR="00C22765" w:rsidRDefault="004A4594">
            <w:pPr>
              <w:spacing w:after="0"/>
              <w:jc w:val="center"/>
              <w:rPr>
                <w:rFonts w:cstheme="minorHAnsi"/>
              </w:rPr>
            </w:pPr>
            <w:r>
              <w:rPr>
                <w:rFonts w:cstheme="minorHAnsi"/>
              </w:rPr>
              <w:t>5.5 (4.8)</w:t>
            </w:r>
          </w:p>
        </w:tc>
        <w:tc>
          <w:tcPr>
            <w:tcW w:w="1418" w:type="dxa"/>
            <w:shd w:val="clear" w:color="auto" w:fill="auto"/>
          </w:tcPr>
          <w:p w14:paraId="4CAA81C1" w14:textId="77777777" w:rsidR="00C22765" w:rsidRDefault="004A4594">
            <w:pPr>
              <w:spacing w:after="0"/>
              <w:jc w:val="center"/>
              <w:rPr>
                <w:rFonts w:cstheme="minorHAnsi"/>
              </w:rPr>
            </w:pPr>
            <w:r>
              <w:rPr>
                <w:rFonts w:cstheme="minorHAnsi"/>
              </w:rPr>
              <w:t>5.5 (6.8)</w:t>
            </w:r>
          </w:p>
        </w:tc>
      </w:tr>
      <w:tr w:rsidR="00C22765" w14:paraId="5E46D4F8" w14:textId="77777777">
        <w:tc>
          <w:tcPr>
            <w:tcW w:w="1940" w:type="dxa"/>
            <w:shd w:val="clear" w:color="auto" w:fill="auto"/>
          </w:tcPr>
          <w:p w14:paraId="02197564" w14:textId="77777777" w:rsidR="00C22765" w:rsidRDefault="004A4594">
            <w:pPr>
              <w:spacing w:after="0"/>
              <w:rPr>
                <w:rFonts w:cstheme="minorHAnsi"/>
              </w:rPr>
            </w:pPr>
            <w:r>
              <w:rPr>
                <w:rFonts w:cstheme="minorHAnsi"/>
              </w:rPr>
              <w:t>Car/van/motorbike</w:t>
            </w:r>
          </w:p>
        </w:tc>
        <w:tc>
          <w:tcPr>
            <w:tcW w:w="1559" w:type="dxa"/>
            <w:shd w:val="clear" w:color="auto" w:fill="auto"/>
          </w:tcPr>
          <w:p w14:paraId="25B9238B" w14:textId="77777777" w:rsidR="00C22765" w:rsidRDefault="004A4594">
            <w:pPr>
              <w:spacing w:after="0"/>
              <w:jc w:val="center"/>
              <w:rPr>
                <w:rFonts w:cstheme="minorHAnsi"/>
              </w:rPr>
            </w:pPr>
            <w:r>
              <w:rPr>
                <w:rFonts w:cstheme="minorHAnsi"/>
              </w:rPr>
              <w:t>15.8 (19.5)</w:t>
            </w:r>
          </w:p>
        </w:tc>
        <w:tc>
          <w:tcPr>
            <w:tcW w:w="1418" w:type="dxa"/>
            <w:shd w:val="clear" w:color="auto" w:fill="auto"/>
          </w:tcPr>
          <w:p w14:paraId="4A955767" w14:textId="77777777" w:rsidR="00C22765" w:rsidRDefault="004A4594">
            <w:pPr>
              <w:spacing w:after="0"/>
              <w:jc w:val="center"/>
              <w:rPr>
                <w:rFonts w:cstheme="minorHAnsi"/>
              </w:rPr>
            </w:pPr>
            <w:r>
              <w:rPr>
                <w:rFonts w:cstheme="minorHAnsi"/>
              </w:rPr>
              <w:t>14.5 (30.0)</w:t>
            </w:r>
          </w:p>
        </w:tc>
      </w:tr>
      <w:tr w:rsidR="00C22765" w14:paraId="2F1F974F" w14:textId="77777777">
        <w:tc>
          <w:tcPr>
            <w:tcW w:w="1940" w:type="dxa"/>
            <w:shd w:val="clear" w:color="auto" w:fill="auto"/>
          </w:tcPr>
          <w:p w14:paraId="5E652408" w14:textId="77777777" w:rsidR="00C22765" w:rsidRDefault="004A4594">
            <w:pPr>
              <w:spacing w:after="0"/>
              <w:rPr>
                <w:rFonts w:cstheme="minorHAnsi"/>
              </w:rPr>
            </w:pPr>
            <w:r>
              <w:rPr>
                <w:rFonts w:cstheme="minorHAnsi"/>
              </w:rPr>
              <w:t>Bus</w:t>
            </w:r>
          </w:p>
        </w:tc>
        <w:tc>
          <w:tcPr>
            <w:tcW w:w="1559" w:type="dxa"/>
            <w:shd w:val="clear" w:color="auto" w:fill="auto"/>
          </w:tcPr>
          <w:p w14:paraId="69241CFF" w14:textId="77777777" w:rsidR="00C22765" w:rsidRDefault="004A4594">
            <w:pPr>
              <w:spacing w:after="0"/>
              <w:jc w:val="center"/>
              <w:rPr>
                <w:rFonts w:cstheme="minorHAnsi"/>
              </w:rPr>
            </w:pPr>
            <w:r>
              <w:rPr>
                <w:rFonts w:cstheme="minorHAnsi"/>
              </w:rPr>
              <w:t>8.4 (6.2)</w:t>
            </w:r>
          </w:p>
        </w:tc>
        <w:tc>
          <w:tcPr>
            <w:tcW w:w="1418" w:type="dxa"/>
            <w:shd w:val="clear" w:color="auto" w:fill="auto"/>
          </w:tcPr>
          <w:p w14:paraId="29795787" w14:textId="77777777" w:rsidR="00C22765" w:rsidRDefault="004A4594">
            <w:pPr>
              <w:spacing w:after="0"/>
              <w:jc w:val="center"/>
              <w:rPr>
                <w:rFonts w:cstheme="minorHAnsi"/>
              </w:rPr>
            </w:pPr>
            <w:r>
              <w:rPr>
                <w:rFonts w:cstheme="minorHAnsi"/>
              </w:rPr>
              <w:t>7.4 (7.3)</w:t>
            </w:r>
          </w:p>
        </w:tc>
      </w:tr>
    </w:tbl>
    <w:p w14:paraId="69FC6D31" w14:textId="77777777" w:rsidR="00C22765" w:rsidRDefault="00C22765">
      <w:pPr>
        <w:pStyle w:val="ListParagraph"/>
        <w:rPr>
          <w:rFonts w:cstheme="minorHAnsi"/>
        </w:rPr>
      </w:pPr>
    </w:p>
    <w:p w14:paraId="13F5D32F" w14:textId="75CC4909" w:rsidR="00C22765" w:rsidRPr="00F83729" w:rsidRDefault="004A4594">
      <w:pPr>
        <w:pStyle w:val="ListParagraph"/>
        <w:numPr>
          <w:ilvl w:val="0"/>
          <w:numId w:val="1"/>
        </w:numPr>
        <w:rPr>
          <w:rFonts w:cstheme="minorHAnsi"/>
        </w:rPr>
      </w:pPr>
      <w:proofErr w:type="gramStart"/>
      <w:r w:rsidRPr="00F83729">
        <w:rPr>
          <w:rFonts w:cstheme="minorHAnsi"/>
        </w:rPr>
        <w:t>However</w:t>
      </w:r>
      <w:proofErr w:type="gramEnd"/>
      <w:r w:rsidRPr="00F83729">
        <w:rPr>
          <w:rFonts w:cstheme="minorHAnsi"/>
        </w:rPr>
        <w:t xml:space="preserve"> comparisons with RTS and with LTDS data from London suggest discrepancies of the level we can live with (see Appendix).  Specifically, agreement in terms of road type distribution was </w:t>
      </w:r>
      <w:r w:rsidR="003D7581" w:rsidRPr="00F83729">
        <w:rPr>
          <w:rFonts w:cstheme="minorHAnsi"/>
        </w:rPr>
        <w:t xml:space="preserve">fairly good </w:t>
      </w:r>
      <w:r w:rsidRPr="00F83729">
        <w:rPr>
          <w:rFonts w:cstheme="minorHAnsi"/>
        </w:rPr>
        <w:t xml:space="preserve">in the RTS comparison and very good in the London LTS comparison, while agreement in terms of the distribution across local authorities was generally good in the RTS comparison and moderate in the LTDS comparison. </w:t>
      </w:r>
    </w:p>
    <w:p w14:paraId="58B37881" w14:textId="66D9D400" w:rsidR="00C22765" w:rsidRDefault="004A4594">
      <w:pPr>
        <w:pStyle w:val="ListParagraph"/>
        <w:numPr>
          <w:ilvl w:val="0"/>
          <w:numId w:val="1"/>
        </w:numPr>
        <w:rPr>
          <w:rFonts w:cstheme="minorHAnsi"/>
        </w:rPr>
      </w:pPr>
      <w:r w:rsidRPr="00F83729">
        <w:rPr>
          <w:rFonts w:cstheme="minorHAnsi"/>
        </w:rPr>
        <w:t>In addition, we believe these problems</w:t>
      </w:r>
      <w:r w:rsidR="006D17CD" w:rsidRPr="00F83729">
        <w:rPr>
          <w:rFonts w:cstheme="minorHAnsi"/>
        </w:rPr>
        <w:t xml:space="preserve"> are substantially </w:t>
      </w:r>
      <w:r w:rsidRPr="00F83729">
        <w:rPr>
          <w:rFonts w:cstheme="minorHAnsi"/>
        </w:rPr>
        <w:t xml:space="preserve">mitigated by the fact that we are  (a) performing our calculation stratified by trip distance, and many trips switched in Metahit scenarios will shorter trips; and (b) we are adjusting the </w:t>
      </w:r>
      <w:r w:rsidR="00F83729" w:rsidRPr="00F83729">
        <w:rPr>
          <w:rFonts w:cstheme="minorHAnsi"/>
        </w:rPr>
        <w:t xml:space="preserve">both total travel volumes and the </w:t>
      </w:r>
      <w:r w:rsidRPr="00F83729">
        <w:rPr>
          <w:rFonts w:cstheme="minorHAnsi"/>
        </w:rPr>
        <w:t xml:space="preserve">scaling </w:t>
      </w:r>
      <w:r w:rsidR="003D7581" w:rsidRPr="00F83729">
        <w:rPr>
          <w:rFonts w:cstheme="minorHAnsi"/>
        </w:rPr>
        <w:t>proportion for motorways</w:t>
      </w:r>
      <w:r w:rsidR="006D17CD" w:rsidRPr="00F83729">
        <w:rPr>
          <w:rFonts w:cstheme="minorHAnsi"/>
        </w:rPr>
        <w:t xml:space="preserve"> to match RTS</w:t>
      </w:r>
      <w:r w:rsidRPr="00F83729">
        <w:rPr>
          <w:rFonts w:cstheme="minorHAnsi"/>
        </w:rPr>
        <w:t>.</w:t>
      </w:r>
      <w:r>
        <w:br w:type="page"/>
      </w:r>
    </w:p>
    <w:p w14:paraId="7822E32C" w14:textId="77777777" w:rsidR="00C22765" w:rsidRDefault="00C22765">
      <w:pPr>
        <w:spacing w:after="0" w:line="240" w:lineRule="auto"/>
        <w:rPr>
          <w:rFonts w:cstheme="minorHAnsi"/>
        </w:rPr>
      </w:pPr>
    </w:p>
    <w:p w14:paraId="6D7207EB" w14:textId="77777777" w:rsidR="00C22765" w:rsidRDefault="004A4594">
      <w:pPr>
        <w:spacing w:after="0" w:line="240" w:lineRule="auto"/>
        <w:rPr>
          <w:rFonts w:cstheme="minorHAnsi"/>
          <w:b/>
          <w:bCs/>
          <w:sz w:val="24"/>
          <w:szCs w:val="24"/>
          <w:u w:val="single"/>
        </w:rPr>
      </w:pPr>
      <w:r>
        <w:rPr>
          <w:rFonts w:cstheme="minorHAnsi"/>
          <w:b/>
          <w:bCs/>
          <w:sz w:val="24"/>
          <w:szCs w:val="24"/>
          <w:u w:val="single"/>
        </w:rPr>
        <w:t>APPENDIX: comparison of alternative datasets against the method of synthetic population + graph hopper routing + matrix transformation</w:t>
      </w:r>
    </w:p>
    <w:p w14:paraId="4AA6A2CE" w14:textId="77777777" w:rsidR="00C22765" w:rsidRDefault="00C22765">
      <w:pPr>
        <w:spacing w:after="0" w:line="240" w:lineRule="auto"/>
        <w:rPr>
          <w:rFonts w:cstheme="minorHAnsi"/>
          <w:i/>
          <w:iCs/>
        </w:rPr>
      </w:pPr>
    </w:p>
    <w:p w14:paraId="75C089FB" w14:textId="77777777" w:rsidR="00C22765" w:rsidRDefault="004A4594">
      <w:pPr>
        <w:spacing w:after="0" w:line="240" w:lineRule="auto"/>
        <w:rPr>
          <w:rFonts w:cstheme="minorHAnsi"/>
          <w:i/>
          <w:iCs/>
        </w:rPr>
      </w:pPr>
      <w:r>
        <w:rPr>
          <w:rFonts w:cstheme="minorHAnsi"/>
          <w:i/>
          <w:iCs/>
        </w:rPr>
        <w:t xml:space="preserve">Comparison of the census commute method with Road Traffic Data, in South West England </w:t>
      </w:r>
    </w:p>
    <w:p w14:paraId="767A5785" w14:textId="77777777" w:rsidR="00C22765" w:rsidRDefault="00C22765">
      <w:pPr>
        <w:spacing w:after="0" w:line="240" w:lineRule="auto"/>
        <w:rPr>
          <w:rFonts w:cstheme="minorHAnsi"/>
          <w:i/>
          <w:iCs/>
        </w:rPr>
      </w:pPr>
    </w:p>
    <w:p w14:paraId="4E7C748A" w14:textId="5405C582" w:rsidR="00C22765" w:rsidRDefault="004A4594">
      <w:pPr>
        <w:pStyle w:val="ListParagraph"/>
        <w:numPr>
          <w:ilvl w:val="0"/>
          <w:numId w:val="4"/>
        </w:numPr>
        <w:rPr>
          <w:rFonts w:cstheme="minorHAnsi"/>
        </w:rPr>
      </w:pPr>
      <w:r>
        <w:rPr>
          <w:rFonts w:cstheme="minorHAnsi"/>
        </w:rPr>
        <w:t xml:space="preserve">As previously </w:t>
      </w:r>
      <w:r w:rsidR="00502086">
        <w:rPr>
          <w:rFonts w:cstheme="minorHAnsi"/>
        </w:rPr>
        <w:t>discussed</w:t>
      </w:r>
      <w:r>
        <w:rPr>
          <w:rFonts w:cstheme="minorHAnsi"/>
        </w:rPr>
        <w:t>, NTS (and therefore our synthetic population) may underestimate total volumes of travel in general, as compared against the Road Traffic statistics (RTS). This is why we have generated these scaling weights, by region * mode, to adjust upwards total volumes of travel.</w:t>
      </w:r>
    </w:p>
    <w:p w14:paraId="178FA947" w14:textId="77777777" w:rsidR="00C22765" w:rsidRDefault="004A4594">
      <w:pPr>
        <w:pStyle w:val="ListParagraph"/>
        <w:numPr>
          <w:ilvl w:val="0"/>
          <w:numId w:val="4"/>
        </w:numPr>
        <w:rPr>
          <w:rFonts w:cstheme="minorHAnsi"/>
        </w:rPr>
      </w:pPr>
      <w:r>
        <w:rPr>
          <w:rFonts w:cstheme="minorHAnsi"/>
        </w:rPr>
        <w:t xml:space="preserve">One can also compare the synthetic population and RTS in terms of the </w:t>
      </w:r>
      <w:r>
        <w:rPr>
          <w:rFonts w:cstheme="minorHAnsi"/>
          <w:b/>
          <w:bCs/>
        </w:rPr>
        <w:t>patterning</w:t>
      </w:r>
      <w:r>
        <w:rPr>
          <w:rFonts w:cstheme="minorHAnsi"/>
        </w:rPr>
        <w:t xml:space="preserve"> of travel across local authorities and across road types. For South-West England, I compared a random sample of the synthetic population (200 routes in graphhopper per local authority per mode) with RTS data from 2011-2015. I found the two methods</w:t>
      </w:r>
    </w:p>
    <w:p w14:paraId="7D5DC5C8" w14:textId="77777777" w:rsidR="00C22765" w:rsidRPr="006D17CD" w:rsidRDefault="004A4594">
      <w:pPr>
        <w:pStyle w:val="ListParagraph"/>
        <w:numPr>
          <w:ilvl w:val="1"/>
          <w:numId w:val="4"/>
        </w:numPr>
        <w:rPr>
          <w:rFonts w:cstheme="minorHAnsi"/>
        </w:rPr>
      </w:pPr>
      <w:r>
        <w:rPr>
          <w:rFonts w:cstheme="minorHAnsi"/>
        </w:rPr>
        <w:t xml:space="preserve">agree well in terms of the correlation of volume at local authority level (r =0.81 for cycling, r=0.98 for motorbike travel, r=0.97 </w:t>
      </w:r>
      <w:r w:rsidRPr="006D17CD">
        <w:rPr>
          <w:rFonts w:cstheme="minorHAnsi"/>
        </w:rPr>
        <w:t>for car travel)</w:t>
      </w:r>
    </w:p>
    <w:p w14:paraId="11798451" w14:textId="63944978" w:rsidR="00C22765" w:rsidRPr="006D17CD" w:rsidRDefault="004A4594">
      <w:pPr>
        <w:pStyle w:val="ListParagraph"/>
        <w:numPr>
          <w:ilvl w:val="1"/>
          <w:numId w:val="4"/>
        </w:numPr>
        <w:rPr>
          <w:rFonts w:cstheme="minorHAnsi"/>
        </w:rPr>
      </w:pPr>
      <w:r w:rsidRPr="006D17CD">
        <w:rPr>
          <w:rFonts w:cstheme="minorHAnsi"/>
        </w:rPr>
        <w:t xml:space="preserve">agree </w:t>
      </w:r>
      <w:r w:rsidR="003D7581" w:rsidRPr="006D17CD">
        <w:rPr>
          <w:rFonts w:cstheme="minorHAnsi"/>
        </w:rPr>
        <w:t>fairly</w:t>
      </w:r>
      <w:r w:rsidRPr="006D17CD">
        <w:rPr>
          <w:rFonts w:cstheme="minorHAnsi"/>
        </w:rPr>
        <w:t xml:space="preserve"> well in terms of road type (e.g. RTS estimates that 17% of car distance is on motorways, versus 11% from the synthetic population/GraphHopper method</w:t>
      </w:r>
      <w:r w:rsidR="00280624" w:rsidRPr="006D17CD">
        <w:rPr>
          <w:rFonts w:cstheme="minorHAnsi"/>
        </w:rPr>
        <w:t xml:space="preserve">. For motorcycles the equivalent percentages are </w:t>
      </w:r>
      <w:r w:rsidR="006D17CD" w:rsidRPr="006D17CD">
        <w:rPr>
          <w:rFonts w:cstheme="minorHAnsi"/>
        </w:rPr>
        <w:t>6</w:t>
      </w:r>
      <w:r w:rsidR="00280624" w:rsidRPr="006D17CD">
        <w:rPr>
          <w:rFonts w:cstheme="minorHAnsi"/>
        </w:rPr>
        <w:t xml:space="preserve">% versus </w:t>
      </w:r>
      <w:r w:rsidR="006D17CD" w:rsidRPr="006D17CD">
        <w:rPr>
          <w:rFonts w:cstheme="minorHAnsi"/>
        </w:rPr>
        <w:t>9</w:t>
      </w:r>
      <w:r w:rsidR="00280624" w:rsidRPr="006D17CD">
        <w:rPr>
          <w:rFonts w:cstheme="minorHAnsi"/>
        </w:rPr>
        <w:t>%</w:t>
      </w:r>
      <w:r w:rsidRPr="006D17CD">
        <w:rPr>
          <w:rFonts w:cstheme="minorHAnsi"/>
        </w:rPr>
        <w:t>).</w:t>
      </w:r>
    </w:p>
    <w:p w14:paraId="7DD5D83C" w14:textId="77777777" w:rsidR="00C22765" w:rsidRDefault="00C22765">
      <w:pPr>
        <w:spacing w:after="0" w:line="240" w:lineRule="auto"/>
        <w:rPr>
          <w:rFonts w:cstheme="minorHAnsi"/>
          <w:i/>
          <w:iCs/>
        </w:rPr>
      </w:pPr>
    </w:p>
    <w:p w14:paraId="0FD57A93" w14:textId="77777777" w:rsidR="00C22765" w:rsidRDefault="004A4594">
      <w:pPr>
        <w:spacing w:after="0" w:line="240" w:lineRule="auto"/>
        <w:rPr>
          <w:rFonts w:cstheme="minorHAnsi"/>
          <w:i/>
          <w:iCs/>
        </w:rPr>
      </w:pPr>
      <w:r>
        <w:rPr>
          <w:rFonts w:cstheme="minorHAnsi"/>
          <w:i/>
          <w:iCs/>
        </w:rPr>
        <w:t xml:space="preserve">Comparison of the census commute method with all-trip origin destination data in London </w:t>
      </w:r>
    </w:p>
    <w:p w14:paraId="0BCC07C9" w14:textId="77777777" w:rsidR="00C22765" w:rsidRDefault="004A4594">
      <w:pPr>
        <w:pStyle w:val="ListParagraph"/>
        <w:numPr>
          <w:ilvl w:val="0"/>
          <w:numId w:val="1"/>
        </w:numPr>
        <w:rPr>
          <w:rFonts w:cstheme="minorHAnsi"/>
        </w:rPr>
      </w:pPr>
      <w:r>
        <w:rPr>
          <w:rFonts w:cstheme="minorHAnsi"/>
        </w:rPr>
        <w:t>In London, we have origin-destination trip data on all trips from LTDS. Comparing this to the census we find</w:t>
      </w:r>
    </w:p>
    <w:p w14:paraId="2D536E35" w14:textId="77777777" w:rsidR="00C22765" w:rsidRDefault="004A4594">
      <w:pPr>
        <w:pStyle w:val="ListParagraph"/>
      </w:pPr>
      <w:r>
        <w:rPr>
          <w:rFonts w:cstheme="minorHAnsi"/>
        </w:rPr>
        <w:tab/>
        <w:t>1) in terms of road type distributions, a</w:t>
      </w:r>
      <w:r>
        <w:t>greement between the Census and LTDS generally very good in London:</w:t>
      </w:r>
    </w:p>
    <w:tbl>
      <w:tblPr>
        <w:tblStyle w:val="TableGrid"/>
        <w:tblW w:w="6516" w:type="dxa"/>
        <w:tblInd w:w="846" w:type="dxa"/>
        <w:tblLook w:val="04A0" w:firstRow="1" w:lastRow="0" w:firstColumn="1" w:lastColumn="0" w:noHBand="0" w:noVBand="1"/>
      </w:tblPr>
      <w:tblGrid>
        <w:gridCol w:w="1127"/>
        <w:gridCol w:w="993"/>
        <w:gridCol w:w="1417"/>
        <w:gridCol w:w="1418"/>
        <w:gridCol w:w="1561"/>
      </w:tblGrid>
      <w:tr w:rsidR="00C22765" w14:paraId="52FCBC17" w14:textId="77777777">
        <w:tc>
          <w:tcPr>
            <w:tcW w:w="1127" w:type="dxa"/>
            <w:shd w:val="clear" w:color="auto" w:fill="auto"/>
          </w:tcPr>
          <w:p w14:paraId="74B7A5F7" w14:textId="77777777" w:rsidR="00C22765" w:rsidRDefault="00C22765">
            <w:pPr>
              <w:spacing w:after="0"/>
              <w:rPr>
                <w:sz w:val="20"/>
                <w:szCs w:val="20"/>
              </w:rPr>
            </w:pPr>
          </w:p>
        </w:tc>
        <w:tc>
          <w:tcPr>
            <w:tcW w:w="993" w:type="dxa"/>
            <w:shd w:val="clear" w:color="auto" w:fill="auto"/>
          </w:tcPr>
          <w:p w14:paraId="4466F635" w14:textId="77777777" w:rsidR="00C22765" w:rsidRDefault="00C22765">
            <w:pPr>
              <w:spacing w:after="0"/>
              <w:rPr>
                <w:sz w:val="20"/>
                <w:szCs w:val="20"/>
              </w:rPr>
            </w:pPr>
          </w:p>
        </w:tc>
        <w:tc>
          <w:tcPr>
            <w:tcW w:w="1417" w:type="dxa"/>
            <w:shd w:val="clear" w:color="auto" w:fill="auto"/>
          </w:tcPr>
          <w:p w14:paraId="3D00244C" w14:textId="77777777" w:rsidR="00C22765" w:rsidRDefault="004A4594">
            <w:pPr>
              <w:spacing w:after="0"/>
              <w:rPr>
                <w:sz w:val="20"/>
                <w:szCs w:val="20"/>
              </w:rPr>
            </w:pPr>
            <w:r>
              <w:rPr>
                <w:sz w:val="20"/>
                <w:szCs w:val="20"/>
              </w:rPr>
              <w:t>% motorway</w:t>
            </w:r>
          </w:p>
        </w:tc>
        <w:tc>
          <w:tcPr>
            <w:tcW w:w="1418" w:type="dxa"/>
            <w:shd w:val="clear" w:color="auto" w:fill="auto"/>
          </w:tcPr>
          <w:p w14:paraId="497D57AB" w14:textId="77777777" w:rsidR="00C22765" w:rsidRDefault="004A4594">
            <w:pPr>
              <w:spacing w:after="0"/>
              <w:rPr>
                <w:sz w:val="20"/>
                <w:szCs w:val="20"/>
              </w:rPr>
            </w:pPr>
            <w:r>
              <w:rPr>
                <w:sz w:val="20"/>
                <w:szCs w:val="20"/>
              </w:rPr>
              <w:t>% A road</w:t>
            </w:r>
          </w:p>
        </w:tc>
        <w:tc>
          <w:tcPr>
            <w:tcW w:w="1561" w:type="dxa"/>
            <w:shd w:val="clear" w:color="auto" w:fill="auto"/>
          </w:tcPr>
          <w:p w14:paraId="68990FB7" w14:textId="77777777" w:rsidR="00C22765" w:rsidRDefault="004A4594">
            <w:pPr>
              <w:spacing w:after="0"/>
              <w:rPr>
                <w:sz w:val="20"/>
                <w:szCs w:val="20"/>
              </w:rPr>
            </w:pPr>
            <w:r>
              <w:rPr>
                <w:sz w:val="20"/>
                <w:szCs w:val="20"/>
              </w:rPr>
              <w:t>% B/C/other</w:t>
            </w:r>
          </w:p>
        </w:tc>
      </w:tr>
      <w:tr w:rsidR="00C22765" w14:paraId="06AD86F9" w14:textId="77777777">
        <w:trPr>
          <w:trHeight w:val="99"/>
        </w:trPr>
        <w:tc>
          <w:tcPr>
            <w:tcW w:w="1127" w:type="dxa"/>
            <w:tcBorders>
              <w:bottom w:val="nil"/>
            </w:tcBorders>
            <w:shd w:val="clear" w:color="auto" w:fill="auto"/>
          </w:tcPr>
          <w:p w14:paraId="44C8ABAD" w14:textId="77777777" w:rsidR="00C22765" w:rsidRDefault="004A4594">
            <w:pPr>
              <w:spacing w:after="0"/>
              <w:rPr>
                <w:sz w:val="20"/>
                <w:szCs w:val="20"/>
              </w:rPr>
            </w:pPr>
            <w:r>
              <w:rPr>
                <w:sz w:val="20"/>
                <w:szCs w:val="20"/>
              </w:rPr>
              <w:t>Bike</w:t>
            </w:r>
          </w:p>
        </w:tc>
        <w:tc>
          <w:tcPr>
            <w:tcW w:w="993" w:type="dxa"/>
            <w:tcBorders>
              <w:bottom w:val="nil"/>
            </w:tcBorders>
            <w:shd w:val="clear" w:color="auto" w:fill="auto"/>
          </w:tcPr>
          <w:p w14:paraId="616EE636" w14:textId="77777777" w:rsidR="00C22765" w:rsidRDefault="004A4594">
            <w:pPr>
              <w:spacing w:after="0"/>
              <w:rPr>
                <w:sz w:val="20"/>
                <w:szCs w:val="20"/>
              </w:rPr>
            </w:pPr>
            <w:r>
              <w:rPr>
                <w:sz w:val="20"/>
                <w:szCs w:val="20"/>
              </w:rPr>
              <w:t>Census</w:t>
            </w:r>
          </w:p>
        </w:tc>
        <w:tc>
          <w:tcPr>
            <w:tcW w:w="1417" w:type="dxa"/>
            <w:tcBorders>
              <w:bottom w:val="nil"/>
            </w:tcBorders>
            <w:shd w:val="clear" w:color="auto" w:fill="auto"/>
            <w:vAlign w:val="bottom"/>
          </w:tcPr>
          <w:p w14:paraId="768281B3" w14:textId="77777777" w:rsidR="00C22765" w:rsidRDefault="004A4594">
            <w:pPr>
              <w:spacing w:after="0"/>
              <w:jc w:val="center"/>
              <w:rPr>
                <w:sz w:val="20"/>
                <w:szCs w:val="20"/>
              </w:rPr>
            </w:pPr>
            <w:r>
              <w:rPr>
                <w:rFonts w:cs="Calibri"/>
                <w:sz w:val="20"/>
                <w:szCs w:val="20"/>
              </w:rPr>
              <w:t>0%</w:t>
            </w:r>
          </w:p>
        </w:tc>
        <w:tc>
          <w:tcPr>
            <w:tcW w:w="1418" w:type="dxa"/>
            <w:tcBorders>
              <w:bottom w:val="nil"/>
            </w:tcBorders>
            <w:shd w:val="clear" w:color="auto" w:fill="auto"/>
            <w:vAlign w:val="bottom"/>
          </w:tcPr>
          <w:p w14:paraId="07B6B94D" w14:textId="77777777" w:rsidR="00C22765" w:rsidRDefault="004A4594">
            <w:pPr>
              <w:spacing w:after="0"/>
              <w:jc w:val="center"/>
              <w:rPr>
                <w:sz w:val="20"/>
                <w:szCs w:val="20"/>
              </w:rPr>
            </w:pPr>
            <w:r>
              <w:rPr>
                <w:rFonts w:cs="Calibri"/>
                <w:sz w:val="20"/>
                <w:szCs w:val="20"/>
              </w:rPr>
              <w:t>22%</w:t>
            </w:r>
          </w:p>
        </w:tc>
        <w:tc>
          <w:tcPr>
            <w:tcW w:w="1561" w:type="dxa"/>
            <w:tcBorders>
              <w:bottom w:val="nil"/>
            </w:tcBorders>
            <w:shd w:val="clear" w:color="auto" w:fill="auto"/>
            <w:vAlign w:val="bottom"/>
          </w:tcPr>
          <w:p w14:paraId="07EF6976" w14:textId="77777777" w:rsidR="00C22765" w:rsidRDefault="004A4594">
            <w:pPr>
              <w:spacing w:after="0"/>
              <w:jc w:val="center"/>
              <w:rPr>
                <w:sz w:val="20"/>
                <w:szCs w:val="20"/>
              </w:rPr>
            </w:pPr>
            <w:r>
              <w:rPr>
                <w:rFonts w:cs="Calibri"/>
                <w:sz w:val="20"/>
                <w:szCs w:val="20"/>
              </w:rPr>
              <w:t>78%</w:t>
            </w:r>
          </w:p>
        </w:tc>
      </w:tr>
      <w:tr w:rsidR="00C22765" w14:paraId="5A0CFF11" w14:textId="77777777">
        <w:tc>
          <w:tcPr>
            <w:tcW w:w="1127" w:type="dxa"/>
            <w:tcBorders>
              <w:top w:val="nil"/>
            </w:tcBorders>
            <w:shd w:val="clear" w:color="auto" w:fill="auto"/>
          </w:tcPr>
          <w:p w14:paraId="4A1FAD49" w14:textId="77777777" w:rsidR="00C22765" w:rsidRDefault="00C22765">
            <w:pPr>
              <w:spacing w:after="0"/>
              <w:rPr>
                <w:sz w:val="20"/>
                <w:szCs w:val="20"/>
              </w:rPr>
            </w:pPr>
          </w:p>
        </w:tc>
        <w:tc>
          <w:tcPr>
            <w:tcW w:w="993" w:type="dxa"/>
            <w:tcBorders>
              <w:top w:val="nil"/>
            </w:tcBorders>
            <w:shd w:val="clear" w:color="auto" w:fill="auto"/>
          </w:tcPr>
          <w:p w14:paraId="3C47B784" w14:textId="77777777" w:rsidR="00C22765" w:rsidRDefault="004A4594">
            <w:pPr>
              <w:spacing w:after="0"/>
              <w:rPr>
                <w:sz w:val="20"/>
                <w:szCs w:val="20"/>
              </w:rPr>
            </w:pPr>
            <w:r>
              <w:rPr>
                <w:sz w:val="20"/>
                <w:szCs w:val="20"/>
              </w:rPr>
              <w:t>LTDS</w:t>
            </w:r>
          </w:p>
        </w:tc>
        <w:tc>
          <w:tcPr>
            <w:tcW w:w="1417" w:type="dxa"/>
            <w:tcBorders>
              <w:top w:val="nil"/>
            </w:tcBorders>
            <w:shd w:val="clear" w:color="auto" w:fill="auto"/>
            <w:vAlign w:val="bottom"/>
          </w:tcPr>
          <w:p w14:paraId="26580F4F" w14:textId="77777777" w:rsidR="00C22765" w:rsidRDefault="004A4594">
            <w:pPr>
              <w:spacing w:after="0"/>
              <w:jc w:val="center"/>
              <w:rPr>
                <w:sz w:val="20"/>
                <w:szCs w:val="20"/>
              </w:rPr>
            </w:pPr>
            <w:r>
              <w:rPr>
                <w:rFonts w:cs="Calibri"/>
                <w:sz w:val="20"/>
                <w:szCs w:val="20"/>
              </w:rPr>
              <w:t>0%</w:t>
            </w:r>
          </w:p>
        </w:tc>
        <w:tc>
          <w:tcPr>
            <w:tcW w:w="1418" w:type="dxa"/>
            <w:tcBorders>
              <w:top w:val="nil"/>
            </w:tcBorders>
            <w:shd w:val="clear" w:color="auto" w:fill="auto"/>
            <w:vAlign w:val="bottom"/>
          </w:tcPr>
          <w:p w14:paraId="1B5000B3" w14:textId="77777777" w:rsidR="00C22765" w:rsidRDefault="004A4594">
            <w:pPr>
              <w:spacing w:after="0"/>
              <w:jc w:val="center"/>
              <w:rPr>
                <w:sz w:val="20"/>
                <w:szCs w:val="20"/>
              </w:rPr>
            </w:pPr>
            <w:r>
              <w:rPr>
                <w:rFonts w:cs="Calibri"/>
                <w:sz w:val="20"/>
                <w:szCs w:val="20"/>
              </w:rPr>
              <w:t>21%</w:t>
            </w:r>
          </w:p>
        </w:tc>
        <w:tc>
          <w:tcPr>
            <w:tcW w:w="1561" w:type="dxa"/>
            <w:tcBorders>
              <w:top w:val="nil"/>
            </w:tcBorders>
            <w:shd w:val="clear" w:color="auto" w:fill="auto"/>
            <w:vAlign w:val="bottom"/>
          </w:tcPr>
          <w:p w14:paraId="673792F0" w14:textId="77777777" w:rsidR="00C22765" w:rsidRDefault="004A4594">
            <w:pPr>
              <w:spacing w:after="0"/>
              <w:jc w:val="center"/>
              <w:rPr>
                <w:sz w:val="20"/>
                <w:szCs w:val="20"/>
              </w:rPr>
            </w:pPr>
            <w:r>
              <w:rPr>
                <w:rFonts w:cs="Calibri"/>
                <w:sz w:val="20"/>
                <w:szCs w:val="20"/>
              </w:rPr>
              <w:t>79%</w:t>
            </w:r>
          </w:p>
        </w:tc>
      </w:tr>
      <w:tr w:rsidR="00C22765" w14:paraId="09AA263A" w14:textId="77777777">
        <w:tc>
          <w:tcPr>
            <w:tcW w:w="1127" w:type="dxa"/>
            <w:tcBorders>
              <w:bottom w:val="nil"/>
            </w:tcBorders>
            <w:shd w:val="clear" w:color="auto" w:fill="auto"/>
          </w:tcPr>
          <w:p w14:paraId="3FA20F02" w14:textId="77777777" w:rsidR="00C22765" w:rsidRDefault="004A4594">
            <w:pPr>
              <w:spacing w:after="0"/>
              <w:rPr>
                <w:sz w:val="20"/>
                <w:szCs w:val="20"/>
              </w:rPr>
            </w:pPr>
            <w:r>
              <w:rPr>
                <w:sz w:val="20"/>
                <w:szCs w:val="20"/>
              </w:rPr>
              <w:t>Walk</w:t>
            </w:r>
          </w:p>
        </w:tc>
        <w:tc>
          <w:tcPr>
            <w:tcW w:w="993" w:type="dxa"/>
            <w:tcBorders>
              <w:bottom w:val="nil"/>
            </w:tcBorders>
            <w:shd w:val="clear" w:color="auto" w:fill="auto"/>
          </w:tcPr>
          <w:p w14:paraId="4726A5C7" w14:textId="77777777" w:rsidR="00C22765" w:rsidRDefault="004A4594">
            <w:pPr>
              <w:spacing w:after="0"/>
              <w:rPr>
                <w:sz w:val="20"/>
                <w:szCs w:val="20"/>
              </w:rPr>
            </w:pPr>
            <w:r>
              <w:rPr>
                <w:sz w:val="20"/>
                <w:szCs w:val="20"/>
              </w:rPr>
              <w:t>Census</w:t>
            </w:r>
          </w:p>
        </w:tc>
        <w:tc>
          <w:tcPr>
            <w:tcW w:w="1417" w:type="dxa"/>
            <w:tcBorders>
              <w:bottom w:val="nil"/>
            </w:tcBorders>
            <w:shd w:val="clear" w:color="auto" w:fill="auto"/>
            <w:vAlign w:val="bottom"/>
          </w:tcPr>
          <w:p w14:paraId="30B2AC45" w14:textId="77777777" w:rsidR="00C22765" w:rsidRDefault="004A4594">
            <w:pPr>
              <w:spacing w:after="0"/>
              <w:jc w:val="center"/>
              <w:rPr>
                <w:sz w:val="20"/>
                <w:szCs w:val="20"/>
              </w:rPr>
            </w:pPr>
            <w:r>
              <w:rPr>
                <w:rFonts w:cs="Calibri"/>
                <w:sz w:val="20"/>
                <w:szCs w:val="20"/>
              </w:rPr>
              <w:t>0%</w:t>
            </w:r>
          </w:p>
        </w:tc>
        <w:tc>
          <w:tcPr>
            <w:tcW w:w="1418" w:type="dxa"/>
            <w:tcBorders>
              <w:bottom w:val="nil"/>
            </w:tcBorders>
            <w:shd w:val="clear" w:color="auto" w:fill="auto"/>
            <w:vAlign w:val="bottom"/>
          </w:tcPr>
          <w:p w14:paraId="518798E6" w14:textId="77777777" w:rsidR="00C22765" w:rsidRDefault="004A4594">
            <w:pPr>
              <w:spacing w:after="0"/>
              <w:jc w:val="center"/>
              <w:rPr>
                <w:sz w:val="20"/>
                <w:szCs w:val="20"/>
              </w:rPr>
            </w:pPr>
            <w:r>
              <w:rPr>
                <w:rFonts w:cs="Calibri"/>
                <w:sz w:val="20"/>
                <w:szCs w:val="20"/>
              </w:rPr>
              <w:t>18%</w:t>
            </w:r>
          </w:p>
        </w:tc>
        <w:tc>
          <w:tcPr>
            <w:tcW w:w="1561" w:type="dxa"/>
            <w:tcBorders>
              <w:bottom w:val="nil"/>
            </w:tcBorders>
            <w:shd w:val="clear" w:color="auto" w:fill="auto"/>
            <w:vAlign w:val="bottom"/>
          </w:tcPr>
          <w:p w14:paraId="5A01947B" w14:textId="77777777" w:rsidR="00C22765" w:rsidRDefault="004A4594">
            <w:pPr>
              <w:spacing w:after="0"/>
              <w:jc w:val="center"/>
              <w:rPr>
                <w:sz w:val="20"/>
                <w:szCs w:val="20"/>
              </w:rPr>
            </w:pPr>
            <w:r>
              <w:rPr>
                <w:rFonts w:cs="Calibri"/>
                <w:sz w:val="20"/>
                <w:szCs w:val="20"/>
              </w:rPr>
              <w:t>82%</w:t>
            </w:r>
          </w:p>
        </w:tc>
      </w:tr>
      <w:tr w:rsidR="00C22765" w14:paraId="7A06964F" w14:textId="77777777">
        <w:tc>
          <w:tcPr>
            <w:tcW w:w="1127" w:type="dxa"/>
            <w:tcBorders>
              <w:top w:val="nil"/>
            </w:tcBorders>
            <w:shd w:val="clear" w:color="auto" w:fill="auto"/>
          </w:tcPr>
          <w:p w14:paraId="5F8935FE" w14:textId="77777777" w:rsidR="00C22765" w:rsidRDefault="00C22765">
            <w:pPr>
              <w:spacing w:after="0"/>
              <w:rPr>
                <w:sz w:val="20"/>
                <w:szCs w:val="20"/>
              </w:rPr>
            </w:pPr>
          </w:p>
        </w:tc>
        <w:tc>
          <w:tcPr>
            <w:tcW w:w="993" w:type="dxa"/>
            <w:tcBorders>
              <w:top w:val="nil"/>
            </w:tcBorders>
            <w:shd w:val="clear" w:color="auto" w:fill="auto"/>
          </w:tcPr>
          <w:p w14:paraId="2DE93095" w14:textId="77777777" w:rsidR="00C22765" w:rsidRDefault="004A4594">
            <w:pPr>
              <w:spacing w:after="0"/>
              <w:rPr>
                <w:sz w:val="20"/>
                <w:szCs w:val="20"/>
              </w:rPr>
            </w:pPr>
            <w:r>
              <w:rPr>
                <w:sz w:val="20"/>
                <w:szCs w:val="20"/>
              </w:rPr>
              <w:t>LTDS</w:t>
            </w:r>
          </w:p>
        </w:tc>
        <w:tc>
          <w:tcPr>
            <w:tcW w:w="1417" w:type="dxa"/>
            <w:tcBorders>
              <w:top w:val="nil"/>
            </w:tcBorders>
            <w:shd w:val="clear" w:color="auto" w:fill="auto"/>
            <w:vAlign w:val="bottom"/>
          </w:tcPr>
          <w:p w14:paraId="65F99FC4" w14:textId="77777777" w:rsidR="00C22765" w:rsidRDefault="004A4594">
            <w:pPr>
              <w:spacing w:after="0"/>
              <w:jc w:val="center"/>
              <w:rPr>
                <w:sz w:val="20"/>
                <w:szCs w:val="20"/>
              </w:rPr>
            </w:pPr>
            <w:r>
              <w:rPr>
                <w:rFonts w:cs="Calibri"/>
                <w:sz w:val="20"/>
                <w:szCs w:val="20"/>
              </w:rPr>
              <w:t>0%</w:t>
            </w:r>
          </w:p>
        </w:tc>
        <w:tc>
          <w:tcPr>
            <w:tcW w:w="1418" w:type="dxa"/>
            <w:tcBorders>
              <w:top w:val="nil"/>
            </w:tcBorders>
            <w:shd w:val="clear" w:color="auto" w:fill="auto"/>
            <w:vAlign w:val="bottom"/>
          </w:tcPr>
          <w:p w14:paraId="347301AA" w14:textId="77777777" w:rsidR="00C22765" w:rsidRDefault="004A4594">
            <w:pPr>
              <w:spacing w:after="0"/>
              <w:jc w:val="center"/>
              <w:rPr>
                <w:sz w:val="20"/>
                <w:szCs w:val="20"/>
              </w:rPr>
            </w:pPr>
            <w:r>
              <w:rPr>
                <w:rFonts w:cs="Calibri"/>
                <w:sz w:val="20"/>
                <w:szCs w:val="20"/>
              </w:rPr>
              <w:t>17%</w:t>
            </w:r>
          </w:p>
        </w:tc>
        <w:tc>
          <w:tcPr>
            <w:tcW w:w="1561" w:type="dxa"/>
            <w:tcBorders>
              <w:top w:val="nil"/>
            </w:tcBorders>
            <w:shd w:val="clear" w:color="auto" w:fill="auto"/>
            <w:vAlign w:val="bottom"/>
          </w:tcPr>
          <w:p w14:paraId="3B1399F8" w14:textId="77777777" w:rsidR="00C22765" w:rsidRDefault="004A4594">
            <w:pPr>
              <w:spacing w:after="0"/>
              <w:jc w:val="center"/>
              <w:rPr>
                <w:sz w:val="20"/>
                <w:szCs w:val="20"/>
              </w:rPr>
            </w:pPr>
            <w:r>
              <w:rPr>
                <w:rFonts w:cs="Calibri"/>
                <w:sz w:val="20"/>
                <w:szCs w:val="20"/>
              </w:rPr>
              <w:t>83%</w:t>
            </w:r>
          </w:p>
        </w:tc>
      </w:tr>
      <w:tr w:rsidR="00C22765" w14:paraId="0DAFB98D" w14:textId="77777777">
        <w:tc>
          <w:tcPr>
            <w:tcW w:w="1127" w:type="dxa"/>
            <w:tcBorders>
              <w:bottom w:val="nil"/>
            </w:tcBorders>
            <w:shd w:val="clear" w:color="auto" w:fill="auto"/>
          </w:tcPr>
          <w:p w14:paraId="69C13F05" w14:textId="77777777" w:rsidR="00C22765" w:rsidRDefault="004A4594">
            <w:pPr>
              <w:spacing w:after="0"/>
              <w:rPr>
                <w:sz w:val="20"/>
                <w:szCs w:val="20"/>
              </w:rPr>
            </w:pPr>
            <w:r>
              <w:rPr>
                <w:sz w:val="20"/>
                <w:szCs w:val="20"/>
              </w:rPr>
              <w:t>Car</w:t>
            </w:r>
          </w:p>
        </w:tc>
        <w:tc>
          <w:tcPr>
            <w:tcW w:w="993" w:type="dxa"/>
            <w:tcBorders>
              <w:bottom w:val="nil"/>
            </w:tcBorders>
            <w:shd w:val="clear" w:color="auto" w:fill="auto"/>
          </w:tcPr>
          <w:p w14:paraId="359B996E" w14:textId="77777777" w:rsidR="00C22765" w:rsidRDefault="004A4594">
            <w:pPr>
              <w:spacing w:after="0"/>
              <w:rPr>
                <w:sz w:val="20"/>
                <w:szCs w:val="20"/>
              </w:rPr>
            </w:pPr>
            <w:r>
              <w:rPr>
                <w:sz w:val="20"/>
                <w:szCs w:val="20"/>
              </w:rPr>
              <w:t>Census</w:t>
            </w:r>
          </w:p>
        </w:tc>
        <w:tc>
          <w:tcPr>
            <w:tcW w:w="1417" w:type="dxa"/>
            <w:tcBorders>
              <w:bottom w:val="nil"/>
            </w:tcBorders>
            <w:shd w:val="clear" w:color="auto" w:fill="auto"/>
            <w:vAlign w:val="bottom"/>
          </w:tcPr>
          <w:p w14:paraId="2D59D90B" w14:textId="77777777" w:rsidR="00C22765" w:rsidRDefault="004A4594">
            <w:pPr>
              <w:spacing w:after="0"/>
              <w:jc w:val="center"/>
              <w:rPr>
                <w:sz w:val="20"/>
                <w:szCs w:val="20"/>
              </w:rPr>
            </w:pPr>
            <w:r>
              <w:rPr>
                <w:rFonts w:cs="Calibri"/>
                <w:sz w:val="20"/>
                <w:szCs w:val="20"/>
              </w:rPr>
              <w:t>23%</w:t>
            </w:r>
          </w:p>
        </w:tc>
        <w:tc>
          <w:tcPr>
            <w:tcW w:w="1418" w:type="dxa"/>
            <w:tcBorders>
              <w:bottom w:val="nil"/>
            </w:tcBorders>
            <w:shd w:val="clear" w:color="auto" w:fill="auto"/>
            <w:vAlign w:val="bottom"/>
          </w:tcPr>
          <w:p w14:paraId="6AE84ACB" w14:textId="77777777" w:rsidR="00C22765" w:rsidRDefault="004A4594">
            <w:pPr>
              <w:spacing w:after="0"/>
              <w:jc w:val="center"/>
              <w:rPr>
                <w:sz w:val="20"/>
                <w:szCs w:val="20"/>
              </w:rPr>
            </w:pPr>
            <w:r>
              <w:rPr>
                <w:rFonts w:cs="Calibri"/>
                <w:sz w:val="20"/>
                <w:szCs w:val="20"/>
              </w:rPr>
              <w:t>60%</w:t>
            </w:r>
          </w:p>
        </w:tc>
        <w:tc>
          <w:tcPr>
            <w:tcW w:w="1561" w:type="dxa"/>
            <w:tcBorders>
              <w:bottom w:val="nil"/>
            </w:tcBorders>
            <w:shd w:val="clear" w:color="auto" w:fill="auto"/>
            <w:vAlign w:val="bottom"/>
          </w:tcPr>
          <w:p w14:paraId="6C8A38BE" w14:textId="77777777" w:rsidR="00C22765" w:rsidRDefault="004A4594">
            <w:pPr>
              <w:spacing w:after="0"/>
              <w:jc w:val="center"/>
              <w:rPr>
                <w:sz w:val="20"/>
                <w:szCs w:val="20"/>
              </w:rPr>
            </w:pPr>
            <w:r>
              <w:rPr>
                <w:rFonts w:cs="Calibri"/>
                <w:sz w:val="20"/>
                <w:szCs w:val="20"/>
              </w:rPr>
              <w:t>17%</w:t>
            </w:r>
          </w:p>
        </w:tc>
      </w:tr>
      <w:tr w:rsidR="00C22765" w14:paraId="1031F2C6" w14:textId="77777777">
        <w:tc>
          <w:tcPr>
            <w:tcW w:w="1127" w:type="dxa"/>
            <w:tcBorders>
              <w:top w:val="nil"/>
            </w:tcBorders>
            <w:shd w:val="clear" w:color="auto" w:fill="auto"/>
          </w:tcPr>
          <w:p w14:paraId="296E18B0" w14:textId="77777777" w:rsidR="00C22765" w:rsidRDefault="00C22765">
            <w:pPr>
              <w:spacing w:after="0"/>
              <w:rPr>
                <w:sz w:val="20"/>
                <w:szCs w:val="20"/>
              </w:rPr>
            </w:pPr>
          </w:p>
        </w:tc>
        <w:tc>
          <w:tcPr>
            <w:tcW w:w="993" w:type="dxa"/>
            <w:tcBorders>
              <w:top w:val="nil"/>
            </w:tcBorders>
            <w:shd w:val="clear" w:color="auto" w:fill="auto"/>
          </w:tcPr>
          <w:p w14:paraId="7FB5CFD5" w14:textId="77777777" w:rsidR="00C22765" w:rsidRDefault="004A4594">
            <w:pPr>
              <w:spacing w:after="0"/>
              <w:rPr>
                <w:sz w:val="20"/>
                <w:szCs w:val="20"/>
              </w:rPr>
            </w:pPr>
            <w:r>
              <w:rPr>
                <w:sz w:val="20"/>
                <w:szCs w:val="20"/>
              </w:rPr>
              <w:t>LTDS</w:t>
            </w:r>
          </w:p>
        </w:tc>
        <w:tc>
          <w:tcPr>
            <w:tcW w:w="1417" w:type="dxa"/>
            <w:tcBorders>
              <w:top w:val="nil"/>
            </w:tcBorders>
            <w:shd w:val="clear" w:color="auto" w:fill="auto"/>
            <w:vAlign w:val="bottom"/>
          </w:tcPr>
          <w:p w14:paraId="7CF30B8C" w14:textId="77777777" w:rsidR="00C22765" w:rsidRDefault="004A4594">
            <w:pPr>
              <w:spacing w:after="0"/>
              <w:jc w:val="center"/>
              <w:rPr>
                <w:sz w:val="20"/>
                <w:szCs w:val="20"/>
              </w:rPr>
            </w:pPr>
            <w:r>
              <w:rPr>
                <w:rFonts w:cs="Calibri"/>
                <w:sz w:val="20"/>
                <w:szCs w:val="20"/>
              </w:rPr>
              <w:t>20%</w:t>
            </w:r>
          </w:p>
        </w:tc>
        <w:tc>
          <w:tcPr>
            <w:tcW w:w="1418" w:type="dxa"/>
            <w:tcBorders>
              <w:top w:val="nil"/>
            </w:tcBorders>
            <w:shd w:val="clear" w:color="auto" w:fill="auto"/>
            <w:vAlign w:val="bottom"/>
          </w:tcPr>
          <w:p w14:paraId="130EECBA" w14:textId="77777777" w:rsidR="00C22765" w:rsidRDefault="004A4594">
            <w:pPr>
              <w:spacing w:after="0"/>
              <w:jc w:val="center"/>
              <w:rPr>
                <w:sz w:val="20"/>
                <w:szCs w:val="20"/>
              </w:rPr>
            </w:pPr>
            <w:r>
              <w:rPr>
                <w:rFonts w:cs="Calibri"/>
                <w:sz w:val="20"/>
                <w:szCs w:val="20"/>
              </w:rPr>
              <w:t>58%</w:t>
            </w:r>
          </w:p>
        </w:tc>
        <w:tc>
          <w:tcPr>
            <w:tcW w:w="1561" w:type="dxa"/>
            <w:tcBorders>
              <w:top w:val="nil"/>
            </w:tcBorders>
            <w:shd w:val="clear" w:color="auto" w:fill="auto"/>
            <w:vAlign w:val="bottom"/>
          </w:tcPr>
          <w:p w14:paraId="3E9C6094" w14:textId="77777777" w:rsidR="00C22765" w:rsidRDefault="004A4594">
            <w:pPr>
              <w:spacing w:after="0"/>
              <w:jc w:val="center"/>
              <w:rPr>
                <w:sz w:val="20"/>
                <w:szCs w:val="20"/>
              </w:rPr>
            </w:pPr>
            <w:r>
              <w:rPr>
                <w:rFonts w:cs="Calibri"/>
                <w:sz w:val="20"/>
                <w:szCs w:val="20"/>
              </w:rPr>
              <w:t>22%</w:t>
            </w:r>
          </w:p>
        </w:tc>
      </w:tr>
    </w:tbl>
    <w:p w14:paraId="673B43B5" w14:textId="77777777" w:rsidR="00C22765" w:rsidRDefault="00C22765"/>
    <w:p w14:paraId="67A17648" w14:textId="77777777" w:rsidR="00C22765" w:rsidRDefault="004A4594">
      <w:pPr>
        <w:rPr>
          <w:rFonts w:cstheme="minorHAnsi"/>
        </w:rPr>
      </w:pPr>
      <w:r>
        <w:rPr>
          <w:rFonts w:cstheme="minorHAnsi"/>
        </w:rPr>
        <w:tab/>
      </w:r>
      <w:r>
        <w:rPr>
          <w:rFonts w:cstheme="minorHAnsi"/>
        </w:rPr>
        <w:tab/>
        <w:t>2) In terms of the proportion of travel in different local authorities,</w:t>
      </w:r>
    </w:p>
    <w:p w14:paraId="384387D7" w14:textId="77777777" w:rsidR="00C22765" w:rsidRDefault="004A4594">
      <w:pPr>
        <w:pStyle w:val="ListParagraph"/>
        <w:numPr>
          <w:ilvl w:val="0"/>
          <w:numId w:val="5"/>
        </w:numPr>
      </w:pPr>
      <w:r>
        <w:t xml:space="preserve">agreement between the Census and LTDS  good for cycling and car driving: correlations r=0.95 for bike, r=0.99 for car (or r=0.92 excluding ‘outside London’ travel). </w:t>
      </w:r>
    </w:p>
    <w:p w14:paraId="11BF1B39" w14:textId="77777777" w:rsidR="00C22765" w:rsidRDefault="004A4594">
      <w:pPr>
        <w:pStyle w:val="ListParagraph"/>
        <w:numPr>
          <w:ilvl w:val="0"/>
          <w:numId w:val="5"/>
        </w:numPr>
      </w:pPr>
      <w:r>
        <w:t>Agreement less good for walking, r=0.76.  See scatter graphs on next page</w:t>
      </w:r>
    </w:p>
    <w:p w14:paraId="6B84248F" w14:textId="77777777" w:rsidR="00C22765" w:rsidRDefault="004A4594">
      <w:pPr>
        <w:pStyle w:val="ListParagraph"/>
        <w:numPr>
          <w:ilvl w:val="0"/>
          <w:numId w:val="5"/>
        </w:numPr>
      </w:pPr>
      <w:r>
        <w:t>For cycling and especially walking, tendency for the Census estimate to have relatively more travel in inner London (e.g. Islington, Camden) compared to the LTDS estimate [i.e. orange dots below black line]. For walking, the points further from the line are Islington and Tower Hamlets, followed by Hackney, Southwark, Westminster, Camden.</w:t>
      </w:r>
    </w:p>
    <w:p w14:paraId="477B6D65" w14:textId="77777777" w:rsidR="00C22765" w:rsidRDefault="004A4594">
      <w:pPr>
        <w:jc w:val="center"/>
      </w:pPr>
      <w:r>
        <w:rPr>
          <w:noProof/>
        </w:rPr>
        <w:lastRenderedPageBreak/>
        <w:drawing>
          <wp:inline distT="0" distB="0" distL="0" distR="0" wp14:anchorId="30D2B486" wp14:editId="1E6449FB">
            <wp:extent cx="3962400" cy="6318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3962400" cy="6318885"/>
                    </a:xfrm>
                    <a:prstGeom prst="rect">
                      <a:avLst/>
                    </a:prstGeom>
                  </pic:spPr>
                </pic:pic>
              </a:graphicData>
            </a:graphic>
          </wp:inline>
        </w:drawing>
      </w:r>
    </w:p>
    <w:p w14:paraId="6520A7D0" w14:textId="77777777" w:rsidR="00C22765" w:rsidRDefault="004A4594">
      <w:pPr>
        <w:ind w:left="360"/>
      </w:pPr>
      <w:r>
        <w:rPr>
          <w:sz w:val="20"/>
          <w:szCs w:val="20"/>
        </w:rPr>
        <w:t>Blue=outer London/outside London, orange = inner London. Black line is the line of perfect agreement between Census and LTDS. The dots correspond to the 32 London local authorities (grouping Westminster and City of London) plus ‘outside London’ as a further 33rd group. Car graph excludes ‘outside London’ for car travel, which is 28% from the census data and 26% in LTDS.</w:t>
      </w:r>
    </w:p>
    <w:sectPr w:rsidR="00C22765">
      <w:headerReference w:type="default" r:id="rId9"/>
      <w:pgSz w:w="11906" w:h="16838"/>
      <w:pgMar w:top="1134" w:right="1134" w:bottom="1134" w:left="1134" w:header="709" w:footer="0" w:gutter="0"/>
      <w:cols w:space="720"/>
      <w:formProt w:val="0"/>
      <w:docGrid w:linePitch="360" w:charSpace="-24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BD3F8" w14:textId="77777777" w:rsidR="000C519A" w:rsidRDefault="000C519A">
      <w:pPr>
        <w:spacing w:after="0" w:line="240" w:lineRule="auto"/>
      </w:pPr>
      <w:r>
        <w:separator/>
      </w:r>
    </w:p>
  </w:endnote>
  <w:endnote w:type="continuationSeparator" w:id="0">
    <w:p w14:paraId="754B87C8" w14:textId="77777777" w:rsidR="000C519A" w:rsidRDefault="000C5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87A3F" w14:textId="77777777" w:rsidR="000C519A" w:rsidRDefault="000C519A">
      <w:r>
        <w:separator/>
      </w:r>
    </w:p>
  </w:footnote>
  <w:footnote w:type="continuationSeparator" w:id="0">
    <w:p w14:paraId="2AA60D77" w14:textId="77777777" w:rsidR="000C519A" w:rsidRDefault="000C519A">
      <w:r>
        <w:continuationSeparator/>
      </w:r>
    </w:p>
  </w:footnote>
  <w:footnote w:id="1">
    <w:p w14:paraId="327E8485" w14:textId="21F5F1CF" w:rsidR="00C22765" w:rsidRDefault="004A4594" w:rsidP="007817DC">
      <w:pPr>
        <w:pStyle w:val="NormalWeb"/>
        <w:spacing w:beforeAutospacing="0" w:after="0" w:afterAutospacing="0"/>
        <w:contextualSpacing/>
      </w:pPr>
      <w:r>
        <w:rPr>
          <w:rStyle w:val="FootnoteCharacters"/>
        </w:rPr>
        <w:footnoteRef/>
      </w:r>
      <w:hyperlink r:id="rId1">
        <w:r>
          <w:rPr>
            <w:rStyle w:val="InternetLink"/>
            <w:sz w:val="20"/>
            <w:szCs w:val="20"/>
          </w:rPr>
          <w:t>https://data.gov.uk/dataset/208c0e7b-353f-4e2d-8b7a-1a7118467acc/gb-road-traffic-counts</w:t>
        </w:r>
      </w:hyperlink>
    </w:p>
  </w:footnote>
  <w:footnote w:id="2">
    <w:p w14:paraId="00FD63E7" w14:textId="51FF6A91" w:rsidR="007817DC" w:rsidRPr="007817DC" w:rsidRDefault="007817DC" w:rsidP="007817DC">
      <w:pPr>
        <w:pStyle w:val="FootnoteText"/>
        <w:spacing w:after="0"/>
        <w:rPr>
          <w:sz w:val="20"/>
          <w:szCs w:val="20"/>
        </w:rPr>
      </w:pPr>
      <w:r w:rsidRPr="007817DC">
        <w:rPr>
          <w:rStyle w:val="FootnoteReference"/>
          <w:sz w:val="20"/>
          <w:szCs w:val="20"/>
        </w:rPr>
        <w:footnoteRef/>
      </w:r>
      <w:r w:rsidRPr="007817DC">
        <w:rPr>
          <w:sz w:val="20"/>
          <w:szCs w:val="20"/>
        </w:rPr>
        <w:t xml:space="preserve"> Note that some A roads, for example the A1, is M in some places and A in others.</w:t>
      </w:r>
    </w:p>
  </w:footnote>
  <w:footnote w:id="3">
    <w:p w14:paraId="3AAEAC92" w14:textId="07F35AA7" w:rsidR="00C22765" w:rsidRDefault="004A4594">
      <w:pPr>
        <w:pStyle w:val="FootnoteText"/>
        <w:spacing w:after="0"/>
      </w:pPr>
      <w:r>
        <w:rPr>
          <w:rStyle w:val="FootnoteCharacters"/>
        </w:rPr>
        <w:footnoteRef/>
      </w:r>
      <w:r w:rsidR="007817DC">
        <w:rPr>
          <w:rStyle w:val="FootnoteCharacters"/>
        </w:rPr>
        <w:t xml:space="preserve"> </w:t>
      </w:r>
      <w:r>
        <w:rPr>
          <w:sz w:val="20"/>
          <w:szCs w:val="20"/>
        </w:rPr>
        <w:t>https://www.graphhopper.com/</w:t>
      </w:r>
    </w:p>
  </w:footnote>
  <w:footnote w:id="4">
    <w:p w14:paraId="5A1F371A" w14:textId="1E4B6019" w:rsidR="00C22765" w:rsidRDefault="004A4594">
      <w:pPr>
        <w:pStyle w:val="FootnoteText"/>
        <w:spacing w:after="0"/>
      </w:pPr>
      <w:r>
        <w:rPr>
          <w:rStyle w:val="FootnoteCharacters"/>
        </w:rPr>
        <w:footnoteRef/>
      </w:r>
      <w:r w:rsidR="007817DC">
        <w:rPr>
          <w:rStyle w:val="FootnoteCharacters"/>
        </w:rPr>
        <w:t xml:space="preserve"> </w:t>
      </w:r>
      <w:r>
        <w:t xml:space="preserve"> </w:t>
      </w:r>
      <w:r>
        <w:rPr>
          <w:rFonts w:cstheme="minorHAnsi"/>
          <w:sz w:val="20"/>
          <w:szCs w:val="20"/>
        </w:rPr>
        <w:t>an option ‘motorbike’ is not available from graphhopper except via an external provider who does not provide ready access to road type information</w:t>
      </w:r>
    </w:p>
  </w:footnote>
  <w:footnote w:id="5">
    <w:p w14:paraId="7A91C705" w14:textId="67351830" w:rsidR="00C22765" w:rsidRDefault="004A4594">
      <w:pPr>
        <w:pStyle w:val="FootnoteText"/>
        <w:spacing w:after="0"/>
      </w:pPr>
      <w:r>
        <w:rPr>
          <w:rStyle w:val="FootnoteCharacters"/>
        </w:rPr>
        <w:footnoteRef/>
      </w:r>
      <w:r>
        <w:rPr>
          <w:sz w:val="20"/>
          <w:szCs w:val="20"/>
        </w:rPr>
        <w:t xml:space="preserve"> </w:t>
      </w:r>
      <w:r w:rsidR="007817DC">
        <w:rPr>
          <w:sz w:val="20"/>
          <w:szCs w:val="20"/>
        </w:rPr>
        <w:t>Note that</w:t>
      </w:r>
      <w:r>
        <w:rPr>
          <w:sz w:val="20"/>
          <w:szCs w:val="20"/>
        </w:rPr>
        <w:t xml:space="preserve"> injury risks on buses are low</w:t>
      </w:r>
      <w:r w:rsidR="007817DC">
        <w:rPr>
          <w:sz w:val="20"/>
          <w:szCs w:val="20"/>
        </w:rPr>
        <w:t xml:space="preserve"> and we are not modelling the addition of new buses to our fleet</w:t>
      </w:r>
      <w:r>
        <w:rPr>
          <w:sz w:val="20"/>
          <w:szCs w:val="20"/>
        </w:rPr>
        <w:t xml:space="preserve">, and </w:t>
      </w:r>
      <w:r w:rsidR="007817DC">
        <w:rPr>
          <w:sz w:val="20"/>
          <w:szCs w:val="20"/>
        </w:rPr>
        <w:t>so this rather crude approach will have little impact on our model</w:t>
      </w:r>
      <w:r>
        <w:rPr>
          <w:sz w:val="20"/>
          <w:szCs w:val="20"/>
        </w:rPr>
        <w:t>.</w:t>
      </w:r>
    </w:p>
  </w:footnote>
  <w:footnote w:id="6">
    <w:p w14:paraId="09450A61" w14:textId="7DF8C6B9" w:rsidR="00D95078" w:rsidRPr="00D95078" w:rsidRDefault="00D95078">
      <w:pPr>
        <w:pStyle w:val="FootnoteText"/>
        <w:rPr>
          <w:sz w:val="20"/>
          <w:szCs w:val="20"/>
        </w:rPr>
      </w:pPr>
      <w:bookmarkStart w:id="0" w:name="_GoBack"/>
      <w:r w:rsidRPr="00D95078">
        <w:rPr>
          <w:rStyle w:val="FootnoteReference"/>
          <w:sz w:val="20"/>
          <w:szCs w:val="20"/>
        </w:rPr>
        <w:footnoteRef/>
      </w:r>
      <w:r w:rsidRPr="00D95078">
        <w:rPr>
          <w:sz w:val="20"/>
          <w:szCs w:val="20"/>
        </w:rPr>
        <w:t xml:space="preserve"> </w:t>
      </w:r>
      <w:r w:rsidRPr="00D95078">
        <w:rPr>
          <w:sz w:val="20"/>
          <w:szCs w:val="20"/>
        </w:rPr>
        <w:t>Department for Transport 'Travel time measures for the Strategic Road Network and local ‘A’ roads: January to December 2018 report', accessed 10/12/2019 from https://www.gov.uk/government/statistics/travel-time-measures-for-the-strategic-road-network-and-local-a-roads-january-to-december-2018</w:t>
      </w:r>
      <w:bookmarkEnd w:id="0"/>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2797247"/>
      <w:docPartObj>
        <w:docPartGallery w:val="Page Numbers (Top of Page)"/>
        <w:docPartUnique/>
      </w:docPartObj>
    </w:sdtPr>
    <w:sdtEndPr/>
    <w:sdtContent>
      <w:p w14:paraId="0906190D" w14:textId="77777777" w:rsidR="00C22765" w:rsidRDefault="004A4594">
        <w:pPr>
          <w:pStyle w:val="Header"/>
          <w:jc w:val="right"/>
        </w:pPr>
        <w:r>
          <w:fldChar w:fldCharType="begin"/>
        </w:r>
        <w:r>
          <w:instrText>PAGE</w:instrText>
        </w:r>
        <w:r>
          <w:fldChar w:fldCharType="separate"/>
        </w:r>
        <w:r>
          <w:t>9</w:t>
        </w:r>
        <w:r>
          <w:fldChar w:fldCharType="end"/>
        </w:r>
      </w:p>
    </w:sdtContent>
  </w:sdt>
  <w:p w14:paraId="49FBBE7F" w14:textId="77777777" w:rsidR="00C22765" w:rsidRDefault="00C227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3BAF"/>
    <w:multiLevelType w:val="multilevel"/>
    <w:tmpl w:val="C780F6A2"/>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rPr>
        <w:rFont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D290DCD"/>
    <w:multiLevelType w:val="multilevel"/>
    <w:tmpl w:val="6220D5A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7926892"/>
    <w:multiLevelType w:val="multilevel"/>
    <w:tmpl w:val="0BE46EF4"/>
    <w:lvl w:ilvl="0">
      <w:start w:val="1"/>
      <w:numFmt w:val="bullet"/>
      <w:lvlText w:val=""/>
      <w:lvlJc w:val="left"/>
      <w:pPr>
        <w:ind w:left="2160" w:hanging="360"/>
      </w:pPr>
      <w:rPr>
        <w:rFonts w:ascii="Symbol" w:hAnsi="Symbol" w:cs="Symbol" w:hint="default"/>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 w15:restartNumberingAfterBreak="0">
    <w:nsid w:val="1C7C0692"/>
    <w:multiLevelType w:val="multilevel"/>
    <w:tmpl w:val="8A0C7CF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4" w15:restartNumberingAfterBreak="0">
    <w:nsid w:val="29846957"/>
    <w:multiLevelType w:val="multilevel"/>
    <w:tmpl w:val="E05CBE4E"/>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15:restartNumberingAfterBreak="0">
    <w:nsid w:val="299C11A9"/>
    <w:multiLevelType w:val="multilevel"/>
    <w:tmpl w:val="5AB2B4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E1B6004"/>
    <w:multiLevelType w:val="multilevel"/>
    <w:tmpl w:val="793A36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1924AA0"/>
    <w:multiLevelType w:val="multilevel"/>
    <w:tmpl w:val="563A46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46A07D5"/>
    <w:multiLevelType w:val="multilevel"/>
    <w:tmpl w:val="5F84E2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A0F2174"/>
    <w:multiLevelType w:val="multilevel"/>
    <w:tmpl w:val="4A1A43C2"/>
    <w:lvl w:ilvl="0">
      <w:start w:val="1"/>
      <w:numFmt w:val="decimal"/>
      <w:lvlText w:val="%1."/>
      <w:lvlJc w:val="left"/>
      <w:pPr>
        <w:ind w:left="1080" w:hanging="360"/>
      </w:p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7"/>
  </w:num>
  <w:num w:numId="2">
    <w:abstractNumId w:val="6"/>
  </w:num>
  <w:num w:numId="3">
    <w:abstractNumId w:val="9"/>
  </w:num>
  <w:num w:numId="4">
    <w:abstractNumId w:val="8"/>
  </w:num>
  <w:num w:numId="5">
    <w:abstractNumId w:val="3"/>
  </w:num>
  <w:num w:numId="6">
    <w:abstractNumId w:val="4"/>
  </w:num>
  <w:num w:numId="7">
    <w:abstractNumId w:val="5"/>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BF90C15-5095-41C6-AC95-E8E582CBA398}"/>
    <w:docVar w:name="dgnword-eventsink" w:val="536795424"/>
  </w:docVars>
  <w:rsids>
    <w:rsidRoot w:val="00C22765"/>
    <w:rsid w:val="00003855"/>
    <w:rsid w:val="00004317"/>
    <w:rsid w:val="0008380B"/>
    <w:rsid w:val="000C519A"/>
    <w:rsid w:val="002300C8"/>
    <w:rsid w:val="002773E4"/>
    <w:rsid w:val="00280624"/>
    <w:rsid w:val="002B072E"/>
    <w:rsid w:val="00324CA5"/>
    <w:rsid w:val="003D7581"/>
    <w:rsid w:val="004A4594"/>
    <w:rsid w:val="004B194B"/>
    <w:rsid w:val="00502086"/>
    <w:rsid w:val="005137BC"/>
    <w:rsid w:val="005160AE"/>
    <w:rsid w:val="005859A6"/>
    <w:rsid w:val="005D0143"/>
    <w:rsid w:val="0063140C"/>
    <w:rsid w:val="006D17CD"/>
    <w:rsid w:val="007817DC"/>
    <w:rsid w:val="007F6C80"/>
    <w:rsid w:val="009017D1"/>
    <w:rsid w:val="00910127"/>
    <w:rsid w:val="009F1C19"/>
    <w:rsid w:val="00BA4703"/>
    <w:rsid w:val="00C22765"/>
    <w:rsid w:val="00CA1B96"/>
    <w:rsid w:val="00CD3C90"/>
    <w:rsid w:val="00CD52C1"/>
    <w:rsid w:val="00D95078"/>
    <w:rsid w:val="00DF7318"/>
    <w:rsid w:val="00E67CDE"/>
    <w:rsid w:val="00E93F03"/>
    <w:rsid w:val="00EF56B9"/>
    <w:rsid w:val="00F016CB"/>
    <w:rsid w:val="00F8372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974AF"/>
  <w15:docId w15:val="{BDC83954-C721-4C18-9AB7-8325174CA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semiHidden/>
    <w:qFormat/>
    <w:rsid w:val="00DA20BB"/>
    <w:rPr>
      <w:sz w:val="20"/>
      <w:szCs w:val="20"/>
    </w:rPr>
  </w:style>
  <w:style w:type="character" w:customStyle="1" w:styleId="FootnoteCharacters">
    <w:name w:val="Footnote Characters"/>
    <w:basedOn w:val="DefaultParagraphFont"/>
    <w:uiPriority w:val="99"/>
    <w:semiHidden/>
    <w:unhideWhenUsed/>
    <w:qFormat/>
    <w:rsid w:val="00014C85"/>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uiPriority w:val="99"/>
    <w:qFormat/>
    <w:rsid w:val="00B3285C"/>
  </w:style>
  <w:style w:type="character" w:customStyle="1" w:styleId="FooterChar">
    <w:name w:val="Footer Char"/>
    <w:basedOn w:val="DefaultParagraphFont"/>
    <w:link w:val="Footer"/>
    <w:uiPriority w:val="99"/>
    <w:qFormat/>
    <w:rsid w:val="00B3285C"/>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styleId="CommentReference">
    <w:name w:val="annotation reference"/>
    <w:basedOn w:val="DefaultParagraphFont"/>
    <w:uiPriority w:val="99"/>
    <w:semiHidden/>
    <w:unhideWhenUsed/>
    <w:qFormat/>
    <w:rsid w:val="003D4319"/>
    <w:rPr>
      <w:sz w:val="16"/>
      <w:szCs w:val="16"/>
    </w:rPr>
  </w:style>
  <w:style w:type="character" w:customStyle="1" w:styleId="CommentTextChar">
    <w:name w:val="Comment Text Char"/>
    <w:basedOn w:val="DefaultParagraphFont"/>
    <w:link w:val="CommentText"/>
    <w:uiPriority w:val="99"/>
    <w:qFormat/>
    <w:rsid w:val="003D4319"/>
    <w:rPr>
      <w:szCs w:val="20"/>
    </w:rPr>
  </w:style>
  <w:style w:type="character" w:customStyle="1" w:styleId="CommentSubjectChar">
    <w:name w:val="Comment Subject Char"/>
    <w:basedOn w:val="CommentTextChar"/>
    <w:link w:val="CommentSubject"/>
    <w:uiPriority w:val="99"/>
    <w:semiHidden/>
    <w:qFormat/>
    <w:rsid w:val="003D4319"/>
    <w:rPr>
      <w:b/>
      <w:bCs/>
      <w:szCs w:val="20"/>
    </w:rPr>
  </w:style>
  <w:style w:type="character" w:customStyle="1" w:styleId="BalloonTextChar">
    <w:name w:val="Balloon Text Char"/>
    <w:basedOn w:val="DefaultParagraphFont"/>
    <w:link w:val="BalloonText"/>
    <w:uiPriority w:val="99"/>
    <w:semiHidden/>
    <w:qFormat/>
    <w:rsid w:val="003D4319"/>
    <w:rPr>
      <w:rFonts w:ascii="Segoe UI" w:hAnsi="Segoe UI" w:cs="Segoe UI"/>
      <w:sz w:val="18"/>
      <w:szCs w:val="18"/>
    </w:rPr>
  </w:style>
  <w:style w:type="character" w:customStyle="1" w:styleId="InternetLink">
    <w:name w:val="Internet Link"/>
    <w:basedOn w:val="DefaultParagraphFont"/>
    <w:uiPriority w:val="99"/>
    <w:unhideWhenUsed/>
    <w:rsid w:val="006C6376"/>
    <w:rPr>
      <w:color w:val="0563C1" w:themeColor="hyperlink"/>
      <w:u w:val="single"/>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VisitedInternetLink">
    <w:name w:val="Visited Internet Link"/>
    <w:rPr>
      <w:color w:val="800000"/>
      <w:u w:val="single"/>
    </w:rPr>
  </w:style>
  <w:style w:type="character" w:styleId="UnresolvedMention">
    <w:name w:val="Unresolved Mention"/>
    <w:basedOn w:val="DefaultParagraphFont"/>
    <w:uiPriority w:val="99"/>
    <w:semiHidden/>
    <w:unhideWhenUsed/>
    <w:qFormat/>
    <w:rsid w:val="006C6376"/>
    <w:rPr>
      <w:color w:val="605E5C"/>
      <w:shd w:val="clear" w:color="auto" w:fill="E1DFDD"/>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i/>
      <w:iCs/>
      <w:highlight w:val="yellow"/>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1E55E1"/>
    <w:pPr>
      <w:ind w:left="720"/>
      <w:contextualSpacing/>
    </w:pPr>
  </w:style>
  <w:style w:type="paragraph" w:styleId="FootnoteText">
    <w:name w:val="footnote text"/>
    <w:basedOn w:val="Normal"/>
    <w:link w:val="FootnoteTextChar"/>
  </w:style>
  <w:style w:type="paragraph" w:styleId="Header">
    <w:name w:val="header"/>
    <w:basedOn w:val="Normal"/>
    <w:link w:val="HeaderChar"/>
    <w:uiPriority w:val="99"/>
    <w:unhideWhenUsed/>
    <w:rsid w:val="00B3285C"/>
    <w:pPr>
      <w:tabs>
        <w:tab w:val="center" w:pos="4513"/>
        <w:tab w:val="right" w:pos="9026"/>
      </w:tabs>
      <w:spacing w:after="0" w:line="240" w:lineRule="auto"/>
    </w:pPr>
  </w:style>
  <w:style w:type="paragraph" w:styleId="Footer">
    <w:name w:val="footer"/>
    <w:basedOn w:val="Normal"/>
    <w:link w:val="FooterChar"/>
    <w:uiPriority w:val="99"/>
    <w:unhideWhenUsed/>
    <w:rsid w:val="00B3285C"/>
    <w:pPr>
      <w:tabs>
        <w:tab w:val="center" w:pos="4513"/>
        <w:tab w:val="right" w:pos="9026"/>
      </w:tabs>
      <w:spacing w:after="0" w:line="240" w:lineRule="auto"/>
    </w:pPr>
  </w:style>
  <w:style w:type="paragraph" w:styleId="CommentText">
    <w:name w:val="annotation text"/>
    <w:basedOn w:val="Normal"/>
    <w:link w:val="CommentTextChar"/>
    <w:uiPriority w:val="99"/>
    <w:unhideWhenUsed/>
    <w:qFormat/>
    <w:rsid w:val="003D4319"/>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3D4319"/>
    <w:rPr>
      <w:b/>
      <w:bCs/>
    </w:rPr>
  </w:style>
  <w:style w:type="paragraph" w:styleId="BalloonText">
    <w:name w:val="Balloon Text"/>
    <w:basedOn w:val="Normal"/>
    <w:link w:val="BalloonTextChar"/>
    <w:uiPriority w:val="99"/>
    <w:semiHidden/>
    <w:unhideWhenUsed/>
    <w:qFormat/>
    <w:rsid w:val="003D4319"/>
    <w:pPr>
      <w:spacing w:after="0" w:line="240" w:lineRule="auto"/>
    </w:pPr>
    <w:rPr>
      <w:rFonts w:ascii="Segoe UI" w:hAnsi="Segoe UI" w:cs="Segoe UI"/>
      <w:sz w:val="18"/>
      <w:szCs w:val="18"/>
    </w:rPr>
  </w:style>
  <w:style w:type="paragraph" w:styleId="NormalWeb">
    <w:name w:val="Normal (Web)"/>
    <w:basedOn w:val="Normal"/>
    <w:uiPriority w:val="99"/>
    <w:unhideWhenUsed/>
    <w:qFormat/>
    <w:rsid w:val="009E10BC"/>
    <w:pPr>
      <w:spacing w:beforeAutospacing="1" w:afterAutospacing="1" w:line="240" w:lineRule="auto"/>
    </w:pPr>
    <w:rPr>
      <w:rFonts w:ascii="Calibri" w:hAnsi="Calibri" w:cs="Calibri"/>
      <w:color w:val="000000"/>
      <w:lang w:eastAsia="en-GB"/>
    </w:rPr>
  </w:style>
  <w:style w:type="table" w:styleId="TableGrid">
    <w:name w:val="Table Grid"/>
    <w:basedOn w:val="TableNormal"/>
    <w:uiPriority w:val="39"/>
    <w:rsid w:val="00610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7817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168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data.gov.uk/dataset/208c0e7b-353f-4e2d-8b7a-1a7118467acc/gb-road-traffic-cou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5B435-CFDD-4DEC-B14F-B02DFBA6F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7</Pages>
  <Words>2114</Words>
  <Characters>12053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Goodman</dc:creator>
  <dc:description/>
  <cp:lastModifiedBy>Anna Goodman</cp:lastModifiedBy>
  <cp:revision>7</cp:revision>
  <dcterms:created xsi:type="dcterms:W3CDTF">2019-12-10T16:47:00Z</dcterms:created>
  <dcterms:modified xsi:type="dcterms:W3CDTF">2019-12-10T17:21:00Z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