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90DE" w14:textId="77777777" w:rsidR="008D5B77" w:rsidRPr="00661DEA" w:rsidRDefault="000C1716">
      <w:pPr>
        <w:rPr>
          <w:b/>
          <w:sz w:val="24"/>
          <w:u w:val="single"/>
        </w:rPr>
      </w:pPr>
      <w:r>
        <w:rPr>
          <w:b/>
          <w:sz w:val="24"/>
          <w:u w:val="single"/>
        </w:rPr>
        <w:t xml:space="preserve">1) </w:t>
      </w:r>
      <w:r w:rsidR="00661DEA" w:rsidRPr="00661DEA">
        <w:rPr>
          <w:b/>
          <w:sz w:val="24"/>
          <w:u w:val="single"/>
        </w:rPr>
        <w:t>Preparing the Census datasets</w:t>
      </w:r>
    </w:p>
    <w:p w14:paraId="2165352B" w14:textId="77777777" w:rsidR="008D3973" w:rsidRPr="006853C1" w:rsidRDefault="000C1716">
      <w:pPr>
        <w:rPr>
          <w:b/>
          <w:u w:val="single"/>
        </w:rPr>
      </w:pPr>
      <w:r>
        <w:rPr>
          <w:b/>
          <w:u w:val="single"/>
        </w:rPr>
        <w:t xml:space="preserve">1.1 Synthetic </w:t>
      </w:r>
      <w:r w:rsidR="008D3973" w:rsidRPr="00624A4E">
        <w:rPr>
          <w:b/>
          <w:u w:val="single"/>
        </w:rPr>
        <w:t xml:space="preserve">population of </w:t>
      </w:r>
      <w:r w:rsidR="0031380F">
        <w:rPr>
          <w:b/>
          <w:u w:val="single"/>
        </w:rPr>
        <w:t>commuters</w:t>
      </w:r>
      <w:r w:rsidR="008D3973" w:rsidRPr="00624A4E">
        <w:rPr>
          <w:b/>
          <w:u w:val="single"/>
        </w:rPr>
        <w:t>, including</w:t>
      </w:r>
      <w:r w:rsidR="00661DEA">
        <w:rPr>
          <w:b/>
          <w:u w:val="single"/>
        </w:rPr>
        <w:t xml:space="preserve"> LSOA-level</w:t>
      </w:r>
      <w:r w:rsidR="008D3973" w:rsidRPr="00624A4E">
        <w:rPr>
          <w:b/>
          <w:u w:val="single"/>
        </w:rPr>
        <w:t xml:space="preserve"> OD pairs</w:t>
      </w:r>
      <w:r w:rsidR="00D923EE">
        <w:rPr>
          <w:b/>
          <w:u w:val="single"/>
        </w:rPr>
        <w:t xml:space="preserve"> [see </w:t>
      </w:r>
      <w:r w:rsidR="00415252">
        <w:rPr>
          <w:b/>
          <w:u w:val="single"/>
        </w:rPr>
        <w:t>Appen</w:t>
      </w:r>
      <w:r w:rsidR="00415252" w:rsidRPr="00415252">
        <w:rPr>
          <w:b/>
          <w:u w:val="single"/>
        </w:rPr>
        <w:t xml:space="preserve">dix </w:t>
      </w:r>
      <w:r w:rsidR="00415252" w:rsidRPr="00415252">
        <w:rPr>
          <w:b/>
          <w:u w:val="single"/>
        </w:rPr>
        <w:fldChar w:fldCharType="begin"/>
      </w:r>
      <w:r w:rsidR="00415252" w:rsidRPr="00415252">
        <w:rPr>
          <w:b/>
          <w:u w:val="single"/>
        </w:rPr>
        <w:instrText xml:space="preserve"> REF _Ref497997144 \h  \* MERGEFORMAT </w:instrText>
      </w:r>
      <w:r w:rsidR="00415252" w:rsidRPr="00415252">
        <w:rPr>
          <w:b/>
          <w:u w:val="single"/>
        </w:rPr>
      </w:r>
      <w:r w:rsidR="00415252" w:rsidRPr="00415252">
        <w:rPr>
          <w:b/>
          <w:u w:val="single"/>
        </w:rPr>
        <w:fldChar w:fldCharType="separate"/>
      </w:r>
      <w:r w:rsidR="00415252" w:rsidRPr="00415252">
        <w:rPr>
          <w:b/>
          <w:u w:val="single"/>
        </w:rPr>
        <w:t xml:space="preserve">Figure </w:t>
      </w:r>
      <w:r w:rsidR="00415252" w:rsidRPr="00415252">
        <w:rPr>
          <w:b/>
          <w:noProof/>
          <w:u w:val="single"/>
        </w:rPr>
        <w:t>1</w:t>
      </w:r>
      <w:r w:rsidR="00415252" w:rsidRPr="00415252">
        <w:rPr>
          <w:b/>
          <w:u w:val="single"/>
        </w:rPr>
        <w:fldChar w:fldCharType="end"/>
      </w:r>
      <w:r w:rsidR="00D923EE">
        <w:rPr>
          <w:b/>
          <w:u w:val="single"/>
        </w:rPr>
        <w:t>]</w:t>
      </w:r>
    </w:p>
    <w:p w14:paraId="42B58605" w14:textId="77777777" w:rsidR="00D620F3" w:rsidRDefault="0031380F" w:rsidP="0031380F">
      <w:pPr>
        <w:pStyle w:val="ListParagraph"/>
        <w:numPr>
          <w:ilvl w:val="0"/>
          <w:numId w:val="24"/>
        </w:numPr>
      </w:pPr>
      <w:r w:rsidRPr="0031380F">
        <w:t>A</w:t>
      </w:r>
      <w:r w:rsidR="00CB5B00">
        <w:t>ge*sex*mode*</w:t>
      </w:r>
      <w:r w:rsidRPr="0031380F">
        <w:t>LSOA</w:t>
      </w:r>
      <w:r w:rsidR="00A86B87">
        <w:t xml:space="preserve"> origin</w:t>
      </w:r>
      <w:r w:rsidR="00E73259">
        <w:t>-</w:t>
      </w:r>
      <w:r w:rsidR="00A86B87">
        <w:t xml:space="preserve">destination (OD) pair </w:t>
      </w:r>
      <w:r w:rsidRPr="0031380F">
        <w:t>is known</w:t>
      </w:r>
      <w:r w:rsidR="008D3973" w:rsidRPr="0031380F">
        <w:t xml:space="preserve"> </w:t>
      </w:r>
      <w:r w:rsidRPr="0031380F">
        <w:t>for all commuters.</w:t>
      </w:r>
      <w:r w:rsidR="00425FFD">
        <w:t xml:space="preserve"> Add h</w:t>
      </w:r>
      <w:r w:rsidR="00EA6629">
        <w:t xml:space="preserve">ome </w:t>
      </w:r>
      <w:r w:rsidR="00425FFD">
        <w:t>and work MSOA</w:t>
      </w:r>
      <w:r w:rsidR="00EA6629">
        <w:t xml:space="preserve"> to this</w:t>
      </w:r>
      <w:r w:rsidR="00A86B87">
        <w:t>.</w:t>
      </w:r>
      <w:r w:rsidR="00425FFD">
        <w:t xml:space="preserve"> Convert this OD-pair-level dataset to </w:t>
      </w:r>
      <w:r w:rsidR="00A86B87">
        <w:t>an individual-level dataset.</w:t>
      </w:r>
    </w:p>
    <w:p w14:paraId="48E33EAA" w14:textId="77777777" w:rsidR="00BD669C" w:rsidRPr="0031380F" w:rsidRDefault="00BD669C" w:rsidP="00BD669C">
      <w:pPr>
        <w:pStyle w:val="ListParagraph"/>
      </w:pPr>
    </w:p>
    <w:p w14:paraId="50E7D939" w14:textId="77777777" w:rsidR="00BD669C" w:rsidRPr="0031380F" w:rsidRDefault="00BD669C" w:rsidP="00BD669C">
      <w:pPr>
        <w:pStyle w:val="ListParagraph"/>
        <w:numPr>
          <w:ilvl w:val="0"/>
          <w:numId w:val="24"/>
        </w:numPr>
      </w:pPr>
      <w:r w:rsidRPr="0031380F">
        <w:t xml:space="preserve">For each MSOA-level </w:t>
      </w:r>
      <w:r w:rsidR="00A86B87">
        <w:t>OD pair</w:t>
      </w:r>
      <w:r w:rsidRPr="0031380F">
        <w:t>, some data is available on car ownership</w:t>
      </w:r>
      <w:r>
        <w:rPr>
          <w:rStyle w:val="FootnoteReference"/>
        </w:rPr>
        <w:footnoteReference w:id="1"/>
      </w:r>
      <w:r w:rsidRPr="0031380F">
        <w:t>:</w:t>
      </w:r>
    </w:p>
    <w:p w14:paraId="698534E6" w14:textId="77777777" w:rsidR="00BD669C" w:rsidRPr="0031380F" w:rsidRDefault="00BD669C" w:rsidP="00BD669C">
      <w:pPr>
        <w:pStyle w:val="ListParagraph"/>
        <w:numPr>
          <w:ilvl w:val="1"/>
          <w:numId w:val="24"/>
        </w:numPr>
      </w:pPr>
      <w:r w:rsidRPr="0031380F">
        <w:t>Selected MSOA OD pairs</w:t>
      </w:r>
      <w:r w:rsidR="006C4760">
        <w:t>: number of car owners by mode (only for OD pairs containing 10</w:t>
      </w:r>
      <w:r w:rsidR="00103A91">
        <w:t>+</w:t>
      </w:r>
      <w:r w:rsidR="006C4760">
        <w:t xml:space="preserve"> commuters)</w:t>
      </w:r>
      <w:r>
        <w:t xml:space="preserve">.  </w:t>
      </w:r>
    </w:p>
    <w:p w14:paraId="364B498D" w14:textId="77777777" w:rsidR="00BD669C" w:rsidRPr="0031380F" w:rsidRDefault="00BD669C" w:rsidP="00BD669C">
      <w:pPr>
        <w:pStyle w:val="ListParagraph"/>
        <w:numPr>
          <w:ilvl w:val="1"/>
          <w:numId w:val="24"/>
        </w:numPr>
      </w:pPr>
      <w:r w:rsidRPr="0031380F">
        <w:t>All MSOA OD pairs: number of car owners in total</w:t>
      </w:r>
      <w:r>
        <w:t>.</w:t>
      </w:r>
    </w:p>
    <w:p w14:paraId="01517294" w14:textId="77777777" w:rsidR="00BD669C" w:rsidRDefault="00BD669C" w:rsidP="00BD669C">
      <w:pPr>
        <w:pStyle w:val="ListParagraph"/>
      </w:pPr>
      <w:r w:rsidRPr="0031380F">
        <w:t>Use</w:t>
      </w:r>
      <w:r>
        <w:t xml:space="preserve"> this data </w:t>
      </w:r>
      <w:r w:rsidRPr="0031380F">
        <w:t xml:space="preserve">to </w:t>
      </w:r>
      <w:r>
        <w:t>probabilistically assign car ownership to individual commuters, such that the total number of people owning no car in each MSOA OD pair * mode combination is correct. For</w:t>
      </w:r>
      <w:r w:rsidR="00A86B87">
        <w:t xml:space="preserve"> OD pairs </w:t>
      </w:r>
      <w:r>
        <w:t>where the number of car owners by mode is not available, probabilistically assign car ownership such</w:t>
      </w:r>
      <w:r w:rsidRPr="00BD669C">
        <w:t xml:space="preserve"> </w:t>
      </w:r>
      <w:r>
        <w:t>that the total number of people owning no car in each OD pair is correct.</w:t>
      </w:r>
    </w:p>
    <w:p w14:paraId="2CA54EC4" w14:textId="77777777" w:rsidR="00BD669C" w:rsidRDefault="00BD669C" w:rsidP="00BD669C">
      <w:pPr>
        <w:pStyle w:val="ListParagraph"/>
      </w:pPr>
    </w:p>
    <w:p w14:paraId="5CCB751E" w14:textId="77777777" w:rsidR="00BD669C" w:rsidRDefault="00BD669C" w:rsidP="00BD669C">
      <w:pPr>
        <w:pStyle w:val="ListParagraph"/>
      </w:pPr>
      <w:r>
        <w:t>The probabilistic assignment is done as a function</w:t>
      </w:r>
      <w:r w:rsidRPr="0031380F">
        <w:t xml:space="preserve"> </w:t>
      </w:r>
      <w:r>
        <w:t xml:space="preserve">of home region, age, </w:t>
      </w:r>
      <w:r w:rsidR="00EA6629">
        <w:t>sex,</w:t>
      </w:r>
      <w:r>
        <w:t xml:space="preserve"> and mode.  The probabilities used were calculated by combining the two 5% individual-level samples from the </w:t>
      </w:r>
      <w:proofErr w:type="gramStart"/>
      <w:r>
        <w:t>Census, and</w:t>
      </w:r>
      <w:proofErr w:type="gramEnd"/>
      <w:r>
        <w:t xml:space="preserve"> running logistic regression models predicting “owning no car”</w:t>
      </w:r>
      <w:r w:rsidRPr="0031380F">
        <w:t xml:space="preserve"> </w:t>
      </w:r>
      <w:r>
        <w:t xml:space="preserve">as a function of sex, </w:t>
      </w:r>
      <w:r w:rsidR="00EA6629">
        <w:t>age,</w:t>
      </w:r>
      <w:r>
        <w:t xml:space="preserve"> and mode, stratified by region.</w:t>
      </w:r>
      <w:r>
        <w:rPr>
          <w:rStyle w:val="FootnoteReference"/>
        </w:rPr>
        <w:footnoteReference w:id="2"/>
      </w:r>
    </w:p>
    <w:p w14:paraId="0458E2EC" w14:textId="77777777" w:rsidR="00317C49" w:rsidRDefault="00317C49" w:rsidP="00317C49">
      <w:pPr>
        <w:pStyle w:val="ListParagraph"/>
      </w:pPr>
    </w:p>
    <w:p w14:paraId="61061973" w14:textId="77777777" w:rsidR="00317C49" w:rsidRPr="0031380F" w:rsidRDefault="00317C49" w:rsidP="00317C49">
      <w:pPr>
        <w:pStyle w:val="ListParagraph"/>
        <w:numPr>
          <w:ilvl w:val="0"/>
          <w:numId w:val="24"/>
        </w:numPr>
      </w:pPr>
      <w:r w:rsidRPr="0031380F">
        <w:t xml:space="preserve">For each MSOA-level </w:t>
      </w:r>
      <w:r w:rsidR="00A86B87">
        <w:t>OD pair</w:t>
      </w:r>
      <w:r w:rsidRPr="0031380F">
        <w:t>, some data is available on</w:t>
      </w:r>
      <w:r>
        <w:t xml:space="preserve"> ethnicity</w:t>
      </w:r>
      <w:r w:rsidRPr="0031380F">
        <w:t>:</w:t>
      </w:r>
    </w:p>
    <w:p w14:paraId="420B46F1" w14:textId="77777777" w:rsidR="00317C49" w:rsidRPr="0031380F" w:rsidRDefault="00317C49" w:rsidP="00317C49">
      <w:pPr>
        <w:pStyle w:val="ListParagraph"/>
        <w:numPr>
          <w:ilvl w:val="1"/>
          <w:numId w:val="24"/>
        </w:numPr>
      </w:pPr>
      <w:r w:rsidRPr="0031380F">
        <w:t>Selected MSOA OD pairs: number of</w:t>
      </w:r>
      <w:r>
        <w:t xml:space="preserve"> non-white individuals </w:t>
      </w:r>
      <w:r w:rsidR="006C4760">
        <w:t xml:space="preserve">by mode (only for OD pairs containing </w:t>
      </w:r>
      <w:r w:rsidR="00103A91">
        <w:t>5+</w:t>
      </w:r>
      <w:r w:rsidR="006C4760">
        <w:t xml:space="preserve"> white commuters and </w:t>
      </w:r>
      <w:r w:rsidR="00103A91">
        <w:t>5+</w:t>
      </w:r>
      <w:r w:rsidR="006C4760">
        <w:t xml:space="preserve"> non-white commuters)</w:t>
      </w:r>
      <w:r>
        <w:t>.</w:t>
      </w:r>
      <w:r w:rsidR="006C4760">
        <w:t xml:space="preserve"> </w:t>
      </w:r>
    </w:p>
    <w:p w14:paraId="45AD502F" w14:textId="77777777" w:rsidR="00317C49" w:rsidRPr="0031380F" w:rsidRDefault="00317C49" w:rsidP="00317C49">
      <w:pPr>
        <w:pStyle w:val="ListParagraph"/>
        <w:numPr>
          <w:ilvl w:val="1"/>
          <w:numId w:val="24"/>
        </w:numPr>
      </w:pPr>
      <w:r w:rsidRPr="0031380F">
        <w:t>All MSOA OD pairs: number of</w:t>
      </w:r>
      <w:r w:rsidR="00FE4902">
        <w:t xml:space="preserve"> non-white individuals</w:t>
      </w:r>
      <w:r>
        <w:t xml:space="preserve"> </w:t>
      </w:r>
      <w:r w:rsidRPr="0031380F">
        <w:t>in total</w:t>
      </w:r>
      <w:r>
        <w:t>.</w:t>
      </w:r>
    </w:p>
    <w:p w14:paraId="24EA039A" w14:textId="77777777" w:rsidR="00317C49" w:rsidRDefault="00317C49" w:rsidP="00317C49">
      <w:pPr>
        <w:pStyle w:val="ListParagraph"/>
      </w:pPr>
      <w:r w:rsidRPr="0031380F">
        <w:t>Use</w:t>
      </w:r>
      <w:r>
        <w:t xml:space="preserve"> this data </w:t>
      </w:r>
      <w:r w:rsidRPr="0031380F">
        <w:t xml:space="preserve">to </w:t>
      </w:r>
      <w:r>
        <w:t>probabilistically assign ethnicity to individual commuters, such that the total number of non-white individuals in each MSOA OD pair * mode combination is correct. For</w:t>
      </w:r>
      <w:r w:rsidR="00A86B87">
        <w:t xml:space="preserve"> OD pairs </w:t>
      </w:r>
      <w:r>
        <w:t>where ethnicity by mode is not available, probabilistically assign ethnicity such</w:t>
      </w:r>
      <w:r w:rsidRPr="00BD669C">
        <w:t xml:space="preserve"> </w:t>
      </w:r>
      <w:r>
        <w:t>that the total number of non-white individuals in each OD pair is correct.</w:t>
      </w:r>
    </w:p>
    <w:p w14:paraId="4098ED55" w14:textId="77777777" w:rsidR="00317C49" w:rsidRDefault="00317C49" w:rsidP="00317C49">
      <w:pPr>
        <w:pStyle w:val="ListParagraph"/>
      </w:pPr>
    </w:p>
    <w:p w14:paraId="45D5AD2C" w14:textId="77777777" w:rsidR="00317C49" w:rsidRDefault="00317C49" w:rsidP="00317C49">
      <w:pPr>
        <w:pStyle w:val="ListParagraph"/>
      </w:pPr>
      <w:r>
        <w:t>The probabilistic assignment is done as a function</w:t>
      </w:r>
      <w:r w:rsidRPr="0031380F">
        <w:t xml:space="preserve"> </w:t>
      </w:r>
      <w:r>
        <w:t xml:space="preserve">of home region, age, sex, </w:t>
      </w:r>
      <w:r w:rsidR="00EA6629">
        <w:t>mode,</w:t>
      </w:r>
      <w:r>
        <w:t xml:space="preserve"> and car ownership.  The probabilities used were calculated by combining the two 5% individual-level samples</w:t>
      </w:r>
      <w:r w:rsidR="003653C2">
        <w:t xml:space="preserve"> that have been made available from </w:t>
      </w:r>
      <w:r>
        <w:t>the Census</w:t>
      </w:r>
      <w:r w:rsidR="003653C2">
        <w:t xml:space="preserve">.  </w:t>
      </w:r>
      <w:r w:rsidR="003653C2">
        <w:rPr>
          <w:rFonts w:cstheme="minorHAnsi"/>
        </w:rPr>
        <w:t xml:space="preserve">We pooled these two datasets together to increase power, although note that because the samples are </w:t>
      </w:r>
      <w:proofErr w:type="gramStart"/>
      <w:r w:rsidR="003653C2">
        <w:rPr>
          <w:rFonts w:cstheme="minorHAnsi"/>
        </w:rPr>
        <w:t>overlapping</w:t>
      </w:r>
      <w:proofErr w:type="gramEnd"/>
      <w:r w:rsidR="003653C2">
        <w:rPr>
          <w:rFonts w:cstheme="minorHAnsi"/>
        </w:rPr>
        <w:t xml:space="preserve"> they will double count 1 in 40 of the individuals included.  In this combined dataset, we ran</w:t>
      </w:r>
      <w:r w:rsidR="003653C2">
        <w:t xml:space="preserve"> </w:t>
      </w:r>
      <w:r>
        <w:t>logistic regression models predicting “being non-white</w:t>
      </w:r>
      <w:r w:rsidRPr="0031380F">
        <w:t xml:space="preserve"> </w:t>
      </w:r>
      <w:r>
        <w:t xml:space="preserve">as a function of sex, age, </w:t>
      </w:r>
      <w:proofErr w:type="gramStart"/>
      <w:r>
        <w:t>mode</w:t>
      </w:r>
      <w:proofErr w:type="gramEnd"/>
      <w:r>
        <w:t xml:space="preserve"> and car ownership, stratified by region.</w:t>
      </w:r>
    </w:p>
    <w:p w14:paraId="31613BEA" w14:textId="77777777" w:rsidR="00BD669C" w:rsidRDefault="00BD669C" w:rsidP="00BD669C">
      <w:pPr>
        <w:pStyle w:val="ListParagraph"/>
      </w:pPr>
    </w:p>
    <w:p w14:paraId="7A444C0F" w14:textId="77777777" w:rsidR="00BD669C" w:rsidRPr="0031380F" w:rsidRDefault="00317C49" w:rsidP="00BD669C">
      <w:pPr>
        <w:pStyle w:val="ListParagraph"/>
        <w:numPr>
          <w:ilvl w:val="0"/>
          <w:numId w:val="24"/>
        </w:numPr>
      </w:pPr>
      <w:r>
        <w:t>Merge in distance between home and work, defined in two ways</w:t>
      </w:r>
      <w:r w:rsidR="00BD669C" w:rsidRPr="0031380F">
        <w:t>:</w:t>
      </w:r>
    </w:p>
    <w:p w14:paraId="2926C34D" w14:textId="77777777" w:rsidR="00317C49" w:rsidRDefault="00317C49" w:rsidP="00396F48">
      <w:pPr>
        <w:pStyle w:val="ListParagraph"/>
        <w:numPr>
          <w:ilvl w:val="1"/>
          <w:numId w:val="24"/>
        </w:numPr>
      </w:pPr>
      <w:r>
        <w:t>Euclidean distance.</w:t>
      </w:r>
    </w:p>
    <w:p w14:paraId="4F1F3185" w14:textId="2A0C9D4F" w:rsidR="00317C49" w:rsidRPr="00317C49" w:rsidRDefault="00317C49" w:rsidP="00396F48">
      <w:pPr>
        <w:pStyle w:val="ListParagraph"/>
        <w:numPr>
          <w:ilvl w:val="1"/>
          <w:numId w:val="24"/>
        </w:numPr>
      </w:pPr>
      <w:r>
        <w:t>Fastest-route cycling distance</w:t>
      </w:r>
      <w:r w:rsidR="00CB5B00">
        <w:t>, for OD pairs with distance &lt;20km</w:t>
      </w:r>
      <w:r>
        <w:t xml:space="preserve">. </w:t>
      </w:r>
      <w:r w:rsidR="00661DEA">
        <w:rPr>
          <w:i/>
          <w:color w:val="0070C0"/>
        </w:rPr>
        <w:t>[</w:t>
      </w:r>
      <w:r>
        <w:rPr>
          <w:i/>
          <w:color w:val="0070C0"/>
        </w:rPr>
        <w:t>I</w:t>
      </w:r>
      <w:r w:rsidRPr="00317C49">
        <w:rPr>
          <w:i/>
          <w:color w:val="0070C0"/>
        </w:rPr>
        <w:t>deally one</w:t>
      </w:r>
      <w:r w:rsidR="00661DEA">
        <w:rPr>
          <w:i/>
          <w:color w:val="0070C0"/>
        </w:rPr>
        <w:t xml:space="preserve"> would </w:t>
      </w:r>
      <w:r w:rsidRPr="00317C49">
        <w:rPr>
          <w:i/>
          <w:color w:val="0070C0"/>
        </w:rPr>
        <w:t>re-route all OD pairs to estimate distance based on the actual mode used</w:t>
      </w:r>
      <w:r>
        <w:rPr>
          <w:i/>
          <w:color w:val="0070C0"/>
        </w:rPr>
        <w:t xml:space="preserve"> - but </w:t>
      </w:r>
      <w:r w:rsidR="00AC0F76">
        <w:rPr>
          <w:i/>
          <w:color w:val="0070C0"/>
        </w:rPr>
        <w:t xml:space="preserve">I </w:t>
      </w:r>
      <w:proofErr w:type="gramStart"/>
      <w:r w:rsidR="00AC0F76">
        <w:rPr>
          <w:i/>
          <w:color w:val="0070C0"/>
        </w:rPr>
        <w:t>don’t</w:t>
      </w:r>
      <w:proofErr w:type="gramEnd"/>
      <w:r w:rsidR="00AC0F76">
        <w:rPr>
          <w:i/>
          <w:color w:val="0070C0"/>
        </w:rPr>
        <w:t xml:space="preserve"> think we will have capacity for this. </w:t>
      </w:r>
      <w:r w:rsidR="00661DEA">
        <w:rPr>
          <w:i/>
          <w:color w:val="0070C0"/>
        </w:rPr>
        <w:t xml:space="preserve">I think we can live with it as a limitation – this </w:t>
      </w:r>
      <w:r w:rsidR="00661DEA">
        <w:rPr>
          <w:i/>
          <w:color w:val="0070C0"/>
        </w:rPr>
        <w:lastRenderedPageBreak/>
        <w:t xml:space="preserve">variable is only currently used when trying to match commuters by the distance they travel to work, which in any case </w:t>
      </w:r>
      <w:r w:rsidR="00EA6629">
        <w:rPr>
          <w:i/>
          <w:color w:val="0070C0"/>
        </w:rPr>
        <w:t>is</w:t>
      </w:r>
      <w:r w:rsidR="00661DEA">
        <w:rPr>
          <w:i/>
          <w:color w:val="0070C0"/>
        </w:rPr>
        <w:t xml:space="preserve"> done in fairly crude bands.</w:t>
      </w:r>
      <w:r>
        <w:rPr>
          <w:i/>
          <w:color w:val="0070C0"/>
        </w:rPr>
        <w:t>]</w:t>
      </w:r>
    </w:p>
    <w:p w14:paraId="7ABB9F44" w14:textId="77777777" w:rsidR="002B449D" w:rsidRDefault="002B449D">
      <w:pPr>
        <w:rPr>
          <w:b/>
          <w:u w:val="single"/>
        </w:rPr>
      </w:pPr>
    </w:p>
    <w:p w14:paraId="0AD9FFBF" w14:textId="77777777" w:rsidR="00661DEA" w:rsidRPr="00415252" w:rsidRDefault="000C1716" w:rsidP="00661DEA">
      <w:pPr>
        <w:rPr>
          <w:b/>
          <w:u w:val="single"/>
        </w:rPr>
      </w:pPr>
      <w:r w:rsidRPr="00415252">
        <w:rPr>
          <w:b/>
          <w:u w:val="single"/>
        </w:rPr>
        <w:t xml:space="preserve">1.2 Synthetic </w:t>
      </w:r>
      <w:r w:rsidR="00661DEA" w:rsidRPr="00415252">
        <w:rPr>
          <w:b/>
          <w:u w:val="single"/>
        </w:rPr>
        <w:t>population of non-commuters, including home LSOA</w:t>
      </w:r>
      <w:r w:rsidR="00D923EE" w:rsidRPr="00415252">
        <w:rPr>
          <w:b/>
          <w:u w:val="single"/>
        </w:rPr>
        <w:t xml:space="preserve"> [see </w:t>
      </w:r>
      <w:r w:rsidR="00415252" w:rsidRPr="00415252">
        <w:rPr>
          <w:b/>
          <w:u w:val="single"/>
        </w:rPr>
        <w:t xml:space="preserve">Appendix </w:t>
      </w:r>
      <w:r w:rsidR="00415252" w:rsidRPr="00415252">
        <w:rPr>
          <w:b/>
          <w:u w:val="single"/>
        </w:rPr>
        <w:fldChar w:fldCharType="begin"/>
      </w:r>
      <w:r w:rsidR="00415252" w:rsidRPr="00415252">
        <w:rPr>
          <w:b/>
          <w:u w:val="single"/>
        </w:rPr>
        <w:instrText xml:space="preserve"> REF _Ref497997162 \h  \* MERGEFORMAT </w:instrText>
      </w:r>
      <w:r w:rsidR="00415252" w:rsidRPr="00415252">
        <w:rPr>
          <w:b/>
          <w:u w:val="single"/>
        </w:rPr>
      </w:r>
      <w:r w:rsidR="00415252" w:rsidRPr="00415252">
        <w:rPr>
          <w:b/>
          <w:u w:val="single"/>
        </w:rPr>
        <w:fldChar w:fldCharType="separate"/>
      </w:r>
      <w:r w:rsidR="00415252" w:rsidRPr="00415252">
        <w:rPr>
          <w:b/>
          <w:u w:val="single"/>
        </w:rPr>
        <w:t xml:space="preserve">Figure </w:t>
      </w:r>
      <w:r w:rsidR="00415252" w:rsidRPr="00415252">
        <w:rPr>
          <w:b/>
          <w:noProof/>
          <w:u w:val="single"/>
        </w:rPr>
        <w:t>2</w:t>
      </w:r>
      <w:r w:rsidR="00415252" w:rsidRPr="00415252">
        <w:rPr>
          <w:b/>
          <w:u w:val="single"/>
        </w:rPr>
        <w:fldChar w:fldCharType="end"/>
      </w:r>
      <w:r w:rsidR="00D923EE" w:rsidRPr="00415252">
        <w:rPr>
          <w:b/>
          <w:u w:val="single"/>
        </w:rPr>
        <w:t>]</w:t>
      </w:r>
    </w:p>
    <w:p w14:paraId="68350898" w14:textId="77777777" w:rsidR="00661DEA" w:rsidRDefault="00661DEA" w:rsidP="00A86B87">
      <w:pPr>
        <w:pStyle w:val="ListParagraph"/>
        <w:numPr>
          <w:ilvl w:val="0"/>
          <w:numId w:val="25"/>
        </w:numPr>
      </w:pPr>
      <w:r w:rsidRPr="0031380F">
        <w:t>A</w:t>
      </w:r>
      <w:r>
        <w:t xml:space="preserve">ge*sex*economic activity*home </w:t>
      </w:r>
      <w:r w:rsidRPr="0031380F">
        <w:t>LSOA is known for all</w:t>
      </w:r>
      <w:r w:rsidR="00E73259">
        <w:t xml:space="preserve"> adults</w:t>
      </w:r>
      <w:r w:rsidR="00A86B87">
        <w:t>.</w:t>
      </w:r>
      <w:r w:rsidR="00E73259">
        <w:rPr>
          <w:rStyle w:val="FootnoteReference"/>
        </w:rPr>
        <w:footnoteReference w:id="3"/>
      </w:r>
      <w:r w:rsidR="00E73259">
        <w:t xml:space="preserve">  </w:t>
      </w:r>
      <w:r w:rsidR="0026425F">
        <w:t>Exclude commuters,</w:t>
      </w:r>
      <w:r w:rsidR="003653C2">
        <w:t xml:space="preserve"> leaving </w:t>
      </w:r>
      <w:r w:rsidR="0026425F">
        <w:t>those who are unemployed or economically inactive.</w:t>
      </w:r>
      <w:r w:rsidR="003653C2">
        <w:t xml:space="preserve"> Add </w:t>
      </w:r>
      <w:r w:rsidR="00A86B87">
        <w:t>home MSOA</w:t>
      </w:r>
      <w:r w:rsidR="003653C2">
        <w:t xml:space="preserve"> to this. Convert this </w:t>
      </w:r>
      <w:r w:rsidR="00A86B87">
        <w:t>LSOA-level dataset</w:t>
      </w:r>
      <w:r w:rsidR="003653C2">
        <w:t xml:space="preserve"> to </w:t>
      </w:r>
      <w:r>
        <w:t>an individual-level dataset.</w:t>
      </w:r>
    </w:p>
    <w:p w14:paraId="559790A0" w14:textId="77777777" w:rsidR="00661DEA" w:rsidRPr="0031380F" w:rsidRDefault="00661DEA" w:rsidP="00661DEA">
      <w:pPr>
        <w:pStyle w:val="ListParagraph"/>
      </w:pPr>
    </w:p>
    <w:p w14:paraId="3294290F" w14:textId="77777777" w:rsidR="006F0071" w:rsidRDefault="006F0071" w:rsidP="006F0071">
      <w:pPr>
        <w:pStyle w:val="ListParagraph"/>
        <w:numPr>
          <w:ilvl w:val="0"/>
          <w:numId w:val="25"/>
        </w:numPr>
      </w:pPr>
      <w:r w:rsidRPr="0031380F">
        <w:t xml:space="preserve">For each </w:t>
      </w:r>
      <w:r>
        <w:t>home LSOA</w:t>
      </w:r>
      <w:r w:rsidRPr="0031380F">
        <w:t>, data is available on</w:t>
      </w:r>
      <w:r>
        <w:t xml:space="preserve"> car ownership*economic activity.  </w:t>
      </w:r>
      <w:r w:rsidRPr="0031380F">
        <w:t>Use</w:t>
      </w:r>
      <w:r>
        <w:t xml:space="preserve"> this data </w:t>
      </w:r>
      <w:r w:rsidRPr="0031380F">
        <w:t xml:space="preserve">to </w:t>
      </w:r>
      <w:r>
        <w:t>probabilistically assign car ownership to individuals, such that the total number of people owning no car in each LSOA*economic activity combination is correct. The probabilistic assignment is done as a function</w:t>
      </w:r>
      <w:r w:rsidRPr="0031380F">
        <w:t xml:space="preserve"> </w:t>
      </w:r>
      <w:r>
        <w:t xml:space="preserve">of home region, age, </w:t>
      </w:r>
      <w:r w:rsidR="00EA6629">
        <w:t>sex,</w:t>
      </w:r>
      <w:r>
        <w:t xml:space="preserve"> and economic activity (unemployed versus economically inactive).  The probabilities used were calculated by combining the two 5% individual-level samples from the </w:t>
      </w:r>
      <w:proofErr w:type="gramStart"/>
      <w:r>
        <w:t>Census, and</w:t>
      </w:r>
      <w:proofErr w:type="gramEnd"/>
      <w:r>
        <w:t xml:space="preserve"> running logistic regression models predicting “owning no car”</w:t>
      </w:r>
      <w:r w:rsidRPr="0031380F">
        <w:t xml:space="preserve"> </w:t>
      </w:r>
      <w:r>
        <w:t xml:space="preserve">as a function of sex, </w:t>
      </w:r>
      <w:r w:rsidR="00EA6629">
        <w:t>age,</w:t>
      </w:r>
      <w:r>
        <w:t xml:space="preserve"> and economic activity, stratified by region.</w:t>
      </w:r>
    </w:p>
    <w:p w14:paraId="78F8039B" w14:textId="77777777" w:rsidR="006F0071" w:rsidRDefault="006F0071" w:rsidP="006F0071">
      <w:pPr>
        <w:pStyle w:val="ListParagraph"/>
      </w:pPr>
    </w:p>
    <w:p w14:paraId="5DAF455F" w14:textId="77777777" w:rsidR="0026425F" w:rsidRDefault="00661DEA" w:rsidP="0026425F">
      <w:pPr>
        <w:pStyle w:val="ListParagraph"/>
        <w:numPr>
          <w:ilvl w:val="0"/>
          <w:numId w:val="25"/>
        </w:numPr>
      </w:pPr>
      <w:r w:rsidRPr="0031380F">
        <w:t xml:space="preserve">For each </w:t>
      </w:r>
      <w:r w:rsidR="00E73259">
        <w:t>home LSOA</w:t>
      </w:r>
      <w:r w:rsidRPr="0031380F">
        <w:t>, data is available on</w:t>
      </w:r>
      <w:r w:rsidR="0026425F">
        <w:t xml:space="preserve"> </w:t>
      </w:r>
      <w:r w:rsidR="006F0071">
        <w:t>ethnicity</w:t>
      </w:r>
      <w:r w:rsidR="0026425F">
        <w:t>*economic activity</w:t>
      </w:r>
      <w:r w:rsidR="006F0071">
        <w:t>*age (&lt;50 vs 50+)</w:t>
      </w:r>
      <w:r w:rsidR="0026425F">
        <w:t xml:space="preserve">.  </w:t>
      </w:r>
      <w:r w:rsidRPr="0031380F">
        <w:t>Use</w:t>
      </w:r>
      <w:r>
        <w:t xml:space="preserve"> this data </w:t>
      </w:r>
      <w:r w:rsidRPr="0031380F">
        <w:t xml:space="preserve">to </w:t>
      </w:r>
      <w:r>
        <w:t>probabilistically assign</w:t>
      </w:r>
      <w:r w:rsidR="006F0071">
        <w:t xml:space="preserve"> ethnicity </w:t>
      </w:r>
      <w:r>
        <w:t xml:space="preserve">to </w:t>
      </w:r>
      <w:r w:rsidR="0026425F">
        <w:t>individuals</w:t>
      </w:r>
      <w:r>
        <w:t xml:space="preserve">, such that the total number of </w:t>
      </w:r>
      <w:r w:rsidR="006F0071">
        <w:t>non-white individuals</w:t>
      </w:r>
      <w:r>
        <w:t xml:space="preserve"> in each </w:t>
      </w:r>
      <w:r w:rsidR="0026425F">
        <w:t>LSOA</w:t>
      </w:r>
      <w:r>
        <w:t>*</w:t>
      </w:r>
      <w:r w:rsidR="0026425F">
        <w:t>economic activity</w:t>
      </w:r>
      <w:r w:rsidR="006F0071">
        <w:t>*age</w:t>
      </w:r>
      <w:r w:rsidR="0026425F">
        <w:t xml:space="preserve"> </w:t>
      </w:r>
      <w:r>
        <w:t xml:space="preserve">combination is correct. </w:t>
      </w:r>
      <w:r w:rsidR="0026425F">
        <w:t>The probabilistic assignment is done as a function</w:t>
      </w:r>
      <w:r w:rsidR="0026425F" w:rsidRPr="0031380F">
        <w:t xml:space="preserve"> </w:t>
      </w:r>
      <w:r w:rsidR="0026425F">
        <w:t>of home region, age, sex</w:t>
      </w:r>
      <w:r w:rsidR="006F0071">
        <w:t xml:space="preserve">, </w:t>
      </w:r>
      <w:r w:rsidR="0026425F">
        <w:t xml:space="preserve">economic </w:t>
      </w:r>
      <w:r w:rsidR="00EA6629">
        <w:t>activity,</w:t>
      </w:r>
      <w:r w:rsidR="0026425F">
        <w:t xml:space="preserve"> </w:t>
      </w:r>
      <w:r w:rsidR="006F0071">
        <w:t>and car ownership</w:t>
      </w:r>
      <w:r w:rsidR="0026425F">
        <w:t xml:space="preserve">.  The probabilities used were calculated by combining the two 5% individual-level samples from the </w:t>
      </w:r>
      <w:proofErr w:type="gramStart"/>
      <w:r w:rsidR="0026425F">
        <w:t>Census, and</w:t>
      </w:r>
      <w:proofErr w:type="gramEnd"/>
      <w:r w:rsidR="0026425F">
        <w:t xml:space="preserve"> running logistic regression models predicting “</w:t>
      </w:r>
      <w:r w:rsidR="006F0071">
        <w:t>being non-white</w:t>
      </w:r>
      <w:r w:rsidR="0026425F">
        <w:t>”</w:t>
      </w:r>
      <w:r w:rsidR="0026425F" w:rsidRPr="0031380F">
        <w:t xml:space="preserve"> </w:t>
      </w:r>
      <w:r w:rsidR="0026425F">
        <w:t>as a function of sex, age</w:t>
      </w:r>
      <w:r w:rsidR="006F0071">
        <w:t xml:space="preserve">, </w:t>
      </w:r>
      <w:r w:rsidR="0026425F">
        <w:t xml:space="preserve">economic </w:t>
      </w:r>
      <w:r w:rsidR="00EA6629">
        <w:t>activity,</w:t>
      </w:r>
      <w:r w:rsidR="006F0071">
        <w:t xml:space="preserve"> and car ownership</w:t>
      </w:r>
      <w:r w:rsidR="0026425F">
        <w:t>, stratified by region.</w:t>
      </w:r>
    </w:p>
    <w:p w14:paraId="2805354A" w14:textId="77777777" w:rsidR="002B449D" w:rsidRDefault="002B449D" w:rsidP="006F0071">
      <w:pPr>
        <w:ind w:left="360"/>
      </w:pPr>
    </w:p>
    <w:p w14:paraId="6ADA214F" w14:textId="77777777" w:rsidR="006F0071" w:rsidRPr="006853C1" w:rsidRDefault="000C1716" w:rsidP="006F0071">
      <w:pPr>
        <w:rPr>
          <w:b/>
          <w:u w:val="single"/>
        </w:rPr>
      </w:pPr>
      <w:r>
        <w:rPr>
          <w:b/>
          <w:u w:val="single"/>
        </w:rPr>
        <w:t xml:space="preserve">1.3 Merging </w:t>
      </w:r>
      <w:r w:rsidR="006F0071">
        <w:rPr>
          <w:b/>
          <w:u w:val="single"/>
        </w:rPr>
        <w:t xml:space="preserve">to create synthetic population of all </w:t>
      </w:r>
      <w:proofErr w:type="gramStart"/>
      <w:r w:rsidR="006F0071">
        <w:rPr>
          <w:b/>
          <w:u w:val="single"/>
        </w:rPr>
        <w:t>adults</w:t>
      </w:r>
      <w:proofErr w:type="gramEnd"/>
    </w:p>
    <w:p w14:paraId="4D3CD433" w14:textId="77777777" w:rsidR="006F0071" w:rsidRDefault="006F0071" w:rsidP="006F0071">
      <w:pPr>
        <w:pStyle w:val="ListParagraph"/>
        <w:numPr>
          <w:ilvl w:val="0"/>
          <w:numId w:val="26"/>
        </w:numPr>
      </w:pPr>
      <w:r>
        <w:t xml:space="preserve">Append the synthetic populations of commuters and non-commuters, to generate a total population of </w:t>
      </w:r>
      <w:r w:rsidRPr="006F0071">
        <w:t xml:space="preserve">42,989,620 </w:t>
      </w:r>
      <w:r>
        <w:t xml:space="preserve">adults living in England.  </w:t>
      </w:r>
    </w:p>
    <w:p w14:paraId="31A59626" w14:textId="77777777" w:rsidR="006F0071" w:rsidRDefault="00396F48" w:rsidP="006F0071">
      <w:pPr>
        <w:pStyle w:val="ListParagraph"/>
        <w:numPr>
          <w:ilvl w:val="0"/>
          <w:numId w:val="26"/>
        </w:numPr>
      </w:pPr>
      <w:r>
        <w:t xml:space="preserve">Use home LSOA to merge in data on Index </w:t>
      </w:r>
      <w:r w:rsidR="006F0071">
        <w:t>of Multiple Deprivation 2015 income decile</w:t>
      </w:r>
      <w:r>
        <w:t>, u</w:t>
      </w:r>
      <w:r w:rsidR="006F0071">
        <w:t xml:space="preserve">rban/rural </w:t>
      </w:r>
      <w:r w:rsidR="00EA6629">
        <w:t>status,</w:t>
      </w:r>
      <w:r>
        <w:t xml:space="preserve"> and area sparsity.</w:t>
      </w:r>
      <w:r w:rsidR="00411C88">
        <w:t xml:space="preserve">  Also merge in the</w:t>
      </w:r>
      <w:r w:rsidR="00BB74B5">
        <w:t xml:space="preserve"> hilliness of the home LSOA</w:t>
      </w:r>
      <w:r w:rsidR="00A71E0B">
        <w:t xml:space="preserve"> (in twentieths)</w:t>
      </w:r>
      <w:r w:rsidR="00BB74B5">
        <w:t>; plus</w:t>
      </w:r>
      <w:r w:rsidR="00411C88">
        <w:t xml:space="preserve"> </w:t>
      </w:r>
      <w:r w:rsidR="007D0D87">
        <w:t xml:space="preserve">the </w:t>
      </w:r>
      <w:r w:rsidR="00411C88">
        <w:t>proportion of people in each LSOA who travel to work, in the 2011 Census, by a) bicycle, b) bus, and c) tube/train</w:t>
      </w:r>
      <w:r w:rsidR="00A71E0B">
        <w:t xml:space="preserve"> (in</w:t>
      </w:r>
      <w:r w:rsidR="00411C88">
        <w:t xml:space="preserve"> </w:t>
      </w:r>
      <w:r w:rsidR="00BB74B5">
        <w:t>twelfths</w:t>
      </w:r>
      <w:r w:rsidR="00A71E0B">
        <w:t>).</w:t>
      </w:r>
    </w:p>
    <w:p w14:paraId="387DFFAE" w14:textId="77777777" w:rsidR="006F0071" w:rsidRPr="006F0071" w:rsidRDefault="006F0071" w:rsidP="006F0071">
      <w:pPr>
        <w:pStyle w:val="ListParagraph"/>
        <w:numPr>
          <w:ilvl w:val="0"/>
          <w:numId w:val="26"/>
        </w:numPr>
      </w:pPr>
      <w:r>
        <w:t>The variables in this dataset are:</w:t>
      </w:r>
      <w:r w:rsidRPr="006F0071">
        <w:rPr>
          <w:rFonts w:asciiTheme="majorHAnsi" w:eastAsiaTheme="minorEastAsia" w:hAnsi="Arial" w:cs="Arial"/>
          <w:color w:val="000000" w:themeColor="text1"/>
          <w:kern w:val="24"/>
          <w:sz w:val="20"/>
          <w:szCs w:val="20"/>
        </w:rPr>
        <w:t xml:space="preserve"> </w:t>
      </w:r>
    </w:p>
    <w:p w14:paraId="54C681D0" w14:textId="77777777" w:rsidR="006F0071" w:rsidRPr="006F0071" w:rsidRDefault="003653C2" w:rsidP="006F0071">
      <w:pPr>
        <w:pStyle w:val="ListParagraph"/>
        <w:numPr>
          <w:ilvl w:val="1"/>
          <w:numId w:val="26"/>
        </w:numPr>
      </w:pPr>
      <w:r>
        <w:t xml:space="preserve">For </w:t>
      </w:r>
      <w:r w:rsidR="006F0071" w:rsidRPr="006F0071">
        <w:t>all individuals: home LSOA/MSOA/LA/region, sex, age, economic activity, car ownership, ethnicity</w:t>
      </w:r>
      <w:r w:rsidR="00396F48">
        <w:t xml:space="preserve">, </w:t>
      </w:r>
      <w:r>
        <w:t>income deprivation</w:t>
      </w:r>
      <w:r w:rsidR="00396F48">
        <w:t>, urban/rural status</w:t>
      </w:r>
      <w:r w:rsidR="00411C88">
        <w:t xml:space="preserve">, </w:t>
      </w:r>
      <w:r w:rsidR="00396F48">
        <w:t>area sparsity</w:t>
      </w:r>
      <w:r w:rsidR="00411C88">
        <w:t xml:space="preserve">, </w:t>
      </w:r>
      <w:r w:rsidR="00A71E0B">
        <w:t xml:space="preserve">hilliness of the home area, </w:t>
      </w:r>
      <w:r w:rsidR="00411C88">
        <w:t xml:space="preserve">and the local prevalence of commuting by bicycle, </w:t>
      </w:r>
      <w:proofErr w:type="gramStart"/>
      <w:r w:rsidR="00411C88">
        <w:t>bus</w:t>
      </w:r>
      <w:proofErr w:type="gramEnd"/>
      <w:r w:rsidR="00411C88">
        <w:t xml:space="preserve"> and tube/train.</w:t>
      </w:r>
    </w:p>
    <w:p w14:paraId="5E6EECF7" w14:textId="77777777" w:rsidR="006F0071" w:rsidRPr="006F0071" w:rsidRDefault="003653C2" w:rsidP="006F0071">
      <w:pPr>
        <w:pStyle w:val="ListParagraph"/>
        <w:numPr>
          <w:ilvl w:val="1"/>
          <w:numId w:val="26"/>
        </w:numPr>
      </w:pPr>
      <w:r>
        <w:t xml:space="preserve">For </w:t>
      </w:r>
      <w:r w:rsidR="006F0071" w:rsidRPr="006F0071">
        <w:t xml:space="preserve">commuters: </w:t>
      </w:r>
      <w:r w:rsidR="00396F48">
        <w:t xml:space="preserve">work LSOA/MSOA, </w:t>
      </w:r>
      <w:r w:rsidR="006F0071" w:rsidRPr="006F0071">
        <w:t>commute mode, commute distance</w:t>
      </w:r>
      <w:r>
        <w:t>.</w:t>
      </w:r>
    </w:p>
    <w:p w14:paraId="6085A8DA" w14:textId="77777777" w:rsidR="006F0071" w:rsidRPr="0031380F" w:rsidRDefault="006F0071" w:rsidP="006F0071">
      <w:pPr>
        <w:pStyle w:val="ListParagraph"/>
      </w:pPr>
    </w:p>
    <w:p w14:paraId="02ABAD55" w14:textId="77777777" w:rsidR="007C34A4" w:rsidRDefault="007C34A4" w:rsidP="007C34A4">
      <w:pPr>
        <w:ind w:left="360"/>
      </w:pPr>
    </w:p>
    <w:p w14:paraId="0F254C35" w14:textId="77777777" w:rsidR="007C34A4" w:rsidRPr="006853C1" w:rsidRDefault="007C34A4" w:rsidP="007C34A4">
      <w:pPr>
        <w:rPr>
          <w:b/>
          <w:u w:val="single"/>
        </w:rPr>
      </w:pPr>
      <w:r>
        <w:rPr>
          <w:b/>
          <w:u w:val="single"/>
        </w:rPr>
        <w:lastRenderedPageBreak/>
        <w:t xml:space="preserve">1.4 adding in </w:t>
      </w:r>
      <w:proofErr w:type="gramStart"/>
      <w:r>
        <w:rPr>
          <w:b/>
          <w:u w:val="single"/>
        </w:rPr>
        <w:t>postcode</w:t>
      </w:r>
      <w:proofErr w:type="gramEnd"/>
      <w:r>
        <w:rPr>
          <w:b/>
          <w:u w:val="single"/>
        </w:rPr>
        <w:t xml:space="preserve"> </w:t>
      </w:r>
    </w:p>
    <w:p w14:paraId="24E934D2" w14:textId="77777777" w:rsidR="00A55784" w:rsidRDefault="007C34A4" w:rsidP="00646AB3">
      <w:pPr>
        <w:pStyle w:val="ListParagraph"/>
        <w:numPr>
          <w:ilvl w:val="0"/>
          <w:numId w:val="39"/>
        </w:numPr>
      </w:pPr>
      <w:r w:rsidRPr="007C34A4">
        <w:t xml:space="preserve">Noise is estimated in </w:t>
      </w:r>
      <w:proofErr w:type="spellStart"/>
      <w:r>
        <w:t>M</w:t>
      </w:r>
      <w:r w:rsidRPr="007C34A4">
        <w:t>etahit</w:t>
      </w:r>
      <w:proofErr w:type="spellEnd"/>
      <w:r w:rsidRPr="007C34A4">
        <w:t xml:space="preserve"> at the level of postcode</w:t>
      </w:r>
      <w:r>
        <w:t xml:space="preserve">.  </w:t>
      </w:r>
      <w:r w:rsidR="00A55784">
        <w:t>We therefore assigned a postcode to each individual in our synthetic population.  This allows us to capture better the variation across an LSOA in noise levels, and also provides a means of routing between LSOAs with more granularity.</w:t>
      </w:r>
    </w:p>
    <w:p w14:paraId="7DFE2260" w14:textId="659DCF6D" w:rsidR="004B7043" w:rsidRDefault="00D24D65" w:rsidP="0092309D">
      <w:pPr>
        <w:pStyle w:val="ListParagraph"/>
        <w:numPr>
          <w:ilvl w:val="0"/>
          <w:numId w:val="39"/>
        </w:numPr>
      </w:pPr>
      <w:r w:rsidRPr="004114F2">
        <w:t>In the 2011 Census, there were</w:t>
      </w:r>
      <w:r w:rsidR="00A55784" w:rsidRPr="004114F2">
        <w:t xml:space="preserve"> </w:t>
      </w:r>
      <w:r w:rsidR="004114F2" w:rsidRPr="004114F2">
        <w:t>1.3 million</w:t>
      </w:r>
      <w:r w:rsidR="00CC0B28" w:rsidRPr="004114F2">
        <w:t xml:space="preserve"> </w:t>
      </w:r>
      <w:r w:rsidR="00A55784" w:rsidRPr="004114F2">
        <w:t>postcodes in England</w:t>
      </w:r>
      <w:r w:rsidRPr="004114F2">
        <w:t xml:space="preserve"> containing at least one usual resident in the Census</w:t>
      </w:r>
      <w:r w:rsidR="00A55784" w:rsidRPr="004114F2">
        <w:t xml:space="preserve">, </w:t>
      </w:r>
      <w:r w:rsidR="007C34A4" w:rsidRPr="004114F2">
        <w:t xml:space="preserve">i.e. an average of </w:t>
      </w:r>
      <w:r w:rsidR="00517C91" w:rsidRPr="004114F2">
        <w:t>4</w:t>
      </w:r>
      <w:r w:rsidR="00CC0B28" w:rsidRPr="004114F2">
        <w:t>6</w:t>
      </w:r>
      <w:r w:rsidR="007C34A4" w:rsidRPr="004114F2">
        <w:t xml:space="preserve"> (range</w:t>
      </w:r>
      <w:r w:rsidR="004114F2" w:rsidRPr="004114F2">
        <w:t xml:space="preserve"> 5</w:t>
      </w:r>
      <w:r w:rsidR="00CC0B28" w:rsidRPr="004114F2">
        <w:t xml:space="preserve"> </w:t>
      </w:r>
      <w:r w:rsidR="007C34A4" w:rsidRPr="004114F2">
        <w:t xml:space="preserve">to </w:t>
      </w:r>
      <w:r w:rsidR="004114F2" w:rsidRPr="004114F2">
        <w:t>291</w:t>
      </w:r>
      <w:r w:rsidR="007C34A4" w:rsidRPr="004114F2">
        <w:t xml:space="preserve">) for each of the </w:t>
      </w:r>
      <w:r w:rsidR="007A5E79" w:rsidRPr="004114F2">
        <w:rPr>
          <w:rStyle w:val="e24kjd"/>
        </w:rPr>
        <w:t xml:space="preserve">34,753 </w:t>
      </w:r>
      <w:r w:rsidR="007C34A4" w:rsidRPr="004114F2">
        <w:t xml:space="preserve">2011 LSOAs in England.  </w:t>
      </w:r>
      <w:r w:rsidR="00A55784" w:rsidRPr="004114F2">
        <w:t xml:space="preserve">For each individual in our synthetic population, we </w:t>
      </w:r>
      <w:r w:rsidR="007C34A4" w:rsidRPr="004114F2">
        <w:t>randomly</w:t>
      </w:r>
      <w:r w:rsidR="00A55784" w:rsidRPr="004114F2">
        <w:t xml:space="preserve"> assigned </w:t>
      </w:r>
      <w:r w:rsidR="007C34A4" w:rsidRPr="004114F2">
        <w:t>one of the postcodes belonging to their</w:t>
      </w:r>
      <w:r w:rsidR="007C34A4">
        <w:t xml:space="preserve"> LSOA.  </w:t>
      </w:r>
      <w:r w:rsidR="00A55784">
        <w:t>This was done with the probability</w:t>
      </w:r>
      <w:r w:rsidR="004B7043" w:rsidRPr="004B7043">
        <w:t xml:space="preserve"> proportional to the total number of inhabitants in that postcode in the 2011 </w:t>
      </w:r>
      <w:r w:rsidR="00A55784">
        <w:t>Census</w:t>
      </w:r>
      <w:r w:rsidR="004B7043" w:rsidRPr="004B7043">
        <w:t xml:space="preserve">. </w:t>
      </w:r>
    </w:p>
    <w:p w14:paraId="1979C373" w14:textId="77777777" w:rsidR="007C34A4" w:rsidRDefault="00585B68" w:rsidP="004B7043">
      <w:pPr>
        <w:pStyle w:val="ListParagraph"/>
        <w:numPr>
          <w:ilvl w:val="0"/>
          <w:numId w:val="39"/>
        </w:numPr>
      </w:pPr>
      <w:r>
        <w:t xml:space="preserve">Note that </w:t>
      </w:r>
      <w:r w:rsidR="004B7043">
        <w:t>the</w:t>
      </w:r>
      <w:r>
        <w:t xml:space="preserve"> boundary geography of postcodes does not align with the output area/lower super output area Census geography.  Instead the National Statistics Postcode Directory assigns each postcode to an output area, and thereby to an LSOA, based on where the centroid of that postcode falls. (Postcode centroids are calculated fall within the building of the matched address that is closest to the mean location of all addresses in postcode.) Thus a few individuals in some postcodes </w:t>
      </w:r>
      <w:r w:rsidR="004B7043">
        <w:t xml:space="preserve">will </w:t>
      </w:r>
      <w:r>
        <w:t xml:space="preserve">live outside the geographical boundaries of the LSOA </w:t>
      </w:r>
      <w:r w:rsidR="00A55784">
        <w:t>to which they are assigned</w:t>
      </w:r>
      <w:r>
        <w:t>.</w:t>
      </w:r>
    </w:p>
    <w:p w14:paraId="6F4BCEF1" w14:textId="77777777" w:rsidR="00585B68" w:rsidRDefault="00585B68" w:rsidP="007C34A4"/>
    <w:p w14:paraId="4A4EEE48" w14:textId="77777777" w:rsidR="00585B68" w:rsidRDefault="00585B68" w:rsidP="007C34A4"/>
    <w:p w14:paraId="51182E60" w14:textId="77777777" w:rsidR="00585B68" w:rsidRDefault="00585B68" w:rsidP="007C34A4"/>
    <w:p w14:paraId="27B7FA22" w14:textId="77777777" w:rsidR="007C34A4" w:rsidRDefault="007C34A4">
      <w:pPr>
        <w:rPr>
          <w:b/>
          <w:sz w:val="24"/>
          <w:u w:val="single"/>
        </w:rPr>
      </w:pPr>
    </w:p>
    <w:p w14:paraId="5803BB59" w14:textId="77777777" w:rsidR="007C34A4" w:rsidRDefault="007C34A4">
      <w:pPr>
        <w:rPr>
          <w:b/>
          <w:sz w:val="24"/>
          <w:u w:val="single"/>
        </w:rPr>
      </w:pPr>
      <w:r>
        <w:rPr>
          <w:b/>
          <w:sz w:val="24"/>
          <w:u w:val="single"/>
        </w:rPr>
        <w:br w:type="page"/>
      </w:r>
    </w:p>
    <w:p w14:paraId="22372CBC" w14:textId="77777777" w:rsidR="000C1716" w:rsidRPr="000C1716" w:rsidRDefault="000C1716" w:rsidP="000C1716">
      <w:pPr>
        <w:rPr>
          <w:b/>
          <w:sz w:val="24"/>
          <w:u w:val="single"/>
        </w:rPr>
      </w:pPr>
      <w:r>
        <w:rPr>
          <w:b/>
          <w:sz w:val="24"/>
          <w:u w:val="single"/>
        </w:rPr>
        <w:lastRenderedPageBreak/>
        <w:t>2</w:t>
      </w:r>
      <w:r w:rsidRPr="000C1716">
        <w:rPr>
          <w:b/>
          <w:sz w:val="24"/>
          <w:u w:val="single"/>
        </w:rPr>
        <w:t>) Preparing the</w:t>
      </w:r>
      <w:r>
        <w:rPr>
          <w:b/>
          <w:sz w:val="24"/>
          <w:u w:val="single"/>
        </w:rPr>
        <w:t xml:space="preserve"> NTS </w:t>
      </w:r>
      <w:r w:rsidRPr="000C1716">
        <w:rPr>
          <w:b/>
          <w:sz w:val="24"/>
          <w:u w:val="single"/>
        </w:rPr>
        <w:t>datasets</w:t>
      </w:r>
    </w:p>
    <w:p w14:paraId="39BBF540" w14:textId="77777777" w:rsidR="000C1716" w:rsidRDefault="000C1716" w:rsidP="000C1716">
      <w:pPr>
        <w:pStyle w:val="ListParagraph"/>
        <w:numPr>
          <w:ilvl w:val="0"/>
          <w:numId w:val="27"/>
        </w:numPr>
      </w:pPr>
      <w:r w:rsidRPr="000C1716">
        <w:t>Restrict NTS to participants living in England aged 16+, in the years 2010-2016. Choose 2010 as the earliest date, as older data</w:t>
      </w:r>
      <w:r w:rsidR="009906F5">
        <w:t xml:space="preserve"> is </w:t>
      </w:r>
      <w:r>
        <w:t xml:space="preserve">more affected by secular trends since the </w:t>
      </w:r>
    </w:p>
    <w:p w14:paraId="7ABC60A1" w14:textId="77777777" w:rsidR="000C1716" w:rsidRDefault="000C1716" w:rsidP="000C1716">
      <w:pPr>
        <w:pStyle w:val="ListParagraph"/>
      </w:pPr>
      <w:r>
        <w:t>year 2000, e.g. falling trip rates and increasing levels of driving among older people.</w:t>
      </w:r>
    </w:p>
    <w:p w14:paraId="27D3EC29" w14:textId="77777777" w:rsidR="000C1716" w:rsidRPr="000C1716" w:rsidRDefault="000C1716" w:rsidP="000C1716">
      <w:pPr>
        <w:pStyle w:val="ListParagraph"/>
      </w:pPr>
    </w:p>
    <w:p w14:paraId="0817BB7D" w14:textId="77777777" w:rsidR="000C1716" w:rsidRDefault="000C1716" w:rsidP="000C1716">
      <w:pPr>
        <w:pStyle w:val="ListParagraph"/>
        <w:numPr>
          <w:ilvl w:val="0"/>
          <w:numId w:val="27"/>
        </w:numPr>
      </w:pPr>
      <w:r w:rsidRPr="000C1716">
        <w:t>Prepare the NTS dataset to be a trip-level dataset, expanding up short walks on the final day.</w:t>
      </w:r>
      <w:r w:rsidR="00D923EE">
        <w:t xml:space="preserve"> Among commuters, calculate the</w:t>
      </w:r>
      <w:r w:rsidR="00D86D89">
        <w:t xml:space="preserve"> median </w:t>
      </w:r>
      <w:r w:rsidR="00D923EE">
        <w:t>commute distance for all past-week commute trips.</w:t>
      </w:r>
    </w:p>
    <w:p w14:paraId="11804EAE" w14:textId="77777777" w:rsidR="00BE5E2C" w:rsidRDefault="00BE5E2C" w:rsidP="00BE5E2C">
      <w:pPr>
        <w:pStyle w:val="ListParagraph"/>
      </w:pPr>
    </w:p>
    <w:p w14:paraId="02571965" w14:textId="77777777" w:rsidR="00586903" w:rsidRDefault="00586903" w:rsidP="000C1716">
      <w:pPr>
        <w:pStyle w:val="ListParagraph"/>
        <w:numPr>
          <w:ilvl w:val="0"/>
          <w:numId w:val="27"/>
        </w:numPr>
      </w:pPr>
      <w:r>
        <w:t>Have DfT merg</w:t>
      </w:r>
      <w:r w:rsidR="00BE5E2C">
        <w:t xml:space="preserve">e </w:t>
      </w:r>
      <w:r>
        <w:t>in anonymized data on the proportion of people in each LSOA who travel to work, in the 2011 Census, by a) bicycle, b) bus, and c) tube/train.</w:t>
      </w:r>
      <w:r w:rsidR="00411C88">
        <w:t xml:space="preserve"> This data is defined as fourths.</w:t>
      </w:r>
    </w:p>
    <w:p w14:paraId="6275E34C" w14:textId="77777777" w:rsidR="000C1716" w:rsidRDefault="000C1716" w:rsidP="000C1716">
      <w:pPr>
        <w:pStyle w:val="ListParagraph"/>
      </w:pPr>
    </w:p>
    <w:p w14:paraId="5F9DCFDF" w14:textId="77777777" w:rsidR="000C1716" w:rsidRDefault="00BE5E2C" w:rsidP="000C1716">
      <w:pPr>
        <w:pStyle w:val="ListParagraph"/>
        <w:numPr>
          <w:ilvl w:val="0"/>
          <w:numId w:val="27"/>
        </w:numPr>
      </w:pPr>
      <w:r>
        <w:t>We may want to redo the creation of the synthetic population, adding in the NTS data for 2017, when that is released in autumn 2018.</w:t>
      </w:r>
    </w:p>
    <w:p w14:paraId="443C991E" w14:textId="77777777" w:rsidR="000C1716" w:rsidRDefault="000C1716" w:rsidP="000C1716">
      <w:pPr>
        <w:rPr>
          <w:b/>
          <w:sz w:val="24"/>
          <w:u w:val="single"/>
        </w:rPr>
      </w:pPr>
    </w:p>
    <w:p w14:paraId="63CAFE72" w14:textId="6C65CBC3" w:rsidR="000C1716" w:rsidRPr="000C1716" w:rsidRDefault="000C1716" w:rsidP="000C1716">
      <w:pPr>
        <w:rPr>
          <w:b/>
          <w:sz w:val="24"/>
          <w:u w:val="single"/>
        </w:rPr>
      </w:pPr>
      <w:r>
        <w:rPr>
          <w:b/>
          <w:sz w:val="24"/>
          <w:u w:val="single"/>
        </w:rPr>
        <w:t>3</w:t>
      </w:r>
      <w:r w:rsidRPr="000C1716">
        <w:rPr>
          <w:b/>
          <w:sz w:val="24"/>
          <w:u w:val="single"/>
        </w:rPr>
        <w:t>) Preparing the</w:t>
      </w:r>
      <w:r>
        <w:rPr>
          <w:b/>
          <w:sz w:val="24"/>
          <w:u w:val="single"/>
        </w:rPr>
        <w:t xml:space="preserve"> </w:t>
      </w:r>
      <w:r w:rsidR="00BE4C4C">
        <w:rPr>
          <w:b/>
          <w:sz w:val="24"/>
          <w:u w:val="single"/>
        </w:rPr>
        <w:t>ALS</w:t>
      </w:r>
      <w:r>
        <w:rPr>
          <w:b/>
          <w:sz w:val="24"/>
          <w:u w:val="single"/>
        </w:rPr>
        <w:t xml:space="preserve"> </w:t>
      </w:r>
      <w:r w:rsidRPr="000C1716">
        <w:rPr>
          <w:b/>
          <w:sz w:val="24"/>
          <w:u w:val="single"/>
        </w:rPr>
        <w:t>datasets</w:t>
      </w:r>
    </w:p>
    <w:p w14:paraId="7D90407D" w14:textId="29A05534" w:rsidR="009906F5" w:rsidRDefault="00BE4C4C" w:rsidP="00BE4C4C">
      <w:pPr>
        <w:pStyle w:val="ListParagraph"/>
        <w:numPr>
          <w:ilvl w:val="0"/>
          <w:numId w:val="31"/>
        </w:numPr>
      </w:pPr>
      <w:r>
        <w:t>Use all 4 available ALS surveys, covering November 2015 – November 2018.  Res</w:t>
      </w:r>
      <w:r w:rsidRPr="00BE4C4C">
        <w:t xml:space="preserve"> </w:t>
      </w:r>
      <w:proofErr w:type="spellStart"/>
      <w:r w:rsidRPr="00483D05">
        <w:t>trict</w:t>
      </w:r>
      <w:proofErr w:type="spellEnd"/>
      <w:r w:rsidRPr="00483D05">
        <w:t xml:space="preserve"> </w:t>
      </w:r>
      <w:r>
        <w:t>ALS</w:t>
      </w:r>
      <w:r w:rsidRPr="00483D05">
        <w:t xml:space="preserve"> to participants aged 16+</w:t>
      </w:r>
      <w:r>
        <w:t xml:space="preserve">. </w:t>
      </w:r>
      <w:r w:rsidRPr="00483D05">
        <w:t xml:space="preserve"> </w:t>
      </w:r>
      <w:r>
        <w:t>ALS</w:t>
      </w:r>
      <w:r w:rsidRPr="00483D05">
        <w:t xml:space="preserve"> </w:t>
      </w:r>
      <w:r w:rsidR="009906F5" w:rsidRPr="00483D05">
        <w:t xml:space="preserve">is already restricted to participants living in England. </w:t>
      </w:r>
    </w:p>
    <w:p w14:paraId="2206FCE3" w14:textId="77777777" w:rsidR="00483D05" w:rsidRPr="00483D05" w:rsidRDefault="00483D05" w:rsidP="00483D05">
      <w:pPr>
        <w:pStyle w:val="ListParagraph"/>
      </w:pPr>
    </w:p>
    <w:p w14:paraId="30D26F0D" w14:textId="262FE068" w:rsidR="00483D05" w:rsidRPr="00483D05" w:rsidRDefault="009906F5" w:rsidP="003C1477">
      <w:pPr>
        <w:pStyle w:val="ListParagraph"/>
        <w:numPr>
          <w:ilvl w:val="0"/>
          <w:numId w:val="31"/>
        </w:numPr>
      </w:pPr>
      <w:r w:rsidRPr="00483D05">
        <w:t>Process questions on past-week walking and cycling time.  In addition,</w:t>
      </w:r>
      <w:r w:rsidR="00320221">
        <w:t xml:space="preserve"> estimate </w:t>
      </w:r>
      <w:r w:rsidR="00BE4C4C">
        <w:t>time spent in other nonoccupational physical activity by taking the total weekly duration of nonoccupational physical activity reported and  subtracting walking and cycling from this.</w:t>
      </w:r>
    </w:p>
    <w:p w14:paraId="6DEB5AE1" w14:textId="77777777" w:rsidR="00BE4C4C" w:rsidRDefault="00BE4C4C">
      <w:pPr>
        <w:rPr>
          <w:b/>
          <w:sz w:val="24"/>
          <w:u w:val="single"/>
        </w:rPr>
      </w:pPr>
      <w:r>
        <w:rPr>
          <w:b/>
          <w:sz w:val="24"/>
          <w:u w:val="single"/>
        </w:rPr>
        <w:br w:type="page"/>
      </w:r>
    </w:p>
    <w:p w14:paraId="13FB1659" w14:textId="15C0BB2B" w:rsidR="00483D05" w:rsidRDefault="00483D05" w:rsidP="002F212A">
      <w:pPr>
        <w:rPr>
          <w:b/>
          <w:u w:val="single"/>
        </w:rPr>
      </w:pPr>
      <w:r>
        <w:rPr>
          <w:b/>
          <w:sz w:val="24"/>
          <w:u w:val="single"/>
        </w:rPr>
        <w:lastRenderedPageBreak/>
        <w:t xml:space="preserve">4) Merging the Census, NTS and </w:t>
      </w:r>
      <w:r w:rsidR="00BE4C4C">
        <w:rPr>
          <w:b/>
          <w:sz w:val="24"/>
          <w:u w:val="single"/>
        </w:rPr>
        <w:t>ALS</w:t>
      </w:r>
      <w:r>
        <w:rPr>
          <w:b/>
          <w:sz w:val="24"/>
          <w:u w:val="single"/>
        </w:rPr>
        <w:t xml:space="preserve"> datasets</w:t>
      </w:r>
      <w:r w:rsidR="00181AE3">
        <w:rPr>
          <w:b/>
          <w:sz w:val="24"/>
          <w:u w:val="single"/>
        </w:rPr>
        <w:t xml:space="preserve"> at the individual level</w:t>
      </w:r>
      <w:r w:rsidR="00320221">
        <w:rPr>
          <w:b/>
          <w:sz w:val="24"/>
          <w:u w:val="single"/>
        </w:rPr>
        <w:t>; plus</w:t>
      </w:r>
      <w:r w:rsidR="00D923EE">
        <w:rPr>
          <w:b/>
          <w:sz w:val="24"/>
          <w:u w:val="single"/>
        </w:rPr>
        <w:t xml:space="preserve"> generating frequency weights for Census</w:t>
      </w:r>
    </w:p>
    <w:p w14:paraId="229518E5" w14:textId="77777777" w:rsidR="00D86D89" w:rsidRDefault="00D86D89" w:rsidP="00D86D89">
      <w:pPr>
        <w:rPr>
          <w:b/>
          <w:u w:val="single"/>
        </w:rPr>
      </w:pPr>
      <w:r>
        <w:rPr>
          <w:b/>
          <w:u w:val="single"/>
        </w:rPr>
        <w:t xml:space="preserve">4.1 Merging NTS with the </w:t>
      </w:r>
      <w:r w:rsidR="00FA6950">
        <w:rPr>
          <w:b/>
          <w:u w:val="single"/>
        </w:rPr>
        <w:t>Census</w:t>
      </w:r>
    </w:p>
    <w:p w14:paraId="4CE8C462" w14:textId="77777777" w:rsidR="00D86D89" w:rsidRDefault="00D86D89" w:rsidP="00D86D89">
      <w:pPr>
        <w:pStyle w:val="ListParagraph"/>
        <w:numPr>
          <w:ilvl w:val="0"/>
          <w:numId w:val="33"/>
        </w:numPr>
      </w:pPr>
      <w:r>
        <w:t xml:space="preserve">Seek to match each individual in the Census to a randomly-selected individual in NTS who shares a defined set of matching criteria. Steadily relax the set of criteria in successive matches, such that eventually all individuals in the Census find an NTS match.  Only allow matches where the number of NTS individuals for the category in question is at least </w:t>
      </w:r>
      <w:r w:rsidR="00F108E9">
        <w:t>20</w:t>
      </w:r>
      <w:r>
        <w:t xml:space="preserve">, to avoid having results for </w:t>
      </w:r>
      <w:r w:rsidR="00EA6629">
        <w:t>subsets</w:t>
      </w:r>
      <w:r>
        <w:t xml:space="preserve"> skewed by continually </w:t>
      </w:r>
      <w:r w:rsidR="00320221">
        <w:t>resampling from the same small number of NTS participants</w:t>
      </w:r>
      <w:r>
        <w:t xml:space="preserve">. </w:t>
      </w:r>
    </w:p>
    <w:p w14:paraId="18C2D07A" w14:textId="77777777" w:rsidR="00D86D89" w:rsidRDefault="00D86D89" w:rsidP="00D86D89">
      <w:pPr>
        <w:pStyle w:val="ListParagraph"/>
      </w:pPr>
    </w:p>
    <w:p w14:paraId="04C488E1" w14:textId="77777777" w:rsidR="00D86D89" w:rsidRDefault="00D86D89" w:rsidP="00D86D89">
      <w:pPr>
        <w:pStyle w:val="ListParagraph"/>
        <w:numPr>
          <w:ilvl w:val="0"/>
          <w:numId w:val="33"/>
        </w:numPr>
      </w:pPr>
      <w:r>
        <w:t xml:space="preserve">The matches used are outlined in </w:t>
      </w:r>
      <w:r>
        <w:fldChar w:fldCharType="begin"/>
      </w:r>
      <w:r>
        <w:instrText xml:space="preserve"> REF _Ref497986722 \h </w:instrText>
      </w:r>
      <w:r>
        <w:fldChar w:fldCharType="separate"/>
      </w:r>
      <w:r w:rsidR="00415252" w:rsidRPr="00D86D89">
        <w:t xml:space="preserve">Table </w:t>
      </w:r>
      <w:r w:rsidR="00415252">
        <w:rPr>
          <w:noProof/>
        </w:rPr>
        <w:t>2</w:t>
      </w:r>
      <w:r>
        <w:fldChar w:fldCharType="end"/>
      </w:r>
      <w:r>
        <w:t>.</w:t>
      </w:r>
    </w:p>
    <w:p w14:paraId="02C3C7D4" w14:textId="77777777" w:rsidR="00D86D89" w:rsidRPr="00D86D89" w:rsidRDefault="00D86D89" w:rsidP="00D86D89">
      <w:pPr>
        <w:pStyle w:val="Caption"/>
      </w:pPr>
      <w:r w:rsidRPr="00D86D89">
        <w:t xml:space="preserve">Table </w:t>
      </w:r>
      <w:r w:rsidR="00FE6546">
        <w:fldChar w:fldCharType="begin"/>
      </w:r>
      <w:r w:rsidR="00FE6546">
        <w:instrText xml:space="preserve"> S</w:instrText>
      </w:r>
      <w:r w:rsidR="00FE6546">
        <w:instrText xml:space="preserve">EQ Table \* ARABIC </w:instrText>
      </w:r>
      <w:r w:rsidR="00FE6546">
        <w:fldChar w:fldCharType="separate"/>
      </w:r>
      <w:r w:rsidR="00415252">
        <w:rPr>
          <w:noProof/>
        </w:rPr>
        <w:t>1</w:t>
      </w:r>
      <w:r w:rsidR="00FE6546">
        <w:rPr>
          <w:noProof/>
        </w:rPr>
        <w:fldChar w:fldCharType="end"/>
      </w:r>
      <w:r w:rsidRPr="00D86D89">
        <w:t xml:space="preserve">: </w:t>
      </w:r>
      <w:r>
        <w:t xml:space="preserve"> Matching criteria used when matching </w:t>
      </w:r>
      <w:r w:rsidR="0013653D">
        <w:t>Census</w:t>
      </w:r>
      <w:r>
        <w:t xml:space="preserve"> with </w:t>
      </w:r>
      <w:proofErr w:type="gramStart"/>
      <w:r>
        <w:t>NTS</w:t>
      </w:r>
      <w:proofErr w:type="gramEnd"/>
    </w:p>
    <w:tbl>
      <w:tblPr>
        <w:tblStyle w:val="TableGrid"/>
        <w:tblW w:w="9383" w:type="dxa"/>
        <w:tblInd w:w="137" w:type="dxa"/>
        <w:tblLook w:val="04A0" w:firstRow="1" w:lastRow="0" w:firstColumn="1" w:lastColumn="0" w:noHBand="0" w:noVBand="1"/>
      </w:tblPr>
      <w:tblGrid>
        <w:gridCol w:w="4112"/>
        <w:gridCol w:w="1559"/>
        <w:gridCol w:w="1237"/>
        <w:gridCol w:w="1237"/>
        <w:gridCol w:w="1238"/>
      </w:tblGrid>
      <w:tr w:rsidR="004B26D4" w:rsidRPr="00CB32FE" w14:paraId="7C546F63" w14:textId="77777777" w:rsidTr="004B26D4">
        <w:tc>
          <w:tcPr>
            <w:tcW w:w="4112" w:type="dxa"/>
            <w:tcBorders>
              <w:bottom w:val="single" w:sz="4" w:space="0" w:color="auto"/>
            </w:tcBorders>
          </w:tcPr>
          <w:p w14:paraId="2BD5CA50" w14:textId="77777777" w:rsidR="004B26D4" w:rsidRPr="00CB32FE" w:rsidRDefault="004B26D4" w:rsidP="009106DB">
            <w:pPr>
              <w:rPr>
                <w:sz w:val="20"/>
                <w:szCs w:val="20"/>
              </w:rPr>
            </w:pPr>
          </w:p>
        </w:tc>
        <w:tc>
          <w:tcPr>
            <w:tcW w:w="1559" w:type="dxa"/>
            <w:tcBorders>
              <w:bottom w:val="single" w:sz="4" w:space="0" w:color="auto"/>
            </w:tcBorders>
          </w:tcPr>
          <w:p w14:paraId="43BF1EAE" w14:textId="77777777" w:rsidR="004B26D4" w:rsidRPr="00CB32FE" w:rsidRDefault="004B26D4" w:rsidP="009106DB">
            <w:pPr>
              <w:jc w:val="center"/>
              <w:rPr>
                <w:sz w:val="20"/>
                <w:szCs w:val="20"/>
              </w:rPr>
            </w:pPr>
            <w:r w:rsidRPr="00CB32FE">
              <w:rPr>
                <w:sz w:val="20"/>
                <w:szCs w:val="20"/>
              </w:rPr>
              <w:t>Match 1</w:t>
            </w:r>
          </w:p>
        </w:tc>
        <w:tc>
          <w:tcPr>
            <w:tcW w:w="1237" w:type="dxa"/>
            <w:tcBorders>
              <w:bottom w:val="single" w:sz="4" w:space="0" w:color="auto"/>
            </w:tcBorders>
          </w:tcPr>
          <w:p w14:paraId="1608CBDC" w14:textId="77777777" w:rsidR="004B26D4" w:rsidRPr="00CB32FE" w:rsidRDefault="004B26D4" w:rsidP="009106DB">
            <w:pPr>
              <w:jc w:val="center"/>
              <w:rPr>
                <w:sz w:val="20"/>
                <w:szCs w:val="20"/>
              </w:rPr>
            </w:pPr>
            <w:r w:rsidRPr="00CB32FE">
              <w:rPr>
                <w:sz w:val="20"/>
                <w:szCs w:val="20"/>
              </w:rPr>
              <w:t>Match 2</w:t>
            </w:r>
          </w:p>
        </w:tc>
        <w:tc>
          <w:tcPr>
            <w:tcW w:w="1237" w:type="dxa"/>
            <w:tcBorders>
              <w:bottom w:val="single" w:sz="4" w:space="0" w:color="auto"/>
            </w:tcBorders>
          </w:tcPr>
          <w:p w14:paraId="6A8177CF" w14:textId="77777777" w:rsidR="004B26D4" w:rsidRPr="00CB32FE" w:rsidRDefault="004B26D4" w:rsidP="009106DB">
            <w:pPr>
              <w:jc w:val="center"/>
              <w:rPr>
                <w:sz w:val="20"/>
                <w:szCs w:val="20"/>
              </w:rPr>
            </w:pPr>
            <w:r w:rsidRPr="00CB32FE">
              <w:rPr>
                <w:sz w:val="20"/>
                <w:szCs w:val="20"/>
              </w:rPr>
              <w:t>Match 3</w:t>
            </w:r>
          </w:p>
        </w:tc>
        <w:tc>
          <w:tcPr>
            <w:tcW w:w="1238" w:type="dxa"/>
            <w:tcBorders>
              <w:bottom w:val="single" w:sz="4" w:space="0" w:color="auto"/>
            </w:tcBorders>
          </w:tcPr>
          <w:p w14:paraId="03DE2595" w14:textId="77777777" w:rsidR="004B26D4" w:rsidRPr="00CB32FE" w:rsidRDefault="004B26D4" w:rsidP="009106DB">
            <w:pPr>
              <w:jc w:val="center"/>
              <w:rPr>
                <w:sz w:val="20"/>
                <w:szCs w:val="20"/>
              </w:rPr>
            </w:pPr>
            <w:r w:rsidRPr="00CB32FE">
              <w:rPr>
                <w:sz w:val="20"/>
                <w:szCs w:val="20"/>
              </w:rPr>
              <w:t>Match</w:t>
            </w:r>
            <w:r>
              <w:rPr>
                <w:sz w:val="20"/>
                <w:szCs w:val="20"/>
              </w:rPr>
              <w:t xml:space="preserve"> 4</w:t>
            </w:r>
          </w:p>
        </w:tc>
      </w:tr>
      <w:tr w:rsidR="00A96214" w:rsidRPr="00CB32FE" w14:paraId="024043C2" w14:textId="77777777" w:rsidTr="004B26D4">
        <w:tc>
          <w:tcPr>
            <w:tcW w:w="4112" w:type="dxa"/>
            <w:tcBorders>
              <w:bottom w:val="nil"/>
            </w:tcBorders>
          </w:tcPr>
          <w:p w14:paraId="4E4213E3" w14:textId="77777777" w:rsidR="00A96214" w:rsidRPr="00CB32FE" w:rsidRDefault="00A96214" w:rsidP="00A96214">
            <w:pPr>
              <w:rPr>
                <w:sz w:val="20"/>
                <w:szCs w:val="20"/>
              </w:rPr>
            </w:pPr>
            <w:r w:rsidRPr="00CB32FE">
              <w:rPr>
                <w:sz w:val="20"/>
                <w:szCs w:val="20"/>
              </w:rPr>
              <w:t>Home region</w:t>
            </w:r>
          </w:p>
        </w:tc>
        <w:tc>
          <w:tcPr>
            <w:tcW w:w="1559" w:type="dxa"/>
            <w:tcBorders>
              <w:bottom w:val="nil"/>
            </w:tcBorders>
          </w:tcPr>
          <w:p w14:paraId="5801CD18" w14:textId="77777777" w:rsidR="00A96214" w:rsidRPr="00CB32FE" w:rsidRDefault="00A96214" w:rsidP="00A96214">
            <w:pPr>
              <w:jc w:val="center"/>
              <w:rPr>
                <w:sz w:val="20"/>
                <w:szCs w:val="20"/>
              </w:rPr>
            </w:pPr>
            <w:r>
              <w:rPr>
                <w:sz w:val="20"/>
                <w:szCs w:val="20"/>
              </w:rPr>
              <w:t>9 categories</w:t>
            </w:r>
          </w:p>
        </w:tc>
        <w:tc>
          <w:tcPr>
            <w:tcW w:w="1237" w:type="dxa"/>
            <w:tcBorders>
              <w:bottom w:val="nil"/>
            </w:tcBorders>
          </w:tcPr>
          <w:p w14:paraId="5826058F" w14:textId="77777777" w:rsidR="00A96214" w:rsidRPr="00CB32FE" w:rsidRDefault="00A96214" w:rsidP="00A96214">
            <w:pPr>
              <w:jc w:val="center"/>
              <w:rPr>
                <w:sz w:val="20"/>
                <w:szCs w:val="20"/>
              </w:rPr>
            </w:pPr>
            <w:r>
              <w:rPr>
                <w:sz w:val="20"/>
                <w:szCs w:val="20"/>
              </w:rPr>
              <w:t>9 categories</w:t>
            </w:r>
          </w:p>
        </w:tc>
        <w:tc>
          <w:tcPr>
            <w:tcW w:w="1237" w:type="dxa"/>
            <w:tcBorders>
              <w:bottom w:val="nil"/>
            </w:tcBorders>
          </w:tcPr>
          <w:p w14:paraId="45B011BF" w14:textId="77777777" w:rsidR="00A96214" w:rsidRDefault="00A96214" w:rsidP="00A96214">
            <w:pPr>
              <w:jc w:val="center"/>
            </w:pPr>
            <w:r w:rsidRPr="00947AF2">
              <w:rPr>
                <w:sz w:val="20"/>
                <w:szCs w:val="20"/>
              </w:rPr>
              <w:t>-</w:t>
            </w:r>
          </w:p>
        </w:tc>
        <w:tc>
          <w:tcPr>
            <w:tcW w:w="1238" w:type="dxa"/>
            <w:tcBorders>
              <w:bottom w:val="nil"/>
            </w:tcBorders>
          </w:tcPr>
          <w:p w14:paraId="0EA59B37" w14:textId="77777777" w:rsidR="00A96214" w:rsidRDefault="00A96214" w:rsidP="00A96214">
            <w:pPr>
              <w:jc w:val="center"/>
            </w:pPr>
            <w:r w:rsidRPr="00947AF2">
              <w:rPr>
                <w:sz w:val="20"/>
                <w:szCs w:val="20"/>
              </w:rPr>
              <w:t>-</w:t>
            </w:r>
          </w:p>
        </w:tc>
      </w:tr>
      <w:tr w:rsidR="004B26D4" w:rsidRPr="00CB32FE" w14:paraId="6D5698B7" w14:textId="77777777" w:rsidTr="004B26D4">
        <w:tc>
          <w:tcPr>
            <w:tcW w:w="4112" w:type="dxa"/>
            <w:tcBorders>
              <w:top w:val="nil"/>
              <w:bottom w:val="nil"/>
            </w:tcBorders>
          </w:tcPr>
          <w:p w14:paraId="7674147B" w14:textId="77777777" w:rsidR="004B26D4" w:rsidRPr="00CB32FE" w:rsidRDefault="004B26D4" w:rsidP="000870DA">
            <w:pPr>
              <w:rPr>
                <w:sz w:val="20"/>
                <w:szCs w:val="20"/>
              </w:rPr>
            </w:pPr>
            <w:r w:rsidRPr="00CB32FE">
              <w:rPr>
                <w:sz w:val="20"/>
                <w:szCs w:val="20"/>
              </w:rPr>
              <w:t>Urban/rural status</w:t>
            </w:r>
          </w:p>
        </w:tc>
        <w:tc>
          <w:tcPr>
            <w:tcW w:w="1559" w:type="dxa"/>
            <w:tcBorders>
              <w:top w:val="nil"/>
              <w:bottom w:val="nil"/>
            </w:tcBorders>
          </w:tcPr>
          <w:p w14:paraId="5E42BCED" w14:textId="77777777" w:rsidR="004B26D4" w:rsidRPr="00CB32FE" w:rsidRDefault="004B26D4" w:rsidP="000870DA">
            <w:pPr>
              <w:jc w:val="center"/>
              <w:rPr>
                <w:sz w:val="20"/>
                <w:szCs w:val="20"/>
              </w:rPr>
            </w:pPr>
            <w:r>
              <w:rPr>
                <w:sz w:val="20"/>
                <w:szCs w:val="20"/>
              </w:rPr>
              <w:t>Binary</w:t>
            </w:r>
          </w:p>
        </w:tc>
        <w:tc>
          <w:tcPr>
            <w:tcW w:w="1237" w:type="dxa"/>
            <w:tcBorders>
              <w:top w:val="nil"/>
              <w:bottom w:val="nil"/>
            </w:tcBorders>
          </w:tcPr>
          <w:p w14:paraId="4156C5CF" w14:textId="77777777" w:rsidR="004B26D4" w:rsidRPr="00CC1D6E" w:rsidRDefault="004B26D4" w:rsidP="000870DA">
            <w:pPr>
              <w:jc w:val="center"/>
              <w:rPr>
                <w:sz w:val="20"/>
                <w:szCs w:val="20"/>
              </w:rPr>
            </w:pPr>
            <w:r w:rsidRPr="00CC1D6E">
              <w:rPr>
                <w:sz w:val="20"/>
                <w:szCs w:val="20"/>
              </w:rPr>
              <w:t>Binary</w:t>
            </w:r>
          </w:p>
        </w:tc>
        <w:tc>
          <w:tcPr>
            <w:tcW w:w="1237" w:type="dxa"/>
            <w:tcBorders>
              <w:top w:val="nil"/>
              <w:bottom w:val="nil"/>
            </w:tcBorders>
          </w:tcPr>
          <w:p w14:paraId="38EF7DC0" w14:textId="77777777" w:rsidR="004B26D4" w:rsidRPr="00CC1D6E" w:rsidRDefault="00392EE9" w:rsidP="000870DA">
            <w:pPr>
              <w:jc w:val="center"/>
              <w:rPr>
                <w:sz w:val="20"/>
                <w:szCs w:val="20"/>
              </w:rPr>
            </w:pPr>
            <w:r w:rsidRPr="00CC1D6E">
              <w:rPr>
                <w:sz w:val="20"/>
                <w:szCs w:val="20"/>
              </w:rPr>
              <w:t>Binary</w:t>
            </w:r>
          </w:p>
        </w:tc>
        <w:tc>
          <w:tcPr>
            <w:tcW w:w="1238" w:type="dxa"/>
            <w:tcBorders>
              <w:top w:val="nil"/>
              <w:bottom w:val="nil"/>
            </w:tcBorders>
          </w:tcPr>
          <w:p w14:paraId="56B809A3" w14:textId="77777777" w:rsidR="004B26D4" w:rsidRPr="00CB32FE" w:rsidRDefault="004B26D4" w:rsidP="000870DA">
            <w:pPr>
              <w:jc w:val="center"/>
              <w:rPr>
                <w:sz w:val="20"/>
                <w:szCs w:val="20"/>
              </w:rPr>
            </w:pPr>
            <w:r>
              <w:rPr>
                <w:sz w:val="20"/>
                <w:szCs w:val="20"/>
              </w:rPr>
              <w:t>-</w:t>
            </w:r>
          </w:p>
        </w:tc>
      </w:tr>
      <w:tr w:rsidR="004B26D4" w:rsidRPr="00CB32FE" w14:paraId="5DABC715" w14:textId="77777777" w:rsidTr="004B26D4">
        <w:tc>
          <w:tcPr>
            <w:tcW w:w="4112" w:type="dxa"/>
            <w:tcBorders>
              <w:top w:val="nil"/>
              <w:bottom w:val="nil"/>
            </w:tcBorders>
          </w:tcPr>
          <w:p w14:paraId="2E2D90E7" w14:textId="77777777" w:rsidR="004B26D4" w:rsidRPr="00CB32FE" w:rsidRDefault="004B26D4" w:rsidP="000870DA">
            <w:pPr>
              <w:rPr>
                <w:sz w:val="20"/>
                <w:szCs w:val="20"/>
              </w:rPr>
            </w:pPr>
            <w:r w:rsidRPr="00CB32FE">
              <w:rPr>
                <w:sz w:val="20"/>
                <w:szCs w:val="20"/>
              </w:rPr>
              <w:t>Sex</w:t>
            </w:r>
          </w:p>
        </w:tc>
        <w:tc>
          <w:tcPr>
            <w:tcW w:w="1559" w:type="dxa"/>
            <w:tcBorders>
              <w:top w:val="nil"/>
              <w:bottom w:val="nil"/>
            </w:tcBorders>
          </w:tcPr>
          <w:p w14:paraId="251CC177" w14:textId="77777777" w:rsidR="004B26D4" w:rsidRPr="00CB32FE" w:rsidRDefault="004B26D4" w:rsidP="000870DA">
            <w:pPr>
              <w:jc w:val="center"/>
              <w:rPr>
                <w:sz w:val="20"/>
                <w:szCs w:val="20"/>
              </w:rPr>
            </w:pPr>
            <w:r>
              <w:rPr>
                <w:sz w:val="20"/>
                <w:szCs w:val="20"/>
              </w:rPr>
              <w:t>Binary</w:t>
            </w:r>
          </w:p>
        </w:tc>
        <w:tc>
          <w:tcPr>
            <w:tcW w:w="1237" w:type="dxa"/>
            <w:tcBorders>
              <w:top w:val="nil"/>
              <w:bottom w:val="nil"/>
            </w:tcBorders>
          </w:tcPr>
          <w:p w14:paraId="5B36BA03" w14:textId="77777777" w:rsidR="004B26D4" w:rsidRPr="00CC1D6E" w:rsidRDefault="004B26D4" w:rsidP="000870DA">
            <w:pPr>
              <w:jc w:val="center"/>
              <w:rPr>
                <w:sz w:val="20"/>
                <w:szCs w:val="20"/>
              </w:rPr>
            </w:pPr>
            <w:r w:rsidRPr="00CC1D6E">
              <w:rPr>
                <w:sz w:val="20"/>
                <w:szCs w:val="20"/>
              </w:rPr>
              <w:t>Binary</w:t>
            </w:r>
          </w:p>
        </w:tc>
        <w:tc>
          <w:tcPr>
            <w:tcW w:w="1237" w:type="dxa"/>
            <w:tcBorders>
              <w:top w:val="nil"/>
              <w:bottom w:val="nil"/>
            </w:tcBorders>
          </w:tcPr>
          <w:p w14:paraId="5D8ADF61" w14:textId="77777777" w:rsidR="004B26D4" w:rsidRPr="00CC1D6E" w:rsidRDefault="004B26D4" w:rsidP="000870DA">
            <w:pPr>
              <w:jc w:val="center"/>
              <w:rPr>
                <w:sz w:val="20"/>
                <w:szCs w:val="20"/>
              </w:rPr>
            </w:pPr>
            <w:r w:rsidRPr="00CC1D6E">
              <w:rPr>
                <w:sz w:val="20"/>
                <w:szCs w:val="20"/>
              </w:rPr>
              <w:t>Binary</w:t>
            </w:r>
          </w:p>
        </w:tc>
        <w:tc>
          <w:tcPr>
            <w:tcW w:w="1238" w:type="dxa"/>
            <w:tcBorders>
              <w:top w:val="nil"/>
              <w:bottom w:val="nil"/>
            </w:tcBorders>
          </w:tcPr>
          <w:p w14:paraId="33A8615C" w14:textId="77777777" w:rsidR="004B26D4" w:rsidRPr="00CB32FE" w:rsidRDefault="004B26D4" w:rsidP="000870DA">
            <w:pPr>
              <w:jc w:val="center"/>
              <w:rPr>
                <w:sz w:val="20"/>
                <w:szCs w:val="20"/>
              </w:rPr>
            </w:pPr>
            <w:r>
              <w:rPr>
                <w:sz w:val="20"/>
                <w:szCs w:val="20"/>
              </w:rPr>
              <w:t>-</w:t>
            </w:r>
          </w:p>
        </w:tc>
      </w:tr>
      <w:tr w:rsidR="004B26D4" w:rsidRPr="00CB32FE" w14:paraId="53652B0A" w14:textId="77777777" w:rsidTr="004B26D4">
        <w:tc>
          <w:tcPr>
            <w:tcW w:w="4112" w:type="dxa"/>
            <w:tcBorders>
              <w:top w:val="nil"/>
              <w:bottom w:val="nil"/>
            </w:tcBorders>
          </w:tcPr>
          <w:p w14:paraId="22016778" w14:textId="77777777" w:rsidR="004B26D4" w:rsidRPr="00CB32FE" w:rsidRDefault="004B26D4" w:rsidP="00FB43A0">
            <w:pPr>
              <w:rPr>
                <w:sz w:val="20"/>
                <w:szCs w:val="20"/>
              </w:rPr>
            </w:pPr>
            <w:r w:rsidRPr="00CB32FE">
              <w:rPr>
                <w:sz w:val="20"/>
                <w:szCs w:val="20"/>
              </w:rPr>
              <w:t>Age category</w:t>
            </w:r>
          </w:p>
        </w:tc>
        <w:tc>
          <w:tcPr>
            <w:tcW w:w="1559" w:type="dxa"/>
            <w:tcBorders>
              <w:top w:val="nil"/>
              <w:bottom w:val="nil"/>
            </w:tcBorders>
          </w:tcPr>
          <w:p w14:paraId="2AEB1D38" w14:textId="77777777" w:rsidR="004B26D4" w:rsidRPr="00CB32FE" w:rsidRDefault="004B26D4" w:rsidP="00FB43A0">
            <w:pPr>
              <w:jc w:val="center"/>
              <w:rPr>
                <w:sz w:val="20"/>
                <w:szCs w:val="20"/>
              </w:rPr>
            </w:pPr>
            <w:r>
              <w:rPr>
                <w:sz w:val="20"/>
                <w:szCs w:val="20"/>
              </w:rPr>
              <w:t>6 categories</w:t>
            </w:r>
          </w:p>
        </w:tc>
        <w:tc>
          <w:tcPr>
            <w:tcW w:w="1237" w:type="dxa"/>
            <w:tcBorders>
              <w:top w:val="nil"/>
              <w:bottom w:val="nil"/>
            </w:tcBorders>
          </w:tcPr>
          <w:p w14:paraId="18CCB0C8" w14:textId="77777777" w:rsidR="004B26D4" w:rsidRPr="00CB32FE" w:rsidRDefault="00413FA7" w:rsidP="00FB43A0">
            <w:pPr>
              <w:jc w:val="center"/>
              <w:rPr>
                <w:sz w:val="20"/>
                <w:szCs w:val="20"/>
              </w:rPr>
            </w:pPr>
            <w:r>
              <w:rPr>
                <w:sz w:val="20"/>
                <w:szCs w:val="20"/>
              </w:rPr>
              <w:t>6</w:t>
            </w:r>
            <w:r w:rsidR="004B26D4">
              <w:rPr>
                <w:sz w:val="20"/>
                <w:szCs w:val="20"/>
              </w:rPr>
              <w:t xml:space="preserve"> categories</w:t>
            </w:r>
          </w:p>
        </w:tc>
        <w:tc>
          <w:tcPr>
            <w:tcW w:w="1237" w:type="dxa"/>
            <w:tcBorders>
              <w:top w:val="nil"/>
              <w:bottom w:val="nil"/>
            </w:tcBorders>
          </w:tcPr>
          <w:p w14:paraId="7FA6AE69" w14:textId="77777777" w:rsidR="004B26D4" w:rsidRPr="00CB32FE" w:rsidRDefault="00413FA7" w:rsidP="00FB43A0">
            <w:pPr>
              <w:jc w:val="center"/>
              <w:rPr>
                <w:sz w:val="20"/>
                <w:szCs w:val="20"/>
              </w:rPr>
            </w:pPr>
            <w:r>
              <w:rPr>
                <w:sz w:val="20"/>
                <w:szCs w:val="20"/>
              </w:rPr>
              <w:t>6</w:t>
            </w:r>
            <w:r w:rsidR="004B26D4">
              <w:rPr>
                <w:sz w:val="20"/>
                <w:szCs w:val="20"/>
              </w:rPr>
              <w:t xml:space="preserve"> categories</w:t>
            </w:r>
          </w:p>
        </w:tc>
        <w:tc>
          <w:tcPr>
            <w:tcW w:w="1238" w:type="dxa"/>
            <w:tcBorders>
              <w:top w:val="nil"/>
              <w:bottom w:val="nil"/>
            </w:tcBorders>
          </w:tcPr>
          <w:p w14:paraId="387DF678" w14:textId="77777777" w:rsidR="004B26D4" w:rsidRPr="00CB32FE" w:rsidRDefault="00413FA7" w:rsidP="00FB43A0">
            <w:pPr>
              <w:jc w:val="center"/>
              <w:rPr>
                <w:sz w:val="20"/>
                <w:szCs w:val="20"/>
              </w:rPr>
            </w:pPr>
            <w:r>
              <w:rPr>
                <w:sz w:val="20"/>
                <w:szCs w:val="20"/>
              </w:rPr>
              <w:t>5</w:t>
            </w:r>
            <w:r w:rsidR="004B26D4">
              <w:rPr>
                <w:sz w:val="20"/>
                <w:szCs w:val="20"/>
              </w:rPr>
              <w:t xml:space="preserve"> categories</w:t>
            </w:r>
          </w:p>
        </w:tc>
      </w:tr>
      <w:tr w:rsidR="004B26D4" w:rsidRPr="00CB32FE" w14:paraId="61627CFD" w14:textId="77777777" w:rsidTr="004B26D4">
        <w:tc>
          <w:tcPr>
            <w:tcW w:w="4112" w:type="dxa"/>
            <w:tcBorders>
              <w:top w:val="nil"/>
              <w:bottom w:val="nil"/>
            </w:tcBorders>
          </w:tcPr>
          <w:p w14:paraId="6B31097A" w14:textId="77777777" w:rsidR="004B26D4" w:rsidRPr="00CB32FE" w:rsidRDefault="004B26D4" w:rsidP="00FB43A0">
            <w:pPr>
              <w:rPr>
                <w:sz w:val="20"/>
                <w:szCs w:val="20"/>
              </w:rPr>
            </w:pPr>
            <w:r w:rsidRPr="00CB32FE">
              <w:rPr>
                <w:sz w:val="20"/>
                <w:szCs w:val="20"/>
              </w:rPr>
              <w:t>Commuters/non-commuter</w:t>
            </w:r>
          </w:p>
        </w:tc>
        <w:tc>
          <w:tcPr>
            <w:tcW w:w="1559" w:type="dxa"/>
            <w:tcBorders>
              <w:top w:val="nil"/>
              <w:bottom w:val="nil"/>
            </w:tcBorders>
          </w:tcPr>
          <w:p w14:paraId="53458E45" w14:textId="77777777" w:rsidR="004B26D4" w:rsidRPr="00CB32FE" w:rsidRDefault="004B26D4" w:rsidP="00FB43A0">
            <w:pPr>
              <w:jc w:val="center"/>
              <w:rPr>
                <w:sz w:val="20"/>
                <w:szCs w:val="20"/>
              </w:rPr>
            </w:pPr>
            <w:r>
              <w:rPr>
                <w:sz w:val="20"/>
                <w:szCs w:val="20"/>
              </w:rPr>
              <w:t>Binary</w:t>
            </w:r>
          </w:p>
        </w:tc>
        <w:tc>
          <w:tcPr>
            <w:tcW w:w="1237" w:type="dxa"/>
            <w:tcBorders>
              <w:top w:val="nil"/>
              <w:bottom w:val="nil"/>
            </w:tcBorders>
          </w:tcPr>
          <w:p w14:paraId="2E6FDE22" w14:textId="77777777" w:rsidR="004B26D4" w:rsidRPr="00CB32FE" w:rsidRDefault="004B26D4" w:rsidP="00FB43A0">
            <w:pPr>
              <w:jc w:val="center"/>
              <w:rPr>
                <w:sz w:val="20"/>
                <w:szCs w:val="20"/>
              </w:rPr>
            </w:pPr>
            <w:r>
              <w:rPr>
                <w:sz w:val="20"/>
                <w:szCs w:val="20"/>
              </w:rPr>
              <w:t>Binary</w:t>
            </w:r>
          </w:p>
        </w:tc>
        <w:tc>
          <w:tcPr>
            <w:tcW w:w="1237" w:type="dxa"/>
            <w:tcBorders>
              <w:top w:val="nil"/>
              <w:bottom w:val="nil"/>
            </w:tcBorders>
          </w:tcPr>
          <w:p w14:paraId="14A99BDD" w14:textId="77777777" w:rsidR="004B26D4" w:rsidRPr="00CB32FE" w:rsidRDefault="004B26D4" w:rsidP="00FB43A0">
            <w:pPr>
              <w:jc w:val="center"/>
              <w:rPr>
                <w:sz w:val="20"/>
                <w:szCs w:val="20"/>
              </w:rPr>
            </w:pPr>
            <w:r>
              <w:rPr>
                <w:sz w:val="20"/>
                <w:szCs w:val="20"/>
              </w:rPr>
              <w:t>Binary</w:t>
            </w:r>
          </w:p>
        </w:tc>
        <w:tc>
          <w:tcPr>
            <w:tcW w:w="1238" w:type="dxa"/>
            <w:tcBorders>
              <w:top w:val="nil"/>
              <w:bottom w:val="nil"/>
            </w:tcBorders>
          </w:tcPr>
          <w:p w14:paraId="49CD3B23" w14:textId="77777777" w:rsidR="004B26D4" w:rsidRPr="00CB32FE" w:rsidRDefault="004B26D4" w:rsidP="00FB43A0">
            <w:pPr>
              <w:jc w:val="center"/>
              <w:rPr>
                <w:sz w:val="20"/>
                <w:szCs w:val="20"/>
              </w:rPr>
            </w:pPr>
            <w:r>
              <w:rPr>
                <w:sz w:val="20"/>
                <w:szCs w:val="20"/>
              </w:rPr>
              <w:t>Binary</w:t>
            </w:r>
          </w:p>
        </w:tc>
      </w:tr>
      <w:tr w:rsidR="00A96214" w:rsidRPr="00CB32FE" w14:paraId="06EDCF57" w14:textId="77777777" w:rsidTr="004B26D4">
        <w:tc>
          <w:tcPr>
            <w:tcW w:w="4112" w:type="dxa"/>
            <w:tcBorders>
              <w:top w:val="nil"/>
              <w:bottom w:val="nil"/>
            </w:tcBorders>
          </w:tcPr>
          <w:p w14:paraId="1A61D67F" w14:textId="77777777" w:rsidR="00A96214" w:rsidRPr="00CB32FE" w:rsidRDefault="00A96214" w:rsidP="00A96214">
            <w:pPr>
              <w:rPr>
                <w:sz w:val="20"/>
                <w:szCs w:val="20"/>
              </w:rPr>
            </w:pPr>
            <w:r w:rsidRPr="00CB32FE">
              <w:rPr>
                <w:sz w:val="20"/>
                <w:szCs w:val="20"/>
              </w:rPr>
              <w:t>Car ownership</w:t>
            </w:r>
            <w:r>
              <w:rPr>
                <w:sz w:val="20"/>
                <w:szCs w:val="20"/>
              </w:rPr>
              <w:t xml:space="preserve"> (any/none)</w:t>
            </w:r>
          </w:p>
        </w:tc>
        <w:tc>
          <w:tcPr>
            <w:tcW w:w="1559" w:type="dxa"/>
            <w:tcBorders>
              <w:top w:val="nil"/>
              <w:bottom w:val="nil"/>
            </w:tcBorders>
          </w:tcPr>
          <w:p w14:paraId="366E7EC9" w14:textId="77777777" w:rsidR="00A96214" w:rsidRPr="00CB32FE" w:rsidRDefault="00A96214" w:rsidP="00A96214">
            <w:pPr>
              <w:jc w:val="center"/>
              <w:rPr>
                <w:sz w:val="20"/>
                <w:szCs w:val="20"/>
              </w:rPr>
            </w:pPr>
            <w:r>
              <w:rPr>
                <w:sz w:val="20"/>
                <w:szCs w:val="20"/>
              </w:rPr>
              <w:t>Binary</w:t>
            </w:r>
          </w:p>
        </w:tc>
        <w:tc>
          <w:tcPr>
            <w:tcW w:w="1237" w:type="dxa"/>
            <w:tcBorders>
              <w:top w:val="nil"/>
              <w:bottom w:val="nil"/>
            </w:tcBorders>
          </w:tcPr>
          <w:p w14:paraId="4802A4C9" w14:textId="77777777" w:rsidR="00A96214" w:rsidRPr="00CB32FE" w:rsidRDefault="00A96214" w:rsidP="00A96214">
            <w:pPr>
              <w:jc w:val="center"/>
              <w:rPr>
                <w:sz w:val="20"/>
                <w:szCs w:val="20"/>
              </w:rPr>
            </w:pPr>
            <w:r>
              <w:rPr>
                <w:sz w:val="20"/>
                <w:szCs w:val="20"/>
              </w:rPr>
              <w:t>Binary</w:t>
            </w:r>
          </w:p>
        </w:tc>
        <w:tc>
          <w:tcPr>
            <w:tcW w:w="1237" w:type="dxa"/>
            <w:tcBorders>
              <w:top w:val="nil"/>
              <w:bottom w:val="nil"/>
            </w:tcBorders>
          </w:tcPr>
          <w:p w14:paraId="28787C9A" w14:textId="77777777" w:rsidR="00A96214" w:rsidRPr="00CB32FE" w:rsidRDefault="00A96214" w:rsidP="00A96214">
            <w:pPr>
              <w:jc w:val="center"/>
              <w:rPr>
                <w:sz w:val="20"/>
                <w:szCs w:val="20"/>
              </w:rPr>
            </w:pPr>
            <w:r>
              <w:rPr>
                <w:sz w:val="20"/>
                <w:szCs w:val="20"/>
              </w:rPr>
              <w:t>Binary</w:t>
            </w:r>
          </w:p>
        </w:tc>
        <w:tc>
          <w:tcPr>
            <w:tcW w:w="1238" w:type="dxa"/>
            <w:tcBorders>
              <w:top w:val="nil"/>
              <w:bottom w:val="nil"/>
            </w:tcBorders>
          </w:tcPr>
          <w:p w14:paraId="3150E1A9" w14:textId="77777777" w:rsidR="00A96214" w:rsidRPr="00CB32FE" w:rsidRDefault="00A96214" w:rsidP="00A96214">
            <w:pPr>
              <w:jc w:val="center"/>
              <w:rPr>
                <w:sz w:val="20"/>
                <w:szCs w:val="20"/>
              </w:rPr>
            </w:pPr>
            <w:r>
              <w:rPr>
                <w:sz w:val="20"/>
                <w:szCs w:val="20"/>
              </w:rPr>
              <w:t>-</w:t>
            </w:r>
          </w:p>
        </w:tc>
      </w:tr>
      <w:tr w:rsidR="00A96214" w:rsidRPr="00647DC7" w14:paraId="150AD110" w14:textId="77777777" w:rsidTr="004B26D4">
        <w:tc>
          <w:tcPr>
            <w:tcW w:w="4112" w:type="dxa"/>
            <w:tcBorders>
              <w:top w:val="nil"/>
              <w:bottom w:val="nil"/>
            </w:tcBorders>
          </w:tcPr>
          <w:p w14:paraId="6C37DFE5" w14:textId="77777777" w:rsidR="00A96214" w:rsidRPr="00647DC7" w:rsidRDefault="00A96214" w:rsidP="00A96214">
            <w:pPr>
              <w:rPr>
                <w:sz w:val="20"/>
                <w:szCs w:val="20"/>
              </w:rPr>
            </w:pPr>
            <w:r w:rsidRPr="00647DC7">
              <w:rPr>
                <w:sz w:val="20"/>
                <w:szCs w:val="20"/>
              </w:rPr>
              <w:t>Ethnicity (</w:t>
            </w:r>
            <w:r>
              <w:rPr>
                <w:sz w:val="20"/>
                <w:szCs w:val="20"/>
              </w:rPr>
              <w:t>w</w:t>
            </w:r>
            <w:r w:rsidRPr="00647DC7">
              <w:rPr>
                <w:sz w:val="20"/>
                <w:szCs w:val="20"/>
              </w:rPr>
              <w:t>hite/non-white)</w:t>
            </w:r>
          </w:p>
        </w:tc>
        <w:tc>
          <w:tcPr>
            <w:tcW w:w="1559" w:type="dxa"/>
            <w:tcBorders>
              <w:top w:val="nil"/>
              <w:bottom w:val="nil"/>
            </w:tcBorders>
          </w:tcPr>
          <w:p w14:paraId="3695433C" w14:textId="77777777" w:rsidR="00A96214" w:rsidRPr="00647DC7" w:rsidRDefault="00A96214" w:rsidP="00A96214">
            <w:pPr>
              <w:jc w:val="center"/>
              <w:rPr>
                <w:sz w:val="20"/>
                <w:szCs w:val="20"/>
              </w:rPr>
            </w:pPr>
            <w:r w:rsidRPr="00647DC7">
              <w:rPr>
                <w:sz w:val="20"/>
                <w:szCs w:val="20"/>
              </w:rPr>
              <w:t>Binary</w:t>
            </w:r>
          </w:p>
        </w:tc>
        <w:tc>
          <w:tcPr>
            <w:tcW w:w="1237" w:type="dxa"/>
            <w:tcBorders>
              <w:top w:val="nil"/>
              <w:bottom w:val="nil"/>
            </w:tcBorders>
          </w:tcPr>
          <w:p w14:paraId="17413622" w14:textId="77777777" w:rsidR="00A96214" w:rsidRPr="00647DC7" w:rsidRDefault="00A96214" w:rsidP="00A96214">
            <w:pPr>
              <w:jc w:val="center"/>
              <w:rPr>
                <w:sz w:val="20"/>
                <w:szCs w:val="20"/>
              </w:rPr>
            </w:pPr>
            <w:r w:rsidRPr="00647DC7">
              <w:rPr>
                <w:sz w:val="20"/>
                <w:szCs w:val="20"/>
              </w:rPr>
              <w:t>Binary</w:t>
            </w:r>
          </w:p>
        </w:tc>
        <w:tc>
          <w:tcPr>
            <w:tcW w:w="1237" w:type="dxa"/>
            <w:tcBorders>
              <w:top w:val="nil"/>
              <w:bottom w:val="nil"/>
            </w:tcBorders>
          </w:tcPr>
          <w:p w14:paraId="3BC667F4" w14:textId="77777777" w:rsidR="00A96214" w:rsidRPr="00647DC7" w:rsidRDefault="00A96214" w:rsidP="00A96214">
            <w:pPr>
              <w:jc w:val="center"/>
              <w:rPr>
                <w:sz w:val="20"/>
                <w:szCs w:val="20"/>
              </w:rPr>
            </w:pPr>
            <w:r w:rsidRPr="00647DC7">
              <w:rPr>
                <w:sz w:val="20"/>
                <w:szCs w:val="20"/>
              </w:rPr>
              <w:t>Binary</w:t>
            </w:r>
          </w:p>
        </w:tc>
        <w:tc>
          <w:tcPr>
            <w:tcW w:w="1238" w:type="dxa"/>
            <w:tcBorders>
              <w:top w:val="nil"/>
              <w:bottom w:val="nil"/>
            </w:tcBorders>
          </w:tcPr>
          <w:p w14:paraId="458EDEEC" w14:textId="77777777" w:rsidR="00A96214" w:rsidRPr="00647DC7" w:rsidRDefault="00A96214" w:rsidP="00A96214">
            <w:pPr>
              <w:jc w:val="center"/>
              <w:rPr>
                <w:sz w:val="20"/>
                <w:szCs w:val="20"/>
              </w:rPr>
            </w:pPr>
            <w:r w:rsidRPr="00647DC7">
              <w:rPr>
                <w:sz w:val="20"/>
                <w:szCs w:val="20"/>
              </w:rPr>
              <w:t>-</w:t>
            </w:r>
          </w:p>
        </w:tc>
      </w:tr>
      <w:tr w:rsidR="004B26D4" w:rsidRPr="00647DC7" w14:paraId="04BFC1D0" w14:textId="77777777" w:rsidTr="004B26D4">
        <w:tc>
          <w:tcPr>
            <w:tcW w:w="4112" w:type="dxa"/>
            <w:tcBorders>
              <w:top w:val="nil"/>
              <w:bottom w:val="nil"/>
            </w:tcBorders>
          </w:tcPr>
          <w:p w14:paraId="5B0317AC" w14:textId="77777777" w:rsidR="004B26D4" w:rsidRPr="00647DC7" w:rsidRDefault="004B26D4" w:rsidP="00FB43A0">
            <w:pPr>
              <w:rPr>
                <w:sz w:val="20"/>
                <w:szCs w:val="20"/>
              </w:rPr>
            </w:pPr>
            <w:r w:rsidRPr="00647DC7">
              <w:rPr>
                <w:sz w:val="20"/>
                <w:szCs w:val="20"/>
              </w:rPr>
              <w:t>Commute main mode among commuters</w:t>
            </w:r>
          </w:p>
        </w:tc>
        <w:tc>
          <w:tcPr>
            <w:tcW w:w="1559" w:type="dxa"/>
            <w:tcBorders>
              <w:top w:val="nil"/>
              <w:bottom w:val="nil"/>
            </w:tcBorders>
          </w:tcPr>
          <w:p w14:paraId="20AFF88E" w14:textId="77777777" w:rsidR="004B26D4" w:rsidRPr="00647DC7" w:rsidRDefault="004B26D4" w:rsidP="00FB43A0">
            <w:pPr>
              <w:jc w:val="center"/>
              <w:rPr>
                <w:sz w:val="20"/>
                <w:szCs w:val="20"/>
              </w:rPr>
            </w:pPr>
            <w:r w:rsidRPr="00647DC7">
              <w:rPr>
                <w:sz w:val="20"/>
                <w:szCs w:val="20"/>
              </w:rPr>
              <w:t>9 categories</w:t>
            </w:r>
          </w:p>
        </w:tc>
        <w:tc>
          <w:tcPr>
            <w:tcW w:w="1237" w:type="dxa"/>
            <w:tcBorders>
              <w:top w:val="nil"/>
              <w:bottom w:val="nil"/>
            </w:tcBorders>
          </w:tcPr>
          <w:p w14:paraId="19DF159D" w14:textId="77777777" w:rsidR="004B26D4" w:rsidRPr="00647DC7" w:rsidRDefault="004B26D4" w:rsidP="00FB43A0">
            <w:pPr>
              <w:jc w:val="center"/>
              <w:rPr>
                <w:sz w:val="20"/>
                <w:szCs w:val="20"/>
              </w:rPr>
            </w:pPr>
            <w:r w:rsidRPr="00647DC7">
              <w:rPr>
                <w:sz w:val="20"/>
                <w:szCs w:val="20"/>
              </w:rPr>
              <w:t>5 categories</w:t>
            </w:r>
          </w:p>
        </w:tc>
        <w:tc>
          <w:tcPr>
            <w:tcW w:w="1237" w:type="dxa"/>
            <w:tcBorders>
              <w:top w:val="nil"/>
              <w:bottom w:val="nil"/>
            </w:tcBorders>
          </w:tcPr>
          <w:p w14:paraId="1E4CDA17" w14:textId="77777777" w:rsidR="004B26D4" w:rsidRPr="00647DC7" w:rsidRDefault="004B26D4" w:rsidP="00FB43A0">
            <w:pPr>
              <w:jc w:val="center"/>
              <w:rPr>
                <w:sz w:val="20"/>
                <w:szCs w:val="20"/>
              </w:rPr>
            </w:pPr>
            <w:r w:rsidRPr="00647DC7">
              <w:rPr>
                <w:sz w:val="20"/>
                <w:szCs w:val="20"/>
              </w:rPr>
              <w:t>5 categories</w:t>
            </w:r>
          </w:p>
        </w:tc>
        <w:tc>
          <w:tcPr>
            <w:tcW w:w="1238" w:type="dxa"/>
            <w:tcBorders>
              <w:top w:val="nil"/>
              <w:bottom w:val="nil"/>
            </w:tcBorders>
          </w:tcPr>
          <w:p w14:paraId="055764B9" w14:textId="77777777" w:rsidR="004B26D4" w:rsidRPr="00647DC7" w:rsidRDefault="004B26D4" w:rsidP="00FB43A0">
            <w:pPr>
              <w:jc w:val="center"/>
              <w:rPr>
                <w:sz w:val="20"/>
                <w:szCs w:val="20"/>
              </w:rPr>
            </w:pPr>
            <w:r w:rsidRPr="00647DC7">
              <w:rPr>
                <w:sz w:val="20"/>
                <w:szCs w:val="20"/>
              </w:rPr>
              <w:t>5 categories</w:t>
            </w:r>
          </w:p>
        </w:tc>
      </w:tr>
      <w:tr w:rsidR="00D677A8" w:rsidRPr="00647DC7" w14:paraId="34430B65" w14:textId="77777777" w:rsidTr="005A22F2">
        <w:trPr>
          <w:trHeight w:val="157"/>
        </w:trPr>
        <w:tc>
          <w:tcPr>
            <w:tcW w:w="4112" w:type="dxa"/>
            <w:tcBorders>
              <w:top w:val="nil"/>
              <w:bottom w:val="nil"/>
            </w:tcBorders>
          </w:tcPr>
          <w:p w14:paraId="4B7AE94E" w14:textId="77777777" w:rsidR="00D677A8" w:rsidRPr="00647DC7" w:rsidRDefault="00D677A8" w:rsidP="00D677A8">
            <w:pPr>
              <w:rPr>
                <w:sz w:val="20"/>
                <w:szCs w:val="20"/>
              </w:rPr>
            </w:pPr>
            <w:r w:rsidRPr="00647DC7">
              <w:rPr>
                <w:sz w:val="20"/>
                <w:szCs w:val="20"/>
              </w:rPr>
              <w:t>Commute distance among commuters</w:t>
            </w:r>
          </w:p>
        </w:tc>
        <w:tc>
          <w:tcPr>
            <w:tcW w:w="1559" w:type="dxa"/>
            <w:tcBorders>
              <w:top w:val="nil"/>
              <w:bottom w:val="nil"/>
            </w:tcBorders>
          </w:tcPr>
          <w:p w14:paraId="45553DA3" w14:textId="77777777" w:rsidR="00D677A8" w:rsidRPr="00647DC7" w:rsidRDefault="005A22F2" w:rsidP="00D677A8">
            <w:pPr>
              <w:jc w:val="center"/>
              <w:rPr>
                <w:sz w:val="20"/>
                <w:szCs w:val="20"/>
              </w:rPr>
            </w:pPr>
            <w:r>
              <w:rPr>
                <w:sz w:val="20"/>
                <w:szCs w:val="20"/>
              </w:rPr>
              <w:t>11</w:t>
            </w:r>
            <w:r w:rsidR="00D677A8" w:rsidRPr="00647DC7">
              <w:rPr>
                <w:sz w:val="20"/>
                <w:szCs w:val="20"/>
              </w:rPr>
              <w:t xml:space="preserve"> categories</w:t>
            </w:r>
          </w:p>
        </w:tc>
        <w:tc>
          <w:tcPr>
            <w:tcW w:w="1237" w:type="dxa"/>
            <w:tcBorders>
              <w:top w:val="nil"/>
              <w:bottom w:val="nil"/>
            </w:tcBorders>
          </w:tcPr>
          <w:p w14:paraId="722A6A0F" w14:textId="77777777" w:rsidR="00D677A8" w:rsidRPr="00647DC7" w:rsidRDefault="005A22F2" w:rsidP="00D677A8">
            <w:pPr>
              <w:jc w:val="center"/>
              <w:rPr>
                <w:sz w:val="20"/>
                <w:szCs w:val="20"/>
              </w:rPr>
            </w:pPr>
            <w:r w:rsidRPr="00647DC7">
              <w:rPr>
                <w:sz w:val="20"/>
                <w:szCs w:val="20"/>
              </w:rPr>
              <w:t>6 categories</w:t>
            </w:r>
          </w:p>
        </w:tc>
        <w:tc>
          <w:tcPr>
            <w:tcW w:w="1237" w:type="dxa"/>
            <w:tcBorders>
              <w:top w:val="nil"/>
              <w:bottom w:val="nil"/>
            </w:tcBorders>
          </w:tcPr>
          <w:p w14:paraId="6033A51A" w14:textId="77777777" w:rsidR="00D677A8" w:rsidRPr="00647DC7" w:rsidRDefault="00D677A8" w:rsidP="00D677A8">
            <w:pPr>
              <w:jc w:val="center"/>
              <w:rPr>
                <w:sz w:val="20"/>
                <w:szCs w:val="20"/>
              </w:rPr>
            </w:pPr>
            <w:r w:rsidRPr="00647DC7">
              <w:rPr>
                <w:sz w:val="20"/>
                <w:szCs w:val="20"/>
              </w:rPr>
              <w:t>-</w:t>
            </w:r>
          </w:p>
        </w:tc>
        <w:tc>
          <w:tcPr>
            <w:tcW w:w="1238" w:type="dxa"/>
            <w:tcBorders>
              <w:top w:val="nil"/>
              <w:bottom w:val="nil"/>
            </w:tcBorders>
          </w:tcPr>
          <w:p w14:paraId="3851C6C3" w14:textId="77777777" w:rsidR="00D677A8" w:rsidRPr="00647DC7" w:rsidRDefault="00D677A8" w:rsidP="00D677A8">
            <w:pPr>
              <w:jc w:val="center"/>
              <w:rPr>
                <w:sz w:val="20"/>
                <w:szCs w:val="20"/>
              </w:rPr>
            </w:pPr>
            <w:r w:rsidRPr="00647DC7">
              <w:rPr>
                <w:sz w:val="20"/>
                <w:szCs w:val="20"/>
              </w:rPr>
              <w:t>-</w:t>
            </w:r>
          </w:p>
        </w:tc>
      </w:tr>
      <w:tr w:rsidR="00A96214" w:rsidRPr="00647DC7" w14:paraId="79E8CF52" w14:textId="77777777" w:rsidTr="004B26D4">
        <w:tc>
          <w:tcPr>
            <w:tcW w:w="4112" w:type="dxa"/>
            <w:tcBorders>
              <w:top w:val="nil"/>
              <w:bottom w:val="nil"/>
            </w:tcBorders>
          </w:tcPr>
          <w:p w14:paraId="0B18F265" w14:textId="77777777" w:rsidR="00A96214" w:rsidRPr="00647DC7" w:rsidRDefault="00A96214" w:rsidP="00A96214">
            <w:pPr>
              <w:rPr>
                <w:sz w:val="20"/>
                <w:szCs w:val="20"/>
              </w:rPr>
            </w:pPr>
            <w:r>
              <w:rPr>
                <w:sz w:val="20"/>
                <w:szCs w:val="20"/>
              </w:rPr>
              <w:t>LSOA % cycle commute among non-commuters</w:t>
            </w:r>
          </w:p>
        </w:tc>
        <w:tc>
          <w:tcPr>
            <w:tcW w:w="1559" w:type="dxa"/>
            <w:tcBorders>
              <w:top w:val="nil"/>
              <w:bottom w:val="nil"/>
            </w:tcBorders>
          </w:tcPr>
          <w:p w14:paraId="5717B1DB" w14:textId="77777777" w:rsidR="00A96214" w:rsidRPr="00647DC7" w:rsidRDefault="00A96214" w:rsidP="00A96214">
            <w:pPr>
              <w:jc w:val="center"/>
              <w:rPr>
                <w:sz w:val="20"/>
                <w:szCs w:val="20"/>
              </w:rPr>
            </w:pPr>
            <w:r>
              <w:rPr>
                <w:sz w:val="20"/>
                <w:szCs w:val="20"/>
              </w:rPr>
              <w:t>3 categories</w:t>
            </w:r>
          </w:p>
        </w:tc>
        <w:tc>
          <w:tcPr>
            <w:tcW w:w="1237" w:type="dxa"/>
            <w:tcBorders>
              <w:top w:val="nil"/>
              <w:bottom w:val="nil"/>
            </w:tcBorders>
          </w:tcPr>
          <w:p w14:paraId="430EFBFF" w14:textId="77777777" w:rsidR="00A96214" w:rsidRPr="00647DC7" w:rsidRDefault="00A96214" w:rsidP="00A96214">
            <w:pPr>
              <w:jc w:val="center"/>
              <w:rPr>
                <w:sz w:val="20"/>
                <w:szCs w:val="20"/>
              </w:rPr>
            </w:pPr>
            <w:r>
              <w:rPr>
                <w:sz w:val="20"/>
                <w:szCs w:val="20"/>
              </w:rPr>
              <w:t>3 categories</w:t>
            </w:r>
          </w:p>
        </w:tc>
        <w:tc>
          <w:tcPr>
            <w:tcW w:w="1237" w:type="dxa"/>
            <w:tcBorders>
              <w:top w:val="nil"/>
              <w:bottom w:val="nil"/>
            </w:tcBorders>
          </w:tcPr>
          <w:p w14:paraId="30E62C85" w14:textId="77777777" w:rsidR="00A96214" w:rsidRPr="00647DC7" w:rsidRDefault="00A96214" w:rsidP="00A96214">
            <w:pPr>
              <w:jc w:val="center"/>
              <w:rPr>
                <w:sz w:val="20"/>
                <w:szCs w:val="20"/>
              </w:rPr>
            </w:pPr>
            <w:r>
              <w:rPr>
                <w:sz w:val="20"/>
                <w:szCs w:val="20"/>
              </w:rPr>
              <w:t>3 categories</w:t>
            </w:r>
          </w:p>
        </w:tc>
        <w:tc>
          <w:tcPr>
            <w:tcW w:w="1238" w:type="dxa"/>
            <w:tcBorders>
              <w:top w:val="nil"/>
              <w:bottom w:val="nil"/>
            </w:tcBorders>
          </w:tcPr>
          <w:p w14:paraId="0946BDB7" w14:textId="77777777" w:rsidR="00A96214" w:rsidRDefault="00A96214" w:rsidP="00A96214">
            <w:pPr>
              <w:jc w:val="center"/>
            </w:pPr>
            <w:r w:rsidRPr="008D61B9">
              <w:rPr>
                <w:sz w:val="20"/>
                <w:szCs w:val="20"/>
              </w:rPr>
              <w:t>Binary</w:t>
            </w:r>
          </w:p>
        </w:tc>
      </w:tr>
      <w:tr w:rsidR="00A96214" w:rsidRPr="00647DC7" w14:paraId="41EFACE0" w14:textId="77777777" w:rsidTr="004B26D4">
        <w:tc>
          <w:tcPr>
            <w:tcW w:w="4112" w:type="dxa"/>
            <w:tcBorders>
              <w:top w:val="nil"/>
              <w:bottom w:val="nil"/>
            </w:tcBorders>
          </w:tcPr>
          <w:p w14:paraId="736685AE" w14:textId="77777777" w:rsidR="00A96214" w:rsidRPr="00647DC7" w:rsidRDefault="00A96214" w:rsidP="00A96214">
            <w:pPr>
              <w:rPr>
                <w:sz w:val="20"/>
                <w:szCs w:val="20"/>
              </w:rPr>
            </w:pPr>
            <w:r>
              <w:rPr>
                <w:sz w:val="20"/>
                <w:szCs w:val="20"/>
              </w:rPr>
              <w:t>LSOA % bus commute among non-commuters</w:t>
            </w:r>
          </w:p>
        </w:tc>
        <w:tc>
          <w:tcPr>
            <w:tcW w:w="1559" w:type="dxa"/>
            <w:tcBorders>
              <w:top w:val="nil"/>
              <w:bottom w:val="nil"/>
            </w:tcBorders>
          </w:tcPr>
          <w:p w14:paraId="3F235F05" w14:textId="77777777" w:rsidR="00A96214" w:rsidRPr="00647DC7" w:rsidRDefault="00A96214" w:rsidP="00A96214">
            <w:pPr>
              <w:jc w:val="center"/>
              <w:rPr>
                <w:sz w:val="20"/>
                <w:szCs w:val="20"/>
              </w:rPr>
            </w:pPr>
            <w:r>
              <w:rPr>
                <w:sz w:val="20"/>
                <w:szCs w:val="20"/>
              </w:rPr>
              <w:t>3 categories</w:t>
            </w:r>
          </w:p>
        </w:tc>
        <w:tc>
          <w:tcPr>
            <w:tcW w:w="1237" w:type="dxa"/>
            <w:tcBorders>
              <w:top w:val="nil"/>
              <w:bottom w:val="nil"/>
            </w:tcBorders>
          </w:tcPr>
          <w:p w14:paraId="4B011191" w14:textId="77777777" w:rsidR="00A96214" w:rsidRPr="00647DC7" w:rsidRDefault="00A96214" w:rsidP="00A96214">
            <w:pPr>
              <w:jc w:val="center"/>
              <w:rPr>
                <w:sz w:val="20"/>
                <w:szCs w:val="20"/>
              </w:rPr>
            </w:pPr>
            <w:r>
              <w:rPr>
                <w:sz w:val="20"/>
                <w:szCs w:val="20"/>
              </w:rPr>
              <w:t>3 categories</w:t>
            </w:r>
          </w:p>
        </w:tc>
        <w:tc>
          <w:tcPr>
            <w:tcW w:w="1237" w:type="dxa"/>
            <w:tcBorders>
              <w:top w:val="nil"/>
              <w:bottom w:val="nil"/>
            </w:tcBorders>
          </w:tcPr>
          <w:p w14:paraId="030BBDD9" w14:textId="77777777" w:rsidR="00A96214" w:rsidRPr="00647DC7" w:rsidRDefault="00A96214" w:rsidP="00A96214">
            <w:pPr>
              <w:jc w:val="center"/>
              <w:rPr>
                <w:sz w:val="20"/>
                <w:szCs w:val="20"/>
              </w:rPr>
            </w:pPr>
            <w:r>
              <w:rPr>
                <w:sz w:val="20"/>
                <w:szCs w:val="20"/>
              </w:rPr>
              <w:t>3 categories</w:t>
            </w:r>
          </w:p>
        </w:tc>
        <w:tc>
          <w:tcPr>
            <w:tcW w:w="1238" w:type="dxa"/>
            <w:tcBorders>
              <w:top w:val="nil"/>
              <w:bottom w:val="nil"/>
            </w:tcBorders>
          </w:tcPr>
          <w:p w14:paraId="747EDCF6" w14:textId="77777777" w:rsidR="00A96214" w:rsidRDefault="00A96214" w:rsidP="00A96214">
            <w:pPr>
              <w:jc w:val="center"/>
            </w:pPr>
            <w:r w:rsidRPr="008D61B9">
              <w:rPr>
                <w:sz w:val="20"/>
                <w:szCs w:val="20"/>
              </w:rPr>
              <w:t>Binary</w:t>
            </w:r>
          </w:p>
        </w:tc>
      </w:tr>
      <w:tr w:rsidR="00A96214" w:rsidRPr="00647DC7" w14:paraId="77DB5B87" w14:textId="77777777" w:rsidTr="004B26D4">
        <w:tc>
          <w:tcPr>
            <w:tcW w:w="4112" w:type="dxa"/>
            <w:tcBorders>
              <w:top w:val="nil"/>
              <w:bottom w:val="nil"/>
            </w:tcBorders>
          </w:tcPr>
          <w:p w14:paraId="22C7E053" w14:textId="77777777" w:rsidR="00A96214" w:rsidRPr="00647DC7" w:rsidRDefault="00A96214" w:rsidP="00A96214">
            <w:pPr>
              <w:rPr>
                <w:sz w:val="20"/>
                <w:szCs w:val="20"/>
              </w:rPr>
            </w:pPr>
            <w:r>
              <w:rPr>
                <w:sz w:val="20"/>
                <w:szCs w:val="20"/>
              </w:rPr>
              <w:t>LSOA % train commute among non-commuters</w:t>
            </w:r>
          </w:p>
        </w:tc>
        <w:tc>
          <w:tcPr>
            <w:tcW w:w="1559" w:type="dxa"/>
            <w:tcBorders>
              <w:top w:val="nil"/>
              <w:bottom w:val="nil"/>
            </w:tcBorders>
          </w:tcPr>
          <w:p w14:paraId="68F5868C" w14:textId="77777777" w:rsidR="00A96214" w:rsidRPr="00647DC7" w:rsidRDefault="00A96214" w:rsidP="00A96214">
            <w:pPr>
              <w:jc w:val="center"/>
              <w:rPr>
                <w:sz w:val="20"/>
                <w:szCs w:val="20"/>
              </w:rPr>
            </w:pPr>
            <w:r>
              <w:rPr>
                <w:sz w:val="20"/>
                <w:szCs w:val="20"/>
              </w:rPr>
              <w:t>3 categories</w:t>
            </w:r>
          </w:p>
        </w:tc>
        <w:tc>
          <w:tcPr>
            <w:tcW w:w="1237" w:type="dxa"/>
            <w:tcBorders>
              <w:top w:val="nil"/>
              <w:bottom w:val="nil"/>
            </w:tcBorders>
          </w:tcPr>
          <w:p w14:paraId="2E37A41E" w14:textId="77777777" w:rsidR="00A96214" w:rsidRPr="00647DC7" w:rsidRDefault="00A96214" w:rsidP="00A96214">
            <w:pPr>
              <w:jc w:val="center"/>
              <w:rPr>
                <w:sz w:val="20"/>
                <w:szCs w:val="20"/>
              </w:rPr>
            </w:pPr>
            <w:r>
              <w:rPr>
                <w:sz w:val="20"/>
                <w:szCs w:val="20"/>
              </w:rPr>
              <w:t>3 categories</w:t>
            </w:r>
          </w:p>
        </w:tc>
        <w:tc>
          <w:tcPr>
            <w:tcW w:w="1237" w:type="dxa"/>
            <w:tcBorders>
              <w:top w:val="nil"/>
              <w:bottom w:val="nil"/>
            </w:tcBorders>
          </w:tcPr>
          <w:p w14:paraId="279FE506" w14:textId="77777777" w:rsidR="00A96214" w:rsidRPr="00647DC7" w:rsidRDefault="00A96214" w:rsidP="00A96214">
            <w:pPr>
              <w:jc w:val="center"/>
              <w:rPr>
                <w:sz w:val="20"/>
                <w:szCs w:val="20"/>
              </w:rPr>
            </w:pPr>
            <w:r>
              <w:rPr>
                <w:sz w:val="20"/>
                <w:szCs w:val="20"/>
              </w:rPr>
              <w:t>3 categories</w:t>
            </w:r>
          </w:p>
        </w:tc>
        <w:tc>
          <w:tcPr>
            <w:tcW w:w="1238" w:type="dxa"/>
            <w:tcBorders>
              <w:top w:val="nil"/>
              <w:bottom w:val="nil"/>
            </w:tcBorders>
          </w:tcPr>
          <w:p w14:paraId="3C21CDA7" w14:textId="77777777" w:rsidR="00A96214" w:rsidRDefault="00A96214" w:rsidP="00A96214">
            <w:pPr>
              <w:jc w:val="center"/>
            </w:pPr>
            <w:r w:rsidRPr="008D61B9">
              <w:rPr>
                <w:sz w:val="20"/>
                <w:szCs w:val="20"/>
              </w:rPr>
              <w:t>Binary</w:t>
            </w:r>
          </w:p>
        </w:tc>
      </w:tr>
      <w:tr w:rsidR="00D677A8" w:rsidRPr="00647DC7" w14:paraId="335381A2" w14:textId="77777777" w:rsidTr="004B26D4">
        <w:trPr>
          <w:trHeight w:val="70"/>
        </w:trPr>
        <w:tc>
          <w:tcPr>
            <w:tcW w:w="4112" w:type="dxa"/>
            <w:tcBorders>
              <w:bottom w:val="single" w:sz="4" w:space="0" w:color="auto"/>
            </w:tcBorders>
          </w:tcPr>
          <w:p w14:paraId="35533E68" w14:textId="77777777" w:rsidR="00D677A8" w:rsidRPr="00647DC7" w:rsidRDefault="00D677A8" w:rsidP="00D677A8">
            <w:pPr>
              <w:rPr>
                <w:sz w:val="8"/>
                <w:szCs w:val="20"/>
              </w:rPr>
            </w:pPr>
          </w:p>
        </w:tc>
        <w:tc>
          <w:tcPr>
            <w:tcW w:w="1559" w:type="dxa"/>
            <w:tcBorders>
              <w:bottom w:val="single" w:sz="4" w:space="0" w:color="auto"/>
            </w:tcBorders>
          </w:tcPr>
          <w:p w14:paraId="558DF911" w14:textId="77777777" w:rsidR="00D677A8" w:rsidRPr="00647DC7" w:rsidRDefault="00D677A8" w:rsidP="00D677A8">
            <w:pPr>
              <w:jc w:val="center"/>
              <w:rPr>
                <w:sz w:val="8"/>
                <w:szCs w:val="20"/>
              </w:rPr>
            </w:pPr>
          </w:p>
        </w:tc>
        <w:tc>
          <w:tcPr>
            <w:tcW w:w="1237" w:type="dxa"/>
            <w:tcBorders>
              <w:bottom w:val="single" w:sz="4" w:space="0" w:color="auto"/>
            </w:tcBorders>
          </w:tcPr>
          <w:p w14:paraId="4298E07C" w14:textId="77777777" w:rsidR="00D677A8" w:rsidRPr="00647DC7" w:rsidRDefault="00D677A8" w:rsidP="00D677A8">
            <w:pPr>
              <w:jc w:val="center"/>
              <w:rPr>
                <w:sz w:val="8"/>
                <w:szCs w:val="20"/>
              </w:rPr>
            </w:pPr>
          </w:p>
        </w:tc>
        <w:tc>
          <w:tcPr>
            <w:tcW w:w="1237" w:type="dxa"/>
            <w:tcBorders>
              <w:bottom w:val="single" w:sz="4" w:space="0" w:color="auto"/>
            </w:tcBorders>
          </w:tcPr>
          <w:p w14:paraId="7DE8D0AE" w14:textId="77777777" w:rsidR="00D677A8" w:rsidRPr="00647DC7" w:rsidRDefault="00D677A8" w:rsidP="00D677A8">
            <w:pPr>
              <w:jc w:val="center"/>
              <w:rPr>
                <w:sz w:val="8"/>
                <w:szCs w:val="20"/>
              </w:rPr>
            </w:pPr>
          </w:p>
        </w:tc>
        <w:tc>
          <w:tcPr>
            <w:tcW w:w="1238" w:type="dxa"/>
            <w:tcBorders>
              <w:bottom w:val="single" w:sz="4" w:space="0" w:color="auto"/>
            </w:tcBorders>
          </w:tcPr>
          <w:p w14:paraId="679AA908" w14:textId="77777777" w:rsidR="00D677A8" w:rsidRPr="00647DC7" w:rsidRDefault="00D677A8" w:rsidP="00D677A8">
            <w:pPr>
              <w:jc w:val="center"/>
              <w:rPr>
                <w:sz w:val="8"/>
                <w:szCs w:val="20"/>
              </w:rPr>
            </w:pPr>
          </w:p>
        </w:tc>
      </w:tr>
      <w:tr w:rsidR="00551334" w:rsidRPr="00586903" w14:paraId="34D15484" w14:textId="77777777" w:rsidTr="0057566A">
        <w:tc>
          <w:tcPr>
            <w:tcW w:w="4112" w:type="dxa"/>
            <w:tcBorders>
              <w:bottom w:val="nil"/>
            </w:tcBorders>
          </w:tcPr>
          <w:p w14:paraId="25A0E2A5" w14:textId="77777777" w:rsidR="00551334" w:rsidRPr="002E064E" w:rsidRDefault="00551334" w:rsidP="00551334">
            <w:pPr>
              <w:rPr>
                <w:sz w:val="20"/>
                <w:szCs w:val="20"/>
              </w:rPr>
            </w:pPr>
            <w:r w:rsidRPr="002E064E">
              <w:rPr>
                <w:sz w:val="20"/>
                <w:szCs w:val="20"/>
              </w:rPr>
              <w:t xml:space="preserve">% Census individuals who can be matched </w:t>
            </w:r>
          </w:p>
        </w:tc>
        <w:tc>
          <w:tcPr>
            <w:tcW w:w="1559" w:type="dxa"/>
            <w:tcBorders>
              <w:bottom w:val="nil"/>
            </w:tcBorders>
            <w:vAlign w:val="bottom"/>
          </w:tcPr>
          <w:p w14:paraId="28238FA9" w14:textId="77777777" w:rsidR="00551334" w:rsidRPr="00480C3F" w:rsidRDefault="00551334" w:rsidP="00551334">
            <w:pPr>
              <w:jc w:val="center"/>
              <w:rPr>
                <w:rFonts w:ascii="Calibri" w:hAnsi="Calibri" w:cs="Calibri"/>
                <w:color w:val="000000"/>
                <w:sz w:val="20"/>
              </w:rPr>
            </w:pPr>
            <w:r w:rsidRPr="00480C3F">
              <w:rPr>
                <w:rFonts w:ascii="Calibri" w:hAnsi="Calibri" w:cs="Calibri"/>
                <w:color w:val="000000"/>
                <w:sz w:val="20"/>
              </w:rPr>
              <w:t>27.6%</w:t>
            </w:r>
          </w:p>
        </w:tc>
        <w:tc>
          <w:tcPr>
            <w:tcW w:w="1237" w:type="dxa"/>
            <w:tcBorders>
              <w:bottom w:val="nil"/>
            </w:tcBorders>
            <w:vAlign w:val="bottom"/>
          </w:tcPr>
          <w:p w14:paraId="774B1750" w14:textId="77777777" w:rsidR="00551334" w:rsidRPr="00480C3F" w:rsidRDefault="00480C3F" w:rsidP="00551334">
            <w:pPr>
              <w:jc w:val="center"/>
              <w:rPr>
                <w:rFonts w:ascii="Calibri" w:hAnsi="Calibri" w:cs="Calibri"/>
                <w:color w:val="000000"/>
                <w:sz w:val="20"/>
              </w:rPr>
            </w:pPr>
            <w:r w:rsidRPr="00480C3F">
              <w:rPr>
                <w:rFonts w:ascii="Calibri" w:hAnsi="Calibri" w:cs="Calibri"/>
                <w:color w:val="000000"/>
                <w:sz w:val="20"/>
              </w:rPr>
              <w:t>39.9</w:t>
            </w:r>
            <w:r w:rsidR="00551334" w:rsidRPr="00480C3F">
              <w:rPr>
                <w:rFonts w:ascii="Calibri" w:hAnsi="Calibri" w:cs="Calibri"/>
                <w:color w:val="000000"/>
                <w:sz w:val="20"/>
              </w:rPr>
              <w:t>%</w:t>
            </w:r>
          </w:p>
        </w:tc>
        <w:tc>
          <w:tcPr>
            <w:tcW w:w="1237" w:type="dxa"/>
            <w:tcBorders>
              <w:bottom w:val="nil"/>
            </w:tcBorders>
            <w:vAlign w:val="bottom"/>
          </w:tcPr>
          <w:p w14:paraId="16CA5EDD" w14:textId="77777777" w:rsidR="00551334" w:rsidRPr="00480C3F" w:rsidRDefault="00480C3F" w:rsidP="00551334">
            <w:pPr>
              <w:jc w:val="center"/>
              <w:rPr>
                <w:rFonts w:ascii="Calibri" w:hAnsi="Calibri" w:cs="Calibri"/>
                <w:color w:val="000000"/>
                <w:sz w:val="20"/>
              </w:rPr>
            </w:pPr>
            <w:r w:rsidRPr="00480C3F">
              <w:rPr>
                <w:rFonts w:ascii="Calibri" w:hAnsi="Calibri" w:cs="Calibri"/>
                <w:color w:val="000000"/>
                <w:sz w:val="20"/>
              </w:rPr>
              <w:t>87.4</w:t>
            </w:r>
            <w:r w:rsidR="00551334" w:rsidRPr="00480C3F">
              <w:rPr>
                <w:rFonts w:ascii="Calibri" w:hAnsi="Calibri" w:cs="Calibri"/>
                <w:color w:val="000000"/>
                <w:sz w:val="20"/>
              </w:rPr>
              <w:t>%</w:t>
            </w:r>
          </w:p>
        </w:tc>
        <w:tc>
          <w:tcPr>
            <w:tcW w:w="1238" w:type="dxa"/>
            <w:tcBorders>
              <w:bottom w:val="nil"/>
            </w:tcBorders>
            <w:vAlign w:val="bottom"/>
          </w:tcPr>
          <w:p w14:paraId="6CA5EF11" w14:textId="77777777" w:rsidR="00551334" w:rsidRPr="00480C3F" w:rsidRDefault="00551334" w:rsidP="00551334">
            <w:pPr>
              <w:jc w:val="center"/>
              <w:rPr>
                <w:rFonts w:ascii="Calibri" w:hAnsi="Calibri" w:cs="Calibri"/>
                <w:color w:val="000000"/>
                <w:sz w:val="20"/>
              </w:rPr>
            </w:pPr>
            <w:r w:rsidRPr="00480C3F">
              <w:rPr>
                <w:rFonts w:ascii="Calibri" w:hAnsi="Calibri" w:cs="Calibri"/>
                <w:color w:val="000000"/>
                <w:sz w:val="20"/>
              </w:rPr>
              <w:t>100.0%</w:t>
            </w:r>
          </w:p>
        </w:tc>
      </w:tr>
      <w:tr w:rsidR="00551334" w:rsidRPr="00647DC7" w14:paraId="137B4207" w14:textId="77777777" w:rsidTr="0057566A">
        <w:tc>
          <w:tcPr>
            <w:tcW w:w="4112" w:type="dxa"/>
            <w:tcBorders>
              <w:top w:val="nil"/>
            </w:tcBorders>
          </w:tcPr>
          <w:p w14:paraId="5DA410D0" w14:textId="77777777" w:rsidR="00551334" w:rsidRPr="002E064E" w:rsidRDefault="00551334" w:rsidP="00551334">
            <w:pPr>
              <w:rPr>
                <w:sz w:val="20"/>
                <w:szCs w:val="20"/>
              </w:rPr>
            </w:pPr>
            <w:r w:rsidRPr="002E064E">
              <w:rPr>
                <w:sz w:val="20"/>
                <w:szCs w:val="20"/>
              </w:rPr>
              <w:t xml:space="preserve">% Census individuals using this match </w:t>
            </w:r>
          </w:p>
        </w:tc>
        <w:tc>
          <w:tcPr>
            <w:tcW w:w="1559" w:type="dxa"/>
            <w:tcBorders>
              <w:top w:val="nil"/>
            </w:tcBorders>
            <w:vAlign w:val="bottom"/>
          </w:tcPr>
          <w:p w14:paraId="7A25D2A0" w14:textId="77777777" w:rsidR="00551334" w:rsidRPr="00480C3F" w:rsidRDefault="00551334" w:rsidP="00551334">
            <w:pPr>
              <w:jc w:val="center"/>
              <w:rPr>
                <w:rFonts w:ascii="Calibri" w:hAnsi="Calibri" w:cs="Calibri"/>
                <w:color w:val="000000"/>
                <w:sz w:val="20"/>
              </w:rPr>
            </w:pPr>
            <w:r w:rsidRPr="00480C3F">
              <w:rPr>
                <w:rFonts w:ascii="Calibri" w:hAnsi="Calibri" w:cs="Calibri"/>
                <w:color w:val="000000"/>
                <w:sz w:val="20"/>
              </w:rPr>
              <w:t>27.6%</w:t>
            </w:r>
          </w:p>
        </w:tc>
        <w:tc>
          <w:tcPr>
            <w:tcW w:w="1237" w:type="dxa"/>
            <w:tcBorders>
              <w:top w:val="nil"/>
            </w:tcBorders>
            <w:vAlign w:val="bottom"/>
          </w:tcPr>
          <w:p w14:paraId="180E46E1" w14:textId="77777777" w:rsidR="00551334" w:rsidRPr="00480C3F" w:rsidRDefault="00480C3F" w:rsidP="00551334">
            <w:pPr>
              <w:jc w:val="center"/>
              <w:rPr>
                <w:rFonts w:ascii="Calibri" w:hAnsi="Calibri" w:cs="Calibri"/>
                <w:color w:val="000000"/>
                <w:sz w:val="20"/>
              </w:rPr>
            </w:pPr>
            <w:r w:rsidRPr="00480C3F">
              <w:rPr>
                <w:rFonts w:ascii="Calibri" w:hAnsi="Calibri" w:cs="Calibri"/>
                <w:color w:val="000000"/>
                <w:sz w:val="20"/>
              </w:rPr>
              <w:t>12.3</w:t>
            </w:r>
            <w:r w:rsidR="00551334" w:rsidRPr="00480C3F">
              <w:rPr>
                <w:rFonts w:ascii="Calibri" w:hAnsi="Calibri" w:cs="Calibri"/>
                <w:color w:val="000000"/>
                <w:sz w:val="20"/>
              </w:rPr>
              <w:t>%</w:t>
            </w:r>
          </w:p>
        </w:tc>
        <w:tc>
          <w:tcPr>
            <w:tcW w:w="1237" w:type="dxa"/>
            <w:tcBorders>
              <w:top w:val="nil"/>
            </w:tcBorders>
            <w:vAlign w:val="bottom"/>
          </w:tcPr>
          <w:p w14:paraId="76C1D7DD" w14:textId="77777777" w:rsidR="00551334" w:rsidRPr="00480C3F" w:rsidRDefault="00551334" w:rsidP="00551334">
            <w:pPr>
              <w:jc w:val="center"/>
              <w:rPr>
                <w:rFonts w:ascii="Calibri" w:hAnsi="Calibri" w:cs="Calibri"/>
                <w:color w:val="000000"/>
                <w:sz w:val="20"/>
              </w:rPr>
            </w:pPr>
            <w:r w:rsidRPr="00480C3F">
              <w:rPr>
                <w:rFonts w:ascii="Calibri" w:hAnsi="Calibri" w:cs="Calibri"/>
                <w:color w:val="000000"/>
                <w:sz w:val="20"/>
              </w:rPr>
              <w:t>4</w:t>
            </w:r>
            <w:r w:rsidR="00480C3F" w:rsidRPr="00480C3F">
              <w:rPr>
                <w:rFonts w:ascii="Calibri" w:hAnsi="Calibri" w:cs="Calibri"/>
                <w:color w:val="000000"/>
                <w:sz w:val="20"/>
              </w:rPr>
              <w:t>7.5</w:t>
            </w:r>
            <w:r w:rsidRPr="00480C3F">
              <w:rPr>
                <w:rFonts w:ascii="Calibri" w:hAnsi="Calibri" w:cs="Calibri"/>
                <w:color w:val="000000"/>
                <w:sz w:val="20"/>
              </w:rPr>
              <w:t>%</w:t>
            </w:r>
          </w:p>
        </w:tc>
        <w:tc>
          <w:tcPr>
            <w:tcW w:w="1238" w:type="dxa"/>
            <w:tcBorders>
              <w:top w:val="nil"/>
            </w:tcBorders>
            <w:vAlign w:val="bottom"/>
          </w:tcPr>
          <w:p w14:paraId="058326FC" w14:textId="77777777" w:rsidR="00551334" w:rsidRPr="00480C3F" w:rsidRDefault="00480C3F" w:rsidP="00551334">
            <w:pPr>
              <w:jc w:val="center"/>
              <w:rPr>
                <w:rFonts w:ascii="Calibri" w:hAnsi="Calibri" w:cs="Calibri"/>
                <w:color w:val="000000"/>
                <w:sz w:val="20"/>
              </w:rPr>
            </w:pPr>
            <w:r w:rsidRPr="00480C3F">
              <w:rPr>
                <w:rFonts w:ascii="Calibri" w:hAnsi="Calibri" w:cs="Calibri"/>
                <w:color w:val="000000"/>
                <w:sz w:val="20"/>
              </w:rPr>
              <w:t>12.6</w:t>
            </w:r>
            <w:r w:rsidR="00551334" w:rsidRPr="00480C3F">
              <w:rPr>
                <w:rFonts w:ascii="Calibri" w:hAnsi="Calibri" w:cs="Calibri"/>
                <w:color w:val="000000"/>
                <w:sz w:val="20"/>
              </w:rPr>
              <w:t>%</w:t>
            </w:r>
          </w:p>
        </w:tc>
      </w:tr>
    </w:tbl>
    <w:p w14:paraId="7AA0CE05" w14:textId="77777777" w:rsidR="00D86D89" w:rsidRPr="00647DC7" w:rsidRDefault="00D86D89" w:rsidP="00D86D89"/>
    <w:p w14:paraId="060CA0F6" w14:textId="77777777" w:rsidR="00D86D89" w:rsidRPr="00647DC7" w:rsidRDefault="00D86D89" w:rsidP="00D86D89">
      <w:pPr>
        <w:pStyle w:val="ListParagraph"/>
        <w:numPr>
          <w:ilvl w:val="0"/>
          <w:numId w:val="33"/>
        </w:numPr>
      </w:pPr>
      <w:r w:rsidRPr="00647DC7">
        <w:t xml:space="preserve">Variables that NTS adds on top of what is available in the Census are: </w:t>
      </w:r>
    </w:p>
    <w:p w14:paraId="2D87BCAF" w14:textId="77777777" w:rsidR="00D86D89" w:rsidRPr="00D86D89" w:rsidRDefault="00D86D89" w:rsidP="00D86D89">
      <w:pPr>
        <w:pStyle w:val="ListParagraph"/>
        <w:numPr>
          <w:ilvl w:val="1"/>
          <w:numId w:val="33"/>
        </w:numPr>
      </w:pPr>
      <w:r w:rsidRPr="00D86D89">
        <w:t>Past-week trip le</w:t>
      </w:r>
      <w:r w:rsidR="00320221">
        <w:t>vel travel diary (see Section 5</w:t>
      </w:r>
      <w:r w:rsidRPr="00D86D89">
        <w:t>)</w:t>
      </w:r>
      <w:r w:rsidR="00320221">
        <w:t>.</w:t>
      </w:r>
    </w:p>
    <w:p w14:paraId="4B5E4BB5" w14:textId="77777777" w:rsidR="00D86D89" w:rsidRDefault="00D86D89" w:rsidP="00D86D89">
      <w:pPr>
        <w:pStyle w:val="ListParagraph"/>
        <w:numPr>
          <w:ilvl w:val="1"/>
          <w:numId w:val="33"/>
        </w:numPr>
      </w:pPr>
      <w:r w:rsidRPr="00D86D89">
        <w:t>Potentially</w:t>
      </w:r>
      <w:r>
        <w:t xml:space="preserve"> also some individual variables, e.g. number of children in the household.</w:t>
      </w:r>
    </w:p>
    <w:p w14:paraId="7B8B3930" w14:textId="77777777" w:rsidR="00D86D89" w:rsidRDefault="00D86D89" w:rsidP="00D86D89"/>
    <w:p w14:paraId="271DEFDC" w14:textId="1DD91BBE" w:rsidR="002F212A" w:rsidRDefault="00D923EE" w:rsidP="002F212A">
      <w:pPr>
        <w:rPr>
          <w:b/>
          <w:u w:val="single"/>
        </w:rPr>
      </w:pPr>
      <w:r>
        <w:rPr>
          <w:b/>
          <w:u w:val="single"/>
        </w:rPr>
        <w:t>4.</w:t>
      </w:r>
      <w:r w:rsidR="00D86D89">
        <w:rPr>
          <w:b/>
          <w:u w:val="single"/>
        </w:rPr>
        <w:t xml:space="preserve">2 Merging </w:t>
      </w:r>
      <w:r w:rsidR="00BE4C4C">
        <w:rPr>
          <w:b/>
          <w:u w:val="single"/>
        </w:rPr>
        <w:t>ALS</w:t>
      </w:r>
      <w:r w:rsidR="00D86D89">
        <w:rPr>
          <w:b/>
          <w:u w:val="single"/>
        </w:rPr>
        <w:t xml:space="preserve"> with the Census-NTS composite</w:t>
      </w:r>
    </w:p>
    <w:p w14:paraId="4287837E" w14:textId="10211CC6" w:rsidR="00320221" w:rsidRDefault="00D923EE" w:rsidP="009106DB">
      <w:pPr>
        <w:pStyle w:val="ListParagraph"/>
        <w:numPr>
          <w:ilvl w:val="0"/>
          <w:numId w:val="35"/>
        </w:numPr>
      </w:pPr>
      <w:r>
        <w:t>Seek to match each individual in the Census to</w:t>
      </w:r>
      <w:r w:rsidR="00D86D89">
        <w:t xml:space="preserve"> a randomly-selected </w:t>
      </w:r>
      <w:r>
        <w:t>individual in</w:t>
      </w:r>
      <w:r w:rsidR="00D86D89">
        <w:t xml:space="preserve"> </w:t>
      </w:r>
      <w:r w:rsidR="00BE4C4C">
        <w:t>ALS</w:t>
      </w:r>
      <w:r w:rsidR="00D86D89">
        <w:t xml:space="preserve"> who shares a defined set of matching criteria.  These matching criteria include both</w:t>
      </w:r>
      <w:r w:rsidR="00320221">
        <w:t xml:space="preserve"> demographic variables from the Census </w:t>
      </w:r>
      <w:r w:rsidR="00D86D89">
        <w:t xml:space="preserve">and merged </w:t>
      </w:r>
      <w:r w:rsidR="00320221">
        <w:t xml:space="preserve">walking and cycling </w:t>
      </w:r>
      <w:r w:rsidR="00D86D89">
        <w:t>variables from NTS. As before, steadily relax the set of criteria in successive matches</w:t>
      </w:r>
      <w:r>
        <w:t>, such that eventually all individuals in the Census find an</w:t>
      </w:r>
      <w:r w:rsidR="00D86D89">
        <w:t xml:space="preserve"> </w:t>
      </w:r>
      <w:r w:rsidR="00BE4C4C">
        <w:t>ALS</w:t>
      </w:r>
      <w:r w:rsidR="00D86D89">
        <w:t xml:space="preserve"> </w:t>
      </w:r>
      <w:r>
        <w:t>match.</w:t>
      </w:r>
      <w:r w:rsidR="00320221">
        <w:t xml:space="preserve"> Again, only </w:t>
      </w:r>
      <w:r>
        <w:t>allow matches where the number of</w:t>
      </w:r>
      <w:r w:rsidR="00D86D89">
        <w:t xml:space="preserve"> </w:t>
      </w:r>
      <w:r w:rsidR="00BE4C4C">
        <w:t>ALS</w:t>
      </w:r>
      <w:r w:rsidR="00D86D89">
        <w:t xml:space="preserve"> </w:t>
      </w:r>
      <w:r>
        <w:t>individuals for the category in question is at least 2</w:t>
      </w:r>
      <w:r w:rsidR="00F108E9">
        <w:t>0</w:t>
      </w:r>
      <w:r w:rsidR="00320221">
        <w:t>.</w:t>
      </w:r>
    </w:p>
    <w:p w14:paraId="63CC57EE" w14:textId="77777777" w:rsidR="00D923EE" w:rsidRDefault="00D923EE" w:rsidP="00D86D89">
      <w:pPr>
        <w:pStyle w:val="ListParagraph"/>
        <w:numPr>
          <w:ilvl w:val="0"/>
          <w:numId w:val="35"/>
        </w:numPr>
      </w:pPr>
      <w:r>
        <w:t xml:space="preserve">The matches used are outlined </w:t>
      </w:r>
      <w:r w:rsidR="00D86D89">
        <w:t xml:space="preserve">in </w:t>
      </w:r>
      <w:r w:rsidR="00D86D89">
        <w:fldChar w:fldCharType="begin"/>
      </w:r>
      <w:r w:rsidR="00D86D89">
        <w:instrText xml:space="preserve"> REF _Ref497986722 \h </w:instrText>
      </w:r>
      <w:r w:rsidR="00D86D89">
        <w:fldChar w:fldCharType="separate"/>
      </w:r>
      <w:r w:rsidR="00415252" w:rsidRPr="00D86D89">
        <w:t xml:space="preserve">Table </w:t>
      </w:r>
      <w:r w:rsidR="00415252">
        <w:rPr>
          <w:noProof/>
        </w:rPr>
        <w:t>2</w:t>
      </w:r>
      <w:r w:rsidR="00D86D89">
        <w:fldChar w:fldCharType="end"/>
      </w:r>
      <w:r>
        <w:t>.</w:t>
      </w:r>
    </w:p>
    <w:p w14:paraId="31563987" w14:textId="77777777" w:rsidR="00F42CB6" w:rsidRDefault="00F42CB6" w:rsidP="00F42CB6"/>
    <w:p w14:paraId="53E9B161" w14:textId="77777777" w:rsidR="00F42CB6" w:rsidRDefault="00F42CB6" w:rsidP="00F42CB6"/>
    <w:p w14:paraId="4746BF10" w14:textId="77777777" w:rsidR="00F42CB6" w:rsidRDefault="00F42CB6" w:rsidP="00F42CB6"/>
    <w:p w14:paraId="001CA714" w14:textId="77777777" w:rsidR="00F42CB6" w:rsidRDefault="00F42CB6" w:rsidP="00F42CB6"/>
    <w:p w14:paraId="66424AB5" w14:textId="615995E5" w:rsidR="00D923EE" w:rsidRPr="00D86D89" w:rsidRDefault="00D86D89" w:rsidP="00D86D89">
      <w:pPr>
        <w:pStyle w:val="Caption"/>
      </w:pPr>
      <w:bookmarkStart w:id="0" w:name="_Ref497986722"/>
      <w:r w:rsidRPr="00D86D89">
        <w:lastRenderedPageBreak/>
        <w:t xml:space="preserve">Table </w:t>
      </w:r>
      <w:r w:rsidR="00FE6546">
        <w:fldChar w:fldCharType="begin"/>
      </w:r>
      <w:r w:rsidR="00FE6546">
        <w:instrText xml:space="preserve"> SEQ Table \* ARABIC </w:instrText>
      </w:r>
      <w:r w:rsidR="00FE6546">
        <w:fldChar w:fldCharType="separate"/>
      </w:r>
      <w:r w:rsidR="00415252">
        <w:rPr>
          <w:noProof/>
        </w:rPr>
        <w:t>2</w:t>
      </w:r>
      <w:r w:rsidR="00FE6546">
        <w:rPr>
          <w:noProof/>
        </w:rPr>
        <w:fldChar w:fldCharType="end"/>
      </w:r>
      <w:bookmarkEnd w:id="0"/>
      <w:r w:rsidRPr="00D86D89">
        <w:t xml:space="preserve">: </w:t>
      </w:r>
      <w:r>
        <w:t xml:space="preserve"> Matching criteria used when matching the Census-NTS composite with </w:t>
      </w:r>
      <w:proofErr w:type="gramStart"/>
      <w:r w:rsidR="00BE4C4C">
        <w:t>ALS</w:t>
      </w:r>
      <w:proofErr w:type="gramEnd"/>
    </w:p>
    <w:tbl>
      <w:tblPr>
        <w:tblStyle w:val="TableGrid"/>
        <w:tblW w:w="9744" w:type="dxa"/>
        <w:tblInd w:w="-289" w:type="dxa"/>
        <w:tblLook w:val="04A0" w:firstRow="1" w:lastRow="0" w:firstColumn="1" w:lastColumn="0" w:noHBand="0" w:noVBand="1"/>
      </w:tblPr>
      <w:tblGrid>
        <w:gridCol w:w="3828"/>
        <w:gridCol w:w="1559"/>
        <w:gridCol w:w="1560"/>
        <w:gridCol w:w="1559"/>
        <w:gridCol w:w="1238"/>
      </w:tblGrid>
      <w:tr w:rsidR="00CB32FE" w:rsidRPr="00CB32FE" w14:paraId="0A396F6B" w14:textId="77777777" w:rsidTr="00FA6F33">
        <w:tc>
          <w:tcPr>
            <w:tcW w:w="3828" w:type="dxa"/>
            <w:tcBorders>
              <w:bottom w:val="single" w:sz="4" w:space="0" w:color="auto"/>
            </w:tcBorders>
          </w:tcPr>
          <w:p w14:paraId="1838F48C" w14:textId="77777777" w:rsidR="00CB32FE" w:rsidRPr="00CB32FE" w:rsidRDefault="00CB32FE" w:rsidP="00CB32FE">
            <w:pPr>
              <w:rPr>
                <w:sz w:val="20"/>
                <w:szCs w:val="20"/>
              </w:rPr>
            </w:pPr>
          </w:p>
        </w:tc>
        <w:tc>
          <w:tcPr>
            <w:tcW w:w="1559" w:type="dxa"/>
            <w:tcBorders>
              <w:bottom w:val="single" w:sz="4" w:space="0" w:color="auto"/>
            </w:tcBorders>
          </w:tcPr>
          <w:p w14:paraId="5C0A6B36" w14:textId="77777777" w:rsidR="00CB32FE" w:rsidRPr="00CB32FE" w:rsidRDefault="00CB32FE" w:rsidP="00CB32FE">
            <w:pPr>
              <w:jc w:val="center"/>
              <w:rPr>
                <w:sz w:val="20"/>
                <w:szCs w:val="20"/>
              </w:rPr>
            </w:pPr>
            <w:r w:rsidRPr="00CB32FE">
              <w:rPr>
                <w:sz w:val="20"/>
                <w:szCs w:val="20"/>
              </w:rPr>
              <w:t>Match 1</w:t>
            </w:r>
          </w:p>
        </w:tc>
        <w:tc>
          <w:tcPr>
            <w:tcW w:w="1560" w:type="dxa"/>
            <w:tcBorders>
              <w:bottom w:val="single" w:sz="4" w:space="0" w:color="auto"/>
            </w:tcBorders>
          </w:tcPr>
          <w:p w14:paraId="16BFD3FB" w14:textId="77777777" w:rsidR="00CB32FE" w:rsidRPr="00CB32FE" w:rsidRDefault="00CB32FE" w:rsidP="00CB32FE">
            <w:pPr>
              <w:jc w:val="center"/>
              <w:rPr>
                <w:sz w:val="20"/>
                <w:szCs w:val="20"/>
              </w:rPr>
            </w:pPr>
            <w:r w:rsidRPr="00CB32FE">
              <w:rPr>
                <w:sz w:val="20"/>
                <w:szCs w:val="20"/>
              </w:rPr>
              <w:t>Match 2</w:t>
            </w:r>
          </w:p>
        </w:tc>
        <w:tc>
          <w:tcPr>
            <w:tcW w:w="1559" w:type="dxa"/>
            <w:tcBorders>
              <w:bottom w:val="single" w:sz="4" w:space="0" w:color="auto"/>
            </w:tcBorders>
          </w:tcPr>
          <w:p w14:paraId="58340419" w14:textId="77777777" w:rsidR="00CB32FE" w:rsidRPr="00CB32FE" w:rsidRDefault="00CB32FE" w:rsidP="00CB32FE">
            <w:pPr>
              <w:jc w:val="center"/>
              <w:rPr>
                <w:sz w:val="20"/>
                <w:szCs w:val="20"/>
              </w:rPr>
            </w:pPr>
            <w:r w:rsidRPr="00CB32FE">
              <w:rPr>
                <w:sz w:val="20"/>
                <w:szCs w:val="20"/>
              </w:rPr>
              <w:t>Match 3</w:t>
            </w:r>
          </w:p>
        </w:tc>
        <w:tc>
          <w:tcPr>
            <w:tcW w:w="1238" w:type="dxa"/>
            <w:tcBorders>
              <w:bottom w:val="single" w:sz="4" w:space="0" w:color="auto"/>
            </w:tcBorders>
          </w:tcPr>
          <w:p w14:paraId="5E8E0A99" w14:textId="77777777" w:rsidR="00CB32FE" w:rsidRPr="00CB32FE" w:rsidRDefault="00CB32FE" w:rsidP="00CB32FE">
            <w:pPr>
              <w:jc w:val="center"/>
              <w:rPr>
                <w:sz w:val="20"/>
                <w:szCs w:val="20"/>
              </w:rPr>
            </w:pPr>
            <w:r w:rsidRPr="00CB32FE">
              <w:rPr>
                <w:sz w:val="20"/>
                <w:szCs w:val="20"/>
              </w:rPr>
              <w:t>Match 4</w:t>
            </w:r>
          </w:p>
        </w:tc>
      </w:tr>
      <w:tr w:rsidR="00FA6F33" w:rsidRPr="00CB32FE" w14:paraId="1CAE2027" w14:textId="77777777" w:rsidTr="00FA6F33">
        <w:tc>
          <w:tcPr>
            <w:tcW w:w="3828" w:type="dxa"/>
            <w:tcBorders>
              <w:bottom w:val="nil"/>
            </w:tcBorders>
          </w:tcPr>
          <w:p w14:paraId="58741B8F" w14:textId="77777777" w:rsidR="00FA6F33" w:rsidRPr="00CB32FE" w:rsidRDefault="00FA6F33" w:rsidP="00FA6F33">
            <w:pPr>
              <w:rPr>
                <w:sz w:val="20"/>
                <w:szCs w:val="20"/>
              </w:rPr>
            </w:pPr>
            <w:r w:rsidRPr="00CB32FE">
              <w:rPr>
                <w:sz w:val="20"/>
                <w:szCs w:val="20"/>
              </w:rPr>
              <w:t xml:space="preserve">Home </w:t>
            </w:r>
            <w:r>
              <w:rPr>
                <w:sz w:val="20"/>
                <w:szCs w:val="20"/>
              </w:rPr>
              <w:t>local authority</w:t>
            </w:r>
          </w:p>
        </w:tc>
        <w:tc>
          <w:tcPr>
            <w:tcW w:w="1559" w:type="dxa"/>
            <w:tcBorders>
              <w:bottom w:val="nil"/>
            </w:tcBorders>
          </w:tcPr>
          <w:p w14:paraId="795225EC" w14:textId="77777777" w:rsidR="00FA6F33" w:rsidRPr="00CB32FE" w:rsidRDefault="00FA6F33" w:rsidP="00FA6F33">
            <w:pPr>
              <w:jc w:val="center"/>
              <w:rPr>
                <w:sz w:val="20"/>
                <w:szCs w:val="20"/>
              </w:rPr>
            </w:pPr>
            <w:r>
              <w:rPr>
                <w:sz w:val="20"/>
                <w:szCs w:val="20"/>
              </w:rPr>
              <w:t>326 categories</w:t>
            </w:r>
          </w:p>
        </w:tc>
        <w:tc>
          <w:tcPr>
            <w:tcW w:w="1560" w:type="dxa"/>
            <w:tcBorders>
              <w:bottom w:val="nil"/>
            </w:tcBorders>
          </w:tcPr>
          <w:p w14:paraId="5F85BAEE" w14:textId="77777777" w:rsidR="00FA6F33" w:rsidRPr="00CB32FE" w:rsidRDefault="00FA6F33" w:rsidP="00FA6F33">
            <w:pPr>
              <w:jc w:val="center"/>
              <w:rPr>
                <w:sz w:val="20"/>
                <w:szCs w:val="20"/>
              </w:rPr>
            </w:pPr>
            <w:r>
              <w:rPr>
                <w:sz w:val="20"/>
                <w:szCs w:val="20"/>
              </w:rPr>
              <w:t>326 categories</w:t>
            </w:r>
          </w:p>
        </w:tc>
        <w:tc>
          <w:tcPr>
            <w:tcW w:w="1559" w:type="dxa"/>
            <w:tcBorders>
              <w:bottom w:val="nil"/>
            </w:tcBorders>
          </w:tcPr>
          <w:p w14:paraId="28612164" w14:textId="77777777" w:rsidR="00FA6F33" w:rsidRPr="00CB32FE" w:rsidRDefault="0061610F" w:rsidP="00FA6F33">
            <w:pPr>
              <w:jc w:val="center"/>
              <w:rPr>
                <w:sz w:val="20"/>
                <w:szCs w:val="20"/>
              </w:rPr>
            </w:pPr>
            <w:r>
              <w:rPr>
                <w:sz w:val="20"/>
                <w:szCs w:val="20"/>
              </w:rPr>
              <w:t>-</w:t>
            </w:r>
          </w:p>
        </w:tc>
        <w:tc>
          <w:tcPr>
            <w:tcW w:w="1238" w:type="dxa"/>
            <w:tcBorders>
              <w:bottom w:val="nil"/>
            </w:tcBorders>
          </w:tcPr>
          <w:p w14:paraId="314AC681" w14:textId="77777777" w:rsidR="00FA6F33" w:rsidRPr="00CB32FE" w:rsidRDefault="00FA6F33" w:rsidP="00FA6F33">
            <w:pPr>
              <w:jc w:val="center"/>
              <w:rPr>
                <w:sz w:val="20"/>
                <w:szCs w:val="20"/>
              </w:rPr>
            </w:pPr>
            <w:r>
              <w:rPr>
                <w:sz w:val="20"/>
                <w:szCs w:val="20"/>
              </w:rPr>
              <w:t>-</w:t>
            </w:r>
          </w:p>
        </w:tc>
      </w:tr>
      <w:tr w:rsidR="00FA6F33" w:rsidRPr="00CB32FE" w14:paraId="67649CED" w14:textId="77777777" w:rsidTr="00FA6F33">
        <w:tc>
          <w:tcPr>
            <w:tcW w:w="3828" w:type="dxa"/>
            <w:tcBorders>
              <w:top w:val="nil"/>
              <w:bottom w:val="nil"/>
            </w:tcBorders>
          </w:tcPr>
          <w:p w14:paraId="5F14311D" w14:textId="77777777" w:rsidR="00FA6F33" w:rsidRPr="00CB32FE" w:rsidRDefault="00FA6F33" w:rsidP="00FA6F33">
            <w:pPr>
              <w:rPr>
                <w:sz w:val="20"/>
                <w:szCs w:val="20"/>
              </w:rPr>
            </w:pPr>
            <w:r w:rsidRPr="00CB32FE">
              <w:rPr>
                <w:sz w:val="20"/>
                <w:szCs w:val="20"/>
              </w:rPr>
              <w:t>Home region</w:t>
            </w:r>
          </w:p>
        </w:tc>
        <w:tc>
          <w:tcPr>
            <w:tcW w:w="1559" w:type="dxa"/>
            <w:tcBorders>
              <w:top w:val="nil"/>
              <w:bottom w:val="nil"/>
            </w:tcBorders>
          </w:tcPr>
          <w:p w14:paraId="24AD012D" w14:textId="77777777" w:rsidR="00FA6F33" w:rsidRDefault="00FA6F33" w:rsidP="00FA6F33">
            <w:pPr>
              <w:jc w:val="center"/>
            </w:pPr>
            <w:r w:rsidRPr="008510D1">
              <w:rPr>
                <w:sz w:val="20"/>
                <w:szCs w:val="20"/>
              </w:rPr>
              <w:t>9 categories</w:t>
            </w:r>
          </w:p>
        </w:tc>
        <w:tc>
          <w:tcPr>
            <w:tcW w:w="1560" w:type="dxa"/>
            <w:tcBorders>
              <w:top w:val="nil"/>
              <w:bottom w:val="nil"/>
            </w:tcBorders>
          </w:tcPr>
          <w:p w14:paraId="1C12D472" w14:textId="77777777" w:rsidR="00FA6F33" w:rsidRDefault="00FA6F33" w:rsidP="00FA6F33">
            <w:pPr>
              <w:jc w:val="center"/>
            </w:pPr>
            <w:r w:rsidRPr="008510D1">
              <w:rPr>
                <w:sz w:val="20"/>
                <w:szCs w:val="20"/>
              </w:rPr>
              <w:t>9 categories</w:t>
            </w:r>
          </w:p>
        </w:tc>
        <w:tc>
          <w:tcPr>
            <w:tcW w:w="1559" w:type="dxa"/>
            <w:tcBorders>
              <w:top w:val="nil"/>
              <w:bottom w:val="nil"/>
            </w:tcBorders>
          </w:tcPr>
          <w:p w14:paraId="196CDCA1" w14:textId="77777777" w:rsidR="00FA6F33" w:rsidRDefault="00FA6F33" w:rsidP="00FA6F33">
            <w:pPr>
              <w:jc w:val="center"/>
            </w:pPr>
            <w:r w:rsidRPr="008510D1">
              <w:rPr>
                <w:sz w:val="20"/>
                <w:szCs w:val="20"/>
              </w:rPr>
              <w:t>9 categories</w:t>
            </w:r>
          </w:p>
        </w:tc>
        <w:tc>
          <w:tcPr>
            <w:tcW w:w="1238" w:type="dxa"/>
            <w:tcBorders>
              <w:top w:val="nil"/>
              <w:bottom w:val="nil"/>
            </w:tcBorders>
          </w:tcPr>
          <w:p w14:paraId="0058BD59" w14:textId="77777777" w:rsidR="00FA6F33" w:rsidRPr="00CB32FE" w:rsidRDefault="00FA6F33" w:rsidP="00FA6F33">
            <w:pPr>
              <w:jc w:val="center"/>
              <w:rPr>
                <w:sz w:val="20"/>
                <w:szCs w:val="20"/>
              </w:rPr>
            </w:pPr>
            <w:r>
              <w:rPr>
                <w:sz w:val="20"/>
                <w:szCs w:val="20"/>
              </w:rPr>
              <w:t>9 categories</w:t>
            </w:r>
          </w:p>
        </w:tc>
      </w:tr>
      <w:tr w:rsidR="00FA6F33" w:rsidRPr="00CB32FE" w14:paraId="04720836" w14:textId="77777777" w:rsidTr="00FA6F33">
        <w:tc>
          <w:tcPr>
            <w:tcW w:w="3828" w:type="dxa"/>
            <w:tcBorders>
              <w:top w:val="nil"/>
              <w:bottom w:val="nil"/>
            </w:tcBorders>
          </w:tcPr>
          <w:p w14:paraId="19E526A3" w14:textId="77777777" w:rsidR="00FA6F33" w:rsidRPr="00CB32FE" w:rsidRDefault="00FA6F33" w:rsidP="00FA6F33">
            <w:pPr>
              <w:rPr>
                <w:sz w:val="20"/>
                <w:szCs w:val="20"/>
              </w:rPr>
            </w:pPr>
            <w:r w:rsidRPr="00CB32FE">
              <w:rPr>
                <w:sz w:val="20"/>
                <w:szCs w:val="20"/>
              </w:rPr>
              <w:t>Sex</w:t>
            </w:r>
          </w:p>
        </w:tc>
        <w:tc>
          <w:tcPr>
            <w:tcW w:w="1559" w:type="dxa"/>
            <w:tcBorders>
              <w:top w:val="nil"/>
              <w:bottom w:val="nil"/>
            </w:tcBorders>
          </w:tcPr>
          <w:p w14:paraId="07080AB8" w14:textId="77777777" w:rsidR="00FA6F33" w:rsidRPr="00CB32FE" w:rsidRDefault="00FA6F33" w:rsidP="00FA6F33">
            <w:pPr>
              <w:jc w:val="center"/>
              <w:rPr>
                <w:sz w:val="20"/>
                <w:szCs w:val="20"/>
              </w:rPr>
            </w:pPr>
            <w:r>
              <w:rPr>
                <w:sz w:val="20"/>
                <w:szCs w:val="20"/>
              </w:rPr>
              <w:t>Binary</w:t>
            </w:r>
          </w:p>
        </w:tc>
        <w:tc>
          <w:tcPr>
            <w:tcW w:w="1560" w:type="dxa"/>
            <w:tcBorders>
              <w:top w:val="nil"/>
              <w:bottom w:val="nil"/>
            </w:tcBorders>
          </w:tcPr>
          <w:p w14:paraId="5A8FDD9A" w14:textId="77777777" w:rsidR="00FA6F33" w:rsidRPr="00CB32FE" w:rsidRDefault="00FA6F33" w:rsidP="00FA6F33">
            <w:pPr>
              <w:jc w:val="center"/>
              <w:rPr>
                <w:sz w:val="20"/>
                <w:szCs w:val="20"/>
              </w:rPr>
            </w:pPr>
            <w:r>
              <w:rPr>
                <w:sz w:val="20"/>
                <w:szCs w:val="20"/>
              </w:rPr>
              <w:t>Binary</w:t>
            </w:r>
          </w:p>
        </w:tc>
        <w:tc>
          <w:tcPr>
            <w:tcW w:w="1559" w:type="dxa"/>
            <w:tcBorders>
              <w:top w:val="nil"/>
              <w:bottom w:val="nil"/>
            </w:tcBorders>
          </w:tcPr>
          <w:p w14:paraId="5C3555F4" w14:textId="77777777" w:rsidR="00FA6F33" w:rsidRPr="00CB32FE" w:rsidRDefault="00FA6F33" w:rsidP="00FA6F33">
            <w:pPr>
              <w:jc w:val="center"/>
              <w:rPr>
                <w:sz w:val="20"/>
                <w:szCs w:val="20"/>
              </w:rPr>
            </w:pPr>
            <w:r>
              <w:rPr>
                <w:sz w:val="20"/>
                <w:szCs w:val="20"/>
              </w:rPr>
              <w:t>Binary</w:t>
            </w:r>
          </w:p>
        </w:tc>
        <w:tc>
          <w:tcPr>
            <w:tcW w:w="1238" w:type="dxa"/>
            <w:tcBorders>
              <w:top w:val="nil"/>
              <w:bottom w:val="nil"/>
            </w:tcBorders>
          </w:tcPr>
          <w:p w14:paraId="052F58E5" w14:textId="77777777" w:rsidR="00FA6F33" w:rsidRPr="00CB32FE" w:rsidRDefault="00FA6F33" w:rsidP="00FA6F33">
            <w:pPr>
              <w:jc w:val="center"/>
              <w:rPr>
                <w:sz w:val="20"/>
                <w:szCs w:val="20"/>
              </w:rPr>
            </w:pPr>
            <w:r>
              <w:rPr>
                <w:sz w:val="20"/>
                <w:szCs w:val="20"/>
              </w:rPr>
              <w:t>Binary</w:t>
            </w:r>
          </w:p>
        </w:tc>
      </w:tr>
      <w:tr w:rsidR="00FA6F33" w:rsidRPr="00CB32FE" w14:paraId="4B923CBB" w14:textId="77777777" w:rsidTr="00FA6F33">
        <w:tc>
          <w:tcPr>
            <w:tcW w:w="3828" w:type="dxa"/>
            <w:tcBorders>
              <w:top w:val="nil"/>
              <w:bottom w:val="nil"/>
            </w:tcBorders>
          </w:tcPr>
          <w:p w14:paraId="25B1A9E1" w14:textId="77777777" w:rsidR="00FA6F33" w:rsidRPr="00CB32FE" w:rsidRDefault="00FA6F33" w:rsidP="00FA6F33">
            <w:pPr>
              <w:rPr>
                <w:sz w:val="20"/>
                <w:szCs w:val="20"/>
              </w:rPr>
            </w:pPr>
            <w:r w:rsidRPr="00CB32FE">
              <w:rPr>
                <w:sz w:val="20"/>
                <w:szCs w:val="20"/>
              </w:rPr>
              <w:t>Age category</w:t>
            </w:r>
          </w:p>
        </w:tc>
        <w:tc>
          <w:tcPr>
            <w:tcW w:w="1559" w:type="dxa"/>
            <w:tcBorders>
              <w:top w:val="nil"/>
              <w:bottom w:val="nil"/>
            </w:tcBorders>
          </w:tcPr>
          <w:p w14:paraId="2BCEE14D" w14:textId="77777777" w:rsidR="00FA6F33" w:rsidRPr="00CB32FE" w:rsidRDefault="00FA6F33" w:rsidP="00FA6F33">
            <w:pPr>
              <w:jc w:val="center"/>
              <w:rPr>
                <w:sz w:val="20"/>
                <w:szCs w:val="20"/>
              </w:rPr>
            </w:pPr>
            <w:r>
              <w:rPr>
                <w:sz w:val="20"/>
                <w:szCs w:val="20"/>
              </w:rPr>
              <w:t>6 categories</w:t>
            </w:r>
          </w:p>
        </w:tc>
        <w:tc>
          <w:tcPr>
            <w:tcW w:w="1560" w:type="dxa"/>
            <w:tcBorders>
              <w:top w:val="nil"/>
              <w:bottom w:val="nil"/>
            </w:tcBorders>
          </w:tcPr>
          <w:p w14:paraId="3AA6022B" w14:textId="77777777" w:rsidR="00FA6F33" w:rsidRPr="00CB32FE" w:rsidRDefault="00FA6F33" w:rsidP="00FA6F33">
            <w:pPr>
              <w:jc w:val="center"/>
              <w:rPr>
                <w:sz w:val="20"/>
                <w:szCs w:val="20"/>
              </w:rPr>
            </w:pPr>
            <w:r>
              <w:rPr>
                <w:sz w:val="20"/>
                <w:szCs w:val="20"/>
              </w:rPr>
              <w:t>4 categories</w:t>
            </w:r>
          </w:p>
        </w:tc>
        <w:tc>
          <w:tcPr>
            <w:tcW w:w="1559" w:type="dxa"/>
            <w:tcBorders>
              <w:top w:val="nil"/>
              <w:bottom w:val="nil"/>
            </w:tcBorders>
          </w:tcPr>
          <w:p w14:paraId="0DADF222" w14:textId="77777777" w:rsidR="00FA6F33" w:rsidRPr="00CB32FE" w:rsidRDefault="00FA6F33" w:rsidP="00FA6F33">
            <w:pPr>
              <w:jc w:val="center"/>
              <w:rPr>
                <w:sz w:val="20"/>
                <w:szCs w:val="20"/>
              </w:rPr>
            </w:pPr>
            <w:r>
              <w:rPr>
                <w:sz w:val="20"/>
                <w:szCs w:val="20"/>
              </w:rPr>
              <w:t>4 categories</w:t>
            </w:r>
          </w:p>
        </w:tc>
        <w:tc>
          <w:tcPr>
            <w:tcW w:w="1238" w:type="dxa"/>
            <w:tcBorders>
              <w:top w:val="nil"/>
              <w:bottom w:val="nil"/>
            </w:tcBorders>
          </w:tcPr>
          <w:p w14:paraId="652EB2E7" w14:textId="77777777" w:rsidR="00FA6F33" w:rsidRPr="00CB32FE" w:rsidRDefault="00FA6F33" w:rsidP="00FA6F33">
            <w:pPr>
              <w:jc w:val="center"/>
              <w:rPr>
                <w:sz w:val="20"/>
                <w:szCs w:val="20"/>
              </w:rPr>
            </w:pPr>
            <w:r>
              <w:rPr>
                <w:sz w:val="20"/>
                <w:szCs w:val="20"/>
              </w:rPr>
              <w:t>4 categories</w:t>
            </w:r>
          </w:p>
        </w:tc>
      </w:tr>
      <w:tr w:rsidR="00FA6F33" w:rsidRPr="00CB32FE" w14:paraId="7F7E2BCB" w14:textId="77777777" w:rsidTr="00FA6F33">
        <w:tc>
          <w:tcPr>
            <w:tcW w:w="3828" w:type="dxa"/>
            <w:tcBorders>
              <w:top w:val="nil"/>
              <w:bottom w:val="nil"/>
            </w:tcBorders>
          </w:tcPr>
          <w:p w14:paraId="4430B297" w14:textId="77777777" w:rsidR="00FA6F33" w:rsidRPr="00CB32FE" w:rsidRDefault="00FA6F33" w:rsidP="00FA6F33">
            <w:pPr>
              <w:rPr>
                <w:sz w:val="20"/>
                <w:szCs w:val="20"/>
              </w:rPr>
            </w:pPr>
            <w:r>
              <w:rPr>
                <w:sz w:val="20"/>
                <w:szCs w:val="20"/>
              </w:rPr>
              <w:t>Ethnicity (</w:t>
            </w:r>
            <w:r w:rsidR="00DE76F8">
              <w:rPr>
                <w:sz w:val="20"/>
                <w:szCs w:val="20"/>
              </w:rPr>
              <w:t>w</w:t>
            </w:r>
            <w:r>
              <w:rPr>
                <w:sz w:val="20"/>
                <w:szCs w:val="20"/>
              </w:rPr>
              <w:t>hite/</w:t>
            </w:r>
            <w:r w:rsidR="00103A91">
              <w:rPr>
                <w:sz w:val="20"/>
                <w:szCs w:val="20"/>
              </w:rPr>
              <w:t>non-white</w:t>
            </w:r>
            <w:r>
              <w:rPr>
                <w:sz w:val="20"/>
                <w:szCs w:val="20"/>
              </w:rPr>
              <w:t>)</w:t>
            </w:r>
          </w:p>
        </w:tc>
        <w:tc>
          <w:tcPr>
            <w:tcW w:w="1559" w:type="dxa"/>
            <w:tcBorders>
              <w:top w:val="nil"/>
              <w:bottom w:val="nil"/>
            </w:tcBorders>
          </w:tcPr>
          <w:p w14:paraId="1B4030D6" w14:textId="77777777" w:rsidR="00FA6F33" w:rsidRPr="00CB32FE" w:rsidRDefault="00FA6F33" w:rsidP="00FA6F33">
            <w:pPr>
              <w:jc w:val="center"/>
              <w:rPr>
                <w:sz w:val="20"/>
                <w:szCs w:val="20"/>
              </w:rPr>
            </w:pPr>
            <w:r>
              <w:rPr>
                <w:sz w:val="20"/>
                <w:szCs w:val="20"/>
              </w:rPr>
              <w:t>Binary</w:t>
            </w:r>
          </w:p>
        </w:tc>
        <w:tc>
          <w:tcPr>
            <w:tcW w:w="1560" w:type="dxa"/>
            <w:tcBorders>
              <w:top w:val="nil"/>
              <w:bottom w:val="nil"/>
            </w:tcBorders>
          </w:tcPr>
          <w:p w14:paraId="089E3D64" w14:textId="77777777" w:rsidR="00FA6F33" w:rsidRPr="00CB32FE" w:rsidRDefault="00FA6F33" w:rsidP="00FA6F33">
            <w:pPr>
              <w:jc w:val="center"/>
              <w:rPr>
                <w:sz w:val="20"/>
                <w:szCs w:val="20"/>
              </w:rPr>
            </w:pPr>
            <w:r>
              <w:rPr>
                <w:sz w:val="20"/>
                <w:szCs w:val="20"/>
              </w:rPr>
              <w:t>Binary</w:t>
            </w:r>
          </w:p>
        </w:tc>
        <w:tc>
          <w:tcPr>
            <w:tcW w:w="1559" w:type="dxa"/>
            <w:tcBorders>
              <w:top w:val="nil"/>
              <w:bottom w:val="nil"/>
            </w:tcBorders>
          </w:tcPr>
          <w:p w14:paraId="39A5C8EB" w14:textId="77777777" w:rsidR="00FA6F33" w:rsidRDefault="0061610F" w:rsidP="00FA6F33">
            <w:pPr>
              <w:jc w:val="center"/>
              <w:rPr>
                <w:sz w:val="20"/>
                <w:szCs w:val="20"/>
              </w:rPr>
            </w:pPr>
            <w:r>
              <w:rPr>
                <w:sz w:val="20"/>
                <w:szCs w:val="20"/>
              </w:rPr>
              <w:t>Binary</w:t>
            </w:r>
          </w:p>
        </w:tc>
        <w:tc>
          <w:tcPr>
            <w:tcW w:w="1238" w:type="dxa"/>
            <w:tcBorders>
              <w:top w:val="nil"/>
              <w:bottom w:val="nil"/>
            </w:tcBorders>
          </w:tcPr>
          <w:p w14:paraId="2819C3ED" w14:textId="77777777" w:rsidR="00FA6F33" w:rsidRDefault="00FA6F33" w:rsidP="00FA6F33">
            <w:pPr>
              <w:jc w:val="center"/>
              <w:rPr>
                <w:sz w:val="20"/>
                <w:szCs w:val="20"/>
              </w:rPr>
            </w:pPr>
            <w:r>
              <w:rPr>
                <w:sz w:val="20"/>
                <w:szCs w:val="20"/>
              </w:rPr>
              <w:t>-</w:t>
            </w:r>
          </w:p>
        </w:tc>
      </w:tr>
      <w:tr w:rsidR="00FA6F33" w:rsidRPr="00CB32FE" w14:paraId="42F5A0D7" w14:textId="77777777" w:rsidTr="00FA6F33">
        <w:tc>
          <w:tcPr>
            <w:tcW w:w="3828" w:type="dxa"/>
            <w:tcBorders>
              <w:top w:val="nil"/>
              <w:bottom w:val="nil"/>
            </w:tcBorders>
          </w:tcPr>
          <w:p w14:paraId="2662FCA4" w14:textId="77777777" w:rsidR="00FA6F33" w:rsidRPr="00A36CCD" w:rsidRDefault="00FA6F33" w:rsidP="00FA6F33">
            <w:pPr>
              <w:rPr>
                <w:sz w:val="20"/>
                <w:szCs w:val="20"/>
              </w:rPr>
            </w:pPr>
            <w:r w:rsidRPr="00A36CCD">
              <w:rPr>
                <w:sz w:val="20"/>
                <w:szCs w:val="20"/>
              </w:rPr>
              <w:t>Usually cycle weekly (yes/no)</w:t>
            </w:r>
            <w:r w:rsidR="00754F57" w:rsidRPr="00A36CCD">
              <w:rPr>
                <w:rStyle w:val="FootnoteReference"/>
                <w:sz w:val="20"/>
                <w:szCs w:val="20"/>
              </w:rPr>
              <w:footnoteReference w:id="4"/>
            </w:r>
          </w:p>
        </w:tc>
        <w:tc>
          <w:tcPr>
            <w:tcW w:w="1559" w:type="dxa"/>
            <w:tcBorders>
              <w:top w:val="nil"/>
              <w:bottom w:val="nil"/>
            </w:tcBorders>
          </w:tcPr>
          <w:p w14:paraId="3E82D6A7" w14:textId="77777777" w:rsidR="00FA6F33" w:rsidRPr="00A36CCD" w:rsidRDefault="00FA6F33" w:rsidP="00FA6F33">
            <w:pPr>
              <w:jc w:val="center"/>
              <w:rPr>
                <w:sz w:val="20"/>
                <w:szCs w:val="20"/>
              </w:rPr>
            </w:pPr>
            <w:r w:rsidRPr="00A36CCD">
              <w:rPr>
                <w:sz w:val="20"/>
                <w:szCs w:val="20"/>
              </w:rPr>
              <w:t>Binary</w:t>
            </w:r>
          </w:p>
        </w:tc>
        <w:tc>
          <w:tcPr>
            <w:tcW w:w="1560" w:type="dxa"/>
            <w:tcBorders>
              <w:top w:val="nil"/>
              <w:bottom w:val="nil"/>
            </w:tcBorders>
          </w:tcPr>
          <w:p w14:paraId="3C718B8D" w14:textId="77777777" w:rsidR="00FA6F33" w:rsidRPr="00A36CCD" w:rsidRDefault="00FA6F33" w:rsidP="00FA6F33">
            <w:pPr>
              <w:jc w:val="center"/>
              <w:rPr>
                <w:sz w:val="20"/>
                <w:szCs w:val="20"/>
              </w:rPr>
            </w:pPr>
            <w:r w:rsidRPr="00A36CCD">
              <w:rPr>
                <w:sz w:val="20"/>
                <w:szCs w:val="20"/>
              </w:rPr>
              <w:t>Binary</w:t>
            </w:r>
          </w:p>
        </w:tc>
        <w:tc>
          <w:tcPr>
            <w:tcW w:w="1559" w:type="dxa"/>
            <w:tcBorders>
              <w:top w:val="nil"/>
              <w:bottom w:val="nil"/>
            </w:tcBorders>
          </w:tcPr>
          <w:p w14:paraId="6B03739E" w14:textId="77777777" w:rsidR="00FA6F33" w:rsidRPr="00A36CCD" w:rsidRDefault="00FA6F33" w:rsidP="00FA6F33">
            <w:pPr>
              <w:jc w:val="center"/>
              <w:rPr>
                <w:sz w:val="20"/>
                <w:szCs w:val="20"/>
              </w:rPr>
            </w:pPr>
            <w:r w:rsidRPr="00A36CCD">
              <w:rPr>
                <w:sz w:val="20"/>
                <w:szCs w:val="20"/>
              </w:rPr>
              <w:t>Binary</w:t>
            </w:r>
          </w:p>
        </w:tc>
        <w:tc>
          <w:tcPr>
            <w:tcW w:w="1238" w:type="dxa"/>
            <w:tcBorders>
              <w:top w:val="nil"/>
              <w:bottom w:val="nil"/>
            </w:tcBorders>
          </w:tcPr>
          <w:p w14:paraId="7E77549A" w14:textId="77777777" w:rsidR="00FA6F33" w:rsidRPr="00A36CCD" w:rsidRDefault="00FA6F33" w:rsidP="00FA6F33">
            <w:pPr>
              <w:jc w:val="center"/>
              <w:rPr>
                <w:sz w:val="20"/>
                <w:szCs w:val="20"/>
              </w:rPr>
            </w:pPr>
            <w:r w:rsidRPr="00A36CCD">
              <w:rPr>
                <w:sz w:val="20"/>
                <w:szCs w:val="20"/>
              </w:rPr>
              <w:t>Binary</w:t>
            </w:r>
          </w:p>
        </w:tc>
      </w:tr>
      <w:tr w:rsidR="00FA6F33" w:rsidRPr="00CB32FE" w14:paraId="113F82AC" w14:textId="77777777" w:rsidTr="00FA6F33">
        <w:tc>
          <w:tcPr>
            <w:tcW w:w="3828" w:type="dxa"/>
            <w:tcBorders>
              <w:top w:val="nil"/>
              <w:bottom w:val="nil"/>
            </w:tcBorders>
          </w:tcPr>
          <w:p w14:paraId="64282C8C" w14:textId="77777777" w:rsidR="00FA6F33" w:rsidRPr="00A36CCD" w:rsidRDefault="00FA6F33" w:rsidP="00FA6F33">
            <w:pPr>
              <w:rPr>
                <w:sz w:val="20"/>
                <w:szCs w:val="20"/>
              </w:rPr>
            </w:pPr>
            <w:r w:rsidRPr="00A36CCD">
              <w:rPr>
                <w:sz w:val="20"/>
                <w:szCs w:val="20"/>
              </w:rPr>
              <w:t>Past-week time spent walking for transport</w:t>
            </w:r>
            <w:r w:rsidR="009106DB" w:rsidRPr="00A36CCD">
              <w:rPr>
                <w:rStyle w:val="FootnoteReference"/>
                <w:sz w:val="20"/>
                <w:szCs w:val="20"/>
              </w:rPr>
              <w:footnoteReference w:id="5"/>
            </w:r>
          </w:p>
        </w:tc>
        <w:tc>
          <w:tcPr>
            <w:tcW w:w="1559" w:type="dxa"/>
            <w:tcBorders>
              <w:top w:val="nil"/>
              <w:bottom w:val="nil"/>
            </w:tcBorders>
          </w:tcPr>
          <w:p w14:paraId="7441EBE5" w14:textId="77777777" w:rsidR="00FA6F33" w:rsidRPr="00A36CCD" w:rsidRDefault="00FA6F33" w:rsidP="00FA6F33">
            <w:pPr>
              <w:jc w:val="center"/>
              <w:rPr>
                <w:sz w:val="20"/>
                <w:szCs w:val="20"/>
              </w:rPr>
            </w:pPr>
            <w:r w:rsidRPr="00A36CCD">
              <w:rPr>
                <w:sz w:val="20"/>
                <w:szCs w:val="20"/>
              </w:rPr>
              <w:t>4 categories</w:t>
            </w:r>
          </w:p>
        </w:tc>
        <w:tc>
          <w:tcPr>
            <w:tcW w:w="1560" w:type="dxa"/>
            <w:tcBorders>
              <w:top w:val="nil"/>
              <w:bottom w:val="nil"/>
            </w:tcBorders>
          </w:tcPr>
          <w:p w14:paraId="2003A5C2" w14:textId="77777777" w:rsidR="00FA6F33" w:rsidRPr="00A36CCD" w:rsidRDefault="00FA6F33" w:rsidP="00FA6F33">
            <w:pPr>
              <w:jc w:val="center"/>
              <w:rPr>
                <w:sz w:val="20"/>
                <w:szCs w:val="20"/>
              </w:rPr>
            </w:pPr>
            <w:r w:rsidRPr="00A36CCD">
              <w:rPr>
                <w:sz w:val="20"/>
                <w:szCs w:val="20"/>
              </w:rPr>
              <w:t>4 categories</w:t>
            </w:r>
          </w:p>
        </w:tc>
        <w:tc>
          <w:tcPr>
            <w:tcW w:w="1559" w:type="dxa"/>
            <w:tcBorders>
              <w:top w:val="nil"/>
              <w:bottom w:val="nil"/>
            </w:tcBorders>
          </w:tcPr>
          <w:p w14:paraId="46FAB6CD" w14:textId="77777777" w:rsidR="00FA6F33" w:rsidRPr="00A36CCD" w:rsidRDefault="00FA6F33" w:rsidP="00FA6F33">
            <w:pPr>
              <w:jc w:val="center"/>
              <w:rPr>
                <w:sz w:val="20"/>
                <w:szCs w:val="20"/>
              </w:rPr>
            </w:pPr>
            <w:r w:rsidRPr="00A36CCD">
              <w:rPr>
                <w:sz w:val="20"/>
                <w:szCs w:val="20"/>
              </w:rPr>
              <w:t>3 categories</w:t>
            </w:r>
          </w:p>
        </w:tc>
        <w:tc>
          <w:tcPr>
            <w:tcW w:w="1238" w:type="dxa"/>
            <w:tcBorders>
              <w:top w:val="nil"/>
              <w:bottom w:val="nil"/>
            </w:tcBorders>
          </w:tcPr>
          <w:p w14:paraId="1B43C093" w14:textId="77777777" w:rsidR="00FA6F33" w:rsidRPr="00A36CCD" w:rsidRDefault="00FA6F33" w:rsidP="00FA6F33">
            <w:pPr>
              <w:jc w:val="center"/>
              <w:rPr>
                <w:sz w:val="20"/>
                <w:szCs w:val="20"/>
              </w:rPr>
            </w:pPr>
            <w:r w:rsidRPr="00A36CCD">
              <w:rPr>
                <w:sz w:val="20"/>
                <w:szCs w:val="20"/>
              </w:rPr>
              <w:t>3 categories</w:t>
            </w:r>
          </w:p>
        </w:tc>
      </w:tr>
      <w:tr w:rsidR="00FA6F33" w:rsidRPr="00CB32FE" w14:paraId="1232C828" w14:textId="77777777" w:rsidTr="00FA6F33">
        <w:trPr>
          <w:trHeight w:val="70"/>
        </w:trPr>
        <w:tc>
          <w:tcPr>
            <w:tcW w:w="3828" w:type="dxa"/>
            <w:tcBorders>
              <w:bottom w:val="single" w:sz="4" w:space="0" w:color="auto"/>
            </w:tcBorders>
          </w:tcPr>
          <w:p w14:paraId="4C84CDF6" w14:textId="77777777" w:rsidR="00FA6F33" w:rsidRPr="00A36CCD" w:rsidRDefault="00FA6F33" w:rsidP="00FA6F33">
            <w:pPr>
              <w:rPr>
                <w:sz w:val="8"/>
                <w:szCs w:val="20"/>
              </w:rPr>
            </w:pPr>
          </w:p>
        </w:tc>
        <w:tc>
          <w:tcPr>
            <w:tcW w:w="1559" w:type="dxa"/>
            <w:tcBorders>
              <w:bottom w:val="single" w:sz="4" w:space="0" w:color="auto"/>
            </w:tcBorders>
          </w:tcPr>
          <w:p w14:paraId="1DDE292A" w14:textId="77777777" w:rsidR="00FA6F33" w:rsidRPr="00A36CCD" w:rsidRDefault="00FA6F33" w:rsidP="00FA6F33">
            <w:pPr>
              <w:jc w:val="center"/>
              <w:rPr>
                <w:sz w:val="8"/>
                <w:szCs w:val="20"/>
              </w:rPr>
            </w:pPr>
          </w:p>
        </w:tc>
        <w:tc>
          <w:tcPr>
            <w:tcW w:w="1560" w:type="dxa"/>
            <w:tcBorders>
              <w:bottom w:val="single" w:sz="4" w:space="0" w:color="auto"/>
            </w:tcBorders>
          </w:tcPr>
          <w:p w14:paraId="6EDDFF14" w14:textId="77777777" w:rsidR="00FA6F33" w:rsidRPr="00A36CCD" w:rsidRDefault="00FA6F33" w:rsidP="00FA6F33">
            <w:pPr>
              <w:jc w:val="center"/>
              <w:rPr>
                <w:sz w:val="8"/>
                <w:szCs w:val="20"/>
              </w:rPr>
            </w:pPr>
          </w:p>
        </w:tc>
        <w:tc>
          <w:tcPr>
            <w:tcW w:w="1559" w:type="dxa"/>
            <w:tcBorders>
              <w:bottom w:val="single" w:sz="4" w:space="0" w:color="auto"/>
            </w:tcBorders>
          </w:tcPr>
          <w:p w14:paraId="558FA5C4" w14:textId="77777777" w:rsidR="00FA6F33" w:rsidRPr="00A36CCD" w:rsidRDefault="00FA6F33" w:rsidP="00FA6F33">
            <w:pPr>
              <w:jc w:val="center"/>
              <w:rPr>
                <w:sz w:val="8"/>
                <w:szCs w:val="20"/>
              </w:rPr>
            </w:pPr>
          </w:p>
        </w:tc>
        <w:tc>
          <w:tcPr>
            <w:tcW w:w="1238" w:type="dxa"/>
            <w:tcBorders>
              <w:bottom w:val="single" w:sz="4" w:space="0" w:color="auto"/>
            </w:tcBorders>
          </w:tcPr>
          <w:p w14:paraId="02D721A7" w14:textId="77777777" w:rsidR="00FA6F33" w:rsidRPr="00A36CCD" w:rsidRDefault="00FA6F33" w:rsidP="00FA6F33">
            <w:pPr>
              <w:jc w:val="center"/>
              <w:rPr>
                <w:sz w:val="8"/>
                <w:szCs w:val="20"/>
              </w:rPr>
            </w:pPr>
          </w:p>
        </w:tc>
      </w:tr>
      <w:tr w:rsidR="00647DC7" w:rsidRPr="00647DC7" w14:paraId="60198425" w14:textId="77777777" w:rsidTr="00CF2DE3">
        <w:trPr>
          <w:trHeight w:val="70"/>
        </w:trPr>
        <w:tc>
          <w:tcPr>
            <w:tcW w:w="3828" w:type="dxa"/>
            <w:tcBorders>
              <w:bottom w:val="nil"/>
            </w:tcBorders>
          </w:tcPr>
          <w:p w14:paraId="41355AC2" w14:textId="77777777" w:rsidR="00647DC7" w:rsidRPr="00E44776" w:rsidRDefault="00647DC7" w:rsidP="00647DC7">
            <w:pPr>
              <w:rPr>
                <w:sz w:val="20"/>
                <w:szCs w:val="20"/>
              </w:rPr>
            </w:pPr>
            <w:r w:rsidRPr="00E44776">
              <w:rPr>
                <w:sz w:val="20"/>
                <w:szCs w:val="20"/>
              </w:rPr>
              <w:t xml:space="preserve">% Census individuals who can be matched </w:t>
            </w:r>
          </w:p>
        </w:tc>
        <w:tc>
          <w:tcPr>
            <w:tcW w:w="1559" w:type="dxa"/>
            <w:tcBorders>
              <w:bottom w:val="nil"/>
            </w:tcBorders>
          </w:tcPr>
          <w:p w14:paraId="36E7A61C" w14:textId="3A28B239" w:rsidR="00647DC7" w:rsidRPr="00C73C30" w:rsidRDefault="00402E36" w:rsidP="00647DC7">
            <w:pPr>
              <w:jc w:val="center"/>
              <w:rPr>
                <w:sz w:val="20"/>
                <w:szCs w:val="20"/>
              </w:rPr>
            </w:pPr>
            <w:r w:rsidRPr="00C73C30">
              <w:rPr>
                <w:sz w:val="20"/>
                <w:szCs w:val="20"/>
              </w:rPr>
              <w:t>6</w:t>
            </w:r>
            <w:r w:rsidR="00C73C30" w:rsidRPr="003C1477">
              <w:rPr>
                <w:sz w:val="20"/>
                <w:szCs w:val="20"/>
              </w:rPr>
              <w:t>7</w:t>
            </w:r>
            <w:r w:rsidRPr="00C73C30">
              <w:rPr>
                <w:sz w:val="20"/>
                <w:szCs w:val="20"/>
              </w:rPr>
              <w:t>.</w:t>
            </w:r>
            <w:r w:rsidR="00C73C30" w:rsidRPr="003C1477">
              <w:rPr>
                <w:sz w:val="20"/>
                <w:szCs w:val="20"/>
              </w:rPr>
              <w:t>8</w:t>
            </w:r>
            <w:r w:rsidRPr="00C73C30">
              <w:rPr>
                <w:sz w:val="20"/>
                <w:szCs w:val="20"/>
              </w:rPr>
              <w:t>%</w:t>
            </w:r>
          </w:p>
        </w:tc>
        <w:tc>
          <w:tcPr>
            <w:tcW w:w="1560" w:type="dxa"/>
            <w:tcBorders>
              <w:bottom w:val="nil"/>
            </w:tcBorders>
          </w:tcPr>
          <w:p w14:paraId="6FDC4DA5" w14:textId="464A1105" w:rsidR="00647DC7" w:rsidRPr="00C73C30" w:rsidRDefault="00402E36" w:rsidP="00647DC7">
            <w:pPr>
              <w:jc w:val="center"/>
              <w:rPr>
                <w:sz w:val="20"/>
                <w:szCs w:val="20"/>
              </w:rPr>
            </w:pPr>
            <w:r w:rsidRPr="00C73C30">
              <w:rPr>
                <w:sz w:val="20"/>
                <w:szCs w:val="20"/>
              </w:rPr>
              <w:t>78.</w:t>
            </w:r>
            <w:r w:rsidR="00C73C30" w:rsidRPr="003C1477">
              <w:rPr>
                <w:sz w:val="20"/>
                <w:szCs w:val="20"/>
              </w:rPr>
              <w:t>5</w:t>
            </w:r>
            <w:r w:rsidR="00A36CCD" w:rsidRPr="00C73C30">
              <w:rPr>
                <w:sz w:val="20"/>
                <w:szCs w:val="20"/>
              </w:rPr>
              <w:t>%</w:t>
            </w:r>
          </w:p>
        </w:tc>
        <w:tc>
          <w:tcPr>
            <w:tcW w:w="1559" w:type="dxa"/>
            <w:tcBorders>
              <w:bottom w:val="nil"/>
            </w:tcBorders>
          </w:tcPr>
          <w:p w14:paraId="719BAC19" w14:textId="227BBE44" w:rsidR="00647DC7" w:rsidRPr="00C73C30" w:rsidRDefault="00E44776" w:rsidP="00647DC7">
            <w:pPr>
              <w:jc w:val="center"/>
              <w:rPr>
                <w:sz w:val="20"/>
                <w:szCs w:val="20"/>
              </w:rPr>
            </w:pPr>
            <w:r w:rsidRPr="00C73C30">
              <w:rPr>
                <w:sz w:val="20"/>
                <w:szCs w:val="20"/>
              </w:rPr>
              <w:t>9</w:t>
            </w:r>
            <w:r w:rsidR="00402E36" w:rsidRPr="00C73C30">
              <w:rPr>
                <w:sz w:val="20"/>
                <w:szCs w:val="20"/>
              </w:rPr>
              <w:t>9.</w:t>
            </w:r>
            <w:r w:rsidR="00C73C30" w:rsidRPr="003C1477">
              <w:rPr>
                <w:sz w:val="20"/>
                <w:szCs w:val="20"/>
              </w:rPr>
              <w:t>9</w:t>
            </w:r>
            <w:r w:rsidRPr="00C73C30">
              <w:rPr>
                <w:sz w:val="20"/>
                <w:szCs w:val="20"/>
              </w:rPr>
              <w:t>%</w:t>
            </w:r>
          </w:p>
        </w:tc>
        <w:tc>
          <w:tcPr>
            <w:tcW w:w="1238" w:type="dxa"/>
            <w:tcBorders>
              <w:bottom w:val="nil"/>
            </w:tcBorders>
          </w:tcPr>
          <w:p w14:paraId="7C263057" w14:textId="77777777" w:rsidR="00647DC7" w:rsidRPr="00C73C30" w:rsidRDefault="00BE1946" w:rsidP="00647DC7">
            <w:pPr>
              <w:jc w:val="center"/>
              <w:rPr>
                <w:sz w:val="20"/>
                <w:szCs w:val="20"/>
              </w:rPr>
            </w:pPr>
            <w:r w:rsidRPr="00C73C30">
              <w:rPr>
                <w:sz w:val="20"/>
                <w:szCs w:val="20"/>
              </w:rPr>
              <w:t>100%</w:t>
            </w:r>
          </w:p>
        </w:tc>
      </w:tr>
      <w:tr w:rsidR="00647DC7" w:rsidRPr="00CB32FE" w14:paraId="0DB23F86" w14:textId="77777777" w:rsidTr="00FA6F33">
        <w:tc>
          <w:tcPr>
            <w:tcW w:w="3828" w:type="dxa"/>
            <w:tcBorders>
              <w:top w:val="nil"/>
            </w:tcBorders>
          </w:tcPr>
          <w:p w14:paraId="4DEF7A19" w14:textId="77777777" w:rsidR="00647DC7" w:rsidRPr="00E44776" w:rsidRDefault="00647DC7" w:rsidP="00647DC7">
            <w:pPr>
              <w:rPr>
                <w:sz w:val="20"/>
                <w:szCs w:val="20"/>
              </w:rPr>
            </w:pPr>
            <w:r w:rsidRPr="00E44776">
              <w:rPr>
                <w:sz w:val="20"/>
                <w:szCs w:val="20"/>
              </w:rPr>
              <w:t xml:space="preserve">% Census individuals using this match </w:t>
            </w:r>
          </w:p>
        </w:tc>
        <w:tc>
          <w:tcPr>
            <w:tcW w:w="1559" w:type="dxa"/>
            <w:tcBorders>
              <w:top w:val="nil"/>
            </w:tcBorders>
          </w:tcPr>
          <w:p w14:paraId="772BF82E" w14:textId="0B373B08" w:rsidR="00647DC7" w:rsidRPr="00C73C30" w:rsidRDefault="00AC7B5D" w:rsidP="00647DC7">
            <w:pPr>
              <w:jc w:val="center"/>
              <w:rPr>
                <w:sz w:val="20"/>
                <w:szCs w:val="20"/>
              </w:rPr>
            </w:pPr>
            <w:r w:rsidRPr="00C73C30">
              <w:rPr>
                <w:sz w:val="20"/>
                <w:szCs w:val="20"/>
              </w:rPr>
              <w:t>6</w:t>
            </w:r>
            <w:r w:rsidR="00C73C30" w:rsidRPr="003C1477">
              <w:rPr>
                <w:sz w:val="20"/>
                <w:szCs w:val="20"/>
              </w:rPr>
              <w:t>7</w:t>
            </w:r>
            <w:r w:rsidR="00E44776" w:rsidRPr="00C73C30">
              <w:rPr>
                <w:sz w:val="20"/>
                <w:szCs w:val="20"/>
              </w:rPr>
              <w:t>.</w:t>
            </w:r>
            <w:r w:rsidR="00C73C30" w:rsidRPr="003C1477">
              <w:rPr>
                <w:sz w:val="20"/>
                <w:szCs w:val="20"/>
              </w:rPr>
              <w:t>8</w:t>
            </w:r>
            <w:r w:rsidR="00E44776" w:rsidRPr="00C73C30">
              <w:rPr>
                <w:sz w:val="20"/>
                <w:szCs w:val="20"/>
              </w:rPr>
              <w:t>%</w:t>
            </w:r>
          </w:p>
        </w:tc>
        <w:tc>
          <w:tcPr>
            <w:tcW w:w="1560" w:type="dxa"/>
            <w:tcBorders>
              <w:top w:val="nil"/>
            </w:tcBorders>
          </w:tcPr>
          <w:p w14:paraId="6CDCFA83" w14:textId="16F0EAE8" w:rsidR="00647DC7" w:rsidRPr="00C73C30" w:rsidRDefault="00A36CCD" w:rsidP="00647DC7">
            <w:pPr>
              <w:jc w:val="center"/>
              <w:rPr>
                <w:sz w:val="20"/>
                <w:szCs w:val="20"/>
              </w:rPr>
            </w:pPr>
            <w:r w:rsidRPr="00C73C30">
              <w:rPr>
                <w:sz w:val="20"/>
                <w:szCs w:val="20"/>
              </w:rPr>
              <w:t>1</w:t>
            </w:r>
            <w:r w:rsidR="00C73C30" w:rsidRPr="003C1477">
              <w:rPr>
                <w:sz w:val="20"/>
                <w:szCs w:val="20"/>
              </w:rPr>
              <w:t>0</w:t>
            </w:r>
            <w:r w:rsidRPr="00C73C30">
              <w:rPr>
                <w:sz w:val="20"/>
                <w:szCs w:val="20"/>
              </w:rPr>
              <w:t>.</w:t>
            </w:r>
            <w:r w:rsidR="00C73C30" w:rsidRPr="003C1477">
              <w:rPr>
                <w:sz w:val="20"/>
                <w:szCs w:val="20"/>
              </w:rPr>
              <w:t>6</w:t>
            </w:r>
            <w:r w:rsidRPr="00C73C30">
              <w:rPr>
                <w:sz w:val="20"/>
                <w:szCs w:val="20"/>
              </w:rPr>
              <w:t>%</w:t>
            </w:r>
          </w:p>
        </w:tc>
        <w:tc>
          <w:tcPr>
            <w:tcW w:w="1559" w:type="dxa"/>
            <w:tcBorders>
              <w:top w:val="nil"/>
            </w:tcBorders>
          </w:tcPr>
          <w:p w14:paraId="748372E4" w14:textId="4501DEFF" w:rsidR="00647DC7" w:rsidRPr="00C73C30" w:rsidRDefault="00402E36" w:rsidP="00647DC7">
            <w:pPr>
              <w:jc w:val="center"/>
              <w:rPr>
                <w:sz w:val="20"/>
                <w:szCs w:val="20"/>
              </w:rPr>
            </w:pPr>
            <w:r w:rsidRPr="00C73C30">
              <w:rPr>
                <w:sz w:val="20"/>
                <w:szCs w:val="20"/>
              </w:rPr>
              <w:t>2</w:t>
            </w:r>
            <w:r w:rsidR="00C73C30" w:rsidRPr="003C1477">
              <w:rPr>
                <w:sz w:val="20"/>
                <w:szCs w:val="20"/>
              </w:rPr>
              <w:t>1.4</w:t>
            </w:r>
            <w:r w:rsidR="00A36CCD" w:rsidRPr="00C73C30">
              <w:rPr>
                <w:sz w:val="20"/>
                <w:szCs w:val="20"/>
              </w:rPr>
              <w:t>%</w:t>
            </w:r>
          </w:p>
        </w:tc>
        <w:tc>
          <w:tcPr>
            <w:tcW w:w="1238" w:type="dxa"/>
            <w:tcBorders>
              <w:top w:val="nil"/>
            </w:tcBorders>
          </w:tcPr>
          <w:p w14:paraId="71DB860B" w14:textId="73D4B892" w:rsidR="00647DC7" w:rsidRPr="00C73C30" w:rsidRDefault="00402E36" w:rsidP="00647DC7">
            <w:pPr>
              <w:jc w:val="center"/>
              <w:rPr>
                <w:sz w:val="20"/>
                <w:szCs w:val="20"/>
              </w:rPr>
            </w:pPr>
            <w:r w:rsidRPr="00C73C30">
              <w:rPr>
                <w:sz w:val="20"/>
                <w:szCs w:val="20"/>
              </w:rPr>
              <w:t>0.</w:t>
            </w:r>
            <w:r w:rsidR="00C73C30" w:rsidRPr="003C1477">
              <w:rPr>
                <w:sz w:val="20"/>
                <w:szCs w:val="20"/>
              </w:rPr>
              <w:t>1</w:t>
            </w:r>
            <w:r w:rsidR="00BE1946" w:rsidRPr="00C73C30">
              <w:rPr>
                <w:sz w:val="20"/>
                <w:szCs w:val="20"/>
              </w:rPr>
              <w:t>%</w:t>
            </w:r>
          </w:p>
        </w:tc>
      </w:tr>
    </w:tbl>
    <w:p w14:paraId="0A3B9DF9" w14:textId="77777777" w:rsidR="009465F1" w:rsidRDefault="009465F1" w:rsidP="00D86D89"/>
    <w:p w14:paraId="1679AA87" w14:textId="683611DC" w:rsidR="00FA6950" w:rsidRPr="0078672F" w:rsidRDefault="0039701F" w:rsidP="0039701F">
      <w:pPr>
        <w:pStyle w:val="ListParagraph"/>
        <w:numPr>
          <w:ilvl w:val="0"/>
          <w:numId w:val="35"/>
        </w:numPr>
      </w:pPr>
      <w:r w:rsidRPr="0078672F">
        <w:t xml:space="preserve">The </w:t>
      </w:r>
      <w:r w:rsidR="0078672F" w:rsidRPr="0078672F">
        <w:t>key</w:t>
      </w:r>
      <w:r w:rsidRPr="0078672F">
        <w:t xml:space="preserve"> variable</w:t>
      </w:r>
      <w:r w:rsidR="009465F1" w:rsidRPr="0078672F">
        <w:t xml:space="preserve"> that</w:t>
      </w:r>
      <w:r w:rsidR="00FA6950" w:rsidRPr="0078672F">
        <w:t xml:space="preserve"> </w:t>
      </w:r>
      <w:r w:rsidR="00BE4C4C" w:rsidRPr="0078672F">
        <w:t>ALS</w:t>
      </w:r>
      <w:r w:rsidR="00FA6950" w:rsidRPr="0078672F">
        <w:t xml:space="preserve"> </w:t>
      </w:r>
      <w:r w:rsidR="00D923EE" w:rsidRPr="0078672F">
        <w:t>adds</w:t>
      </w:r>
      <w:r w:rsidR="009465F1" w:rsidRPr="0078672F">
        <w:t xml:space="preserve"> on top of what is available in the Census </w:t>
      </w:r>
      <w:r w:rsidRPr="0078672F">
        <w:t xml:space="preserve">is </w:t>
      </w:r>
      <w:r w:rsidR="00BE4C4C" w:rsidRPr="0078672F">
        <w:t>average weekly minutes</w:t>
      </w:r>
      <w:r w:rsidR="00FA6950" w:rsidRPr="0078672F">
        <w:t xml:space="preserve"> in sports/recreational activities (excluding walking and cycling)</w:t>
      </w:r>
      <w:r w:rsidR="00320221" w:rsidRPr="0078672F">
        <w:t>.</w:t>
      </w:r>
    </w:p>
    <w:p w14:paraId="4A93DD96" w14:textId="77777777" w:rsidR="0039701F" w:rsidRPr="0078672F" w:rsidRDefault="0039701F" w:rsidP="0039701F">
      <w:pPr>
        <w:pStyle w:val="ListParagraph"/>
      </w:pPr>
    </w:p>
    <w:p w14:paraId="69C99AC9" w14:textId="2D6A9D82" w:rsidR="003C1477" w:rsidRPr="0078672F" w:rsidRDefault="0039701F" w:rsidP="0078672F">
      <w:pPr>
        <w:pStyle w:val="ListParagraph"/>
        <w:numPr>
          <w:ilvl w:val="0"/>
          <w:numId w:val="35"/>
        </w:numPr>
      </w:pPr>
      <w:r w:rsidRPr="0078672F">
        <w:t>We also considered adding in p</w:t>
      </w:r>
      <w:r w:rsidR="00320221" w:rsidRPr="0078672F">
        <w:t>ast</w:t>
      </w:r>
      <w:r w:rsidR="00FA6950" w:rsidRPr="0078672F">
        <w:t>-week duration of cycling for recreation</w:t>
      </w:r>
      <w:r w:rsidRPr="0078672F">
        <w:t xml:space="preserve"> and duration walking for recreation. NTS technically only includes walking and cycling for transport, plus some walking for recreation. But in practice we believe there </w:t>
      </w:r>
      <w:r w:rsidR="00E81665" w:rsidRPr="0078672F">
        <w:t>is</w:t>
      </w:r>
      <w:r w:rsidRPr="0078672F">
        <w:t xml:space="preserve"> considerable double counting/overestimation from using these variables</w:t>
      </w:r>
      <w:r w:rsidR="003C1477" w:rsidRPr="0078672F">
        <w:t xml:space="preserve">.  </w:t>
      </w:r>
      <w:r w:rsidR="0078672F" w:rsidRPr="0078672F">
        <w:t xml:space="preserve">Moreover, even without adding in this additional physical activity, the distribution of physical activity in our synthetic population was slightly higher than that recorded in 6 large representative studies from European countries that contributed to our meta-analysis examining the health impacts of physical activity. As such, assigning any additional physical activity to our synthetic population would have made the results of the meta-analysis less applicable.  In addition, note that our use of RTS scaling rates should mean that we are capturing most cycling (including recreational), except what is happening fully off road.  </w:t>
      </w:r>
    </w:p>
    <w:p w14:paraId="543B23F7" w14:textId="77777777" w:rsidR="00FA6950" w:rsidRDefault="00FA6950" w:rsidP="00FA6950">
      <w:pPr>
        <w:rPr>
          <w:b/>
          <w:u w:val="single"/>
        </w:rPr>
      </w:pPr>
      <w:r>
        <w:rPr>
          <w:b/>
          <w:u w:val="single"/>
        </w:rPr>
        <w:t xml:space="preserve">4.3 </w:t>
      </w:r>
      <w:r w:rsidR="00B709AC">
        <w:rPr>
          <w:b/>
          <w:u w:val="single"/>
        </w:rPr>
        <w:t xml:space="preserve">Defining frequency weights to update the size and structure of the Census </w:t>
      </w:r>
      <w:proofErr w:type="gramStart"/>
      <w:r w:rsidR="00B709AC">
        <w:rPr>
          <w:b/>
          <w:u w:val="single"/>
        </w:rPr>
        <w:t>population</w:t>
      </w:r>
      <w:proofErr w:type="gramEnd"/>
    </w:p>
    <w:p w14:paraId="7BDFAD38" w14:textId="75B23A5D" w:rsidR="00FC581E" w:rsidRDefault="00B709AC" w:rsidP="00B709AC">
      <w:pPr>
        <w:pStyle w:val="ListParagraph"/>
        <w:numPr>
          <w:ilvl w:val="0"/>
          <w:numId w:val="36"/>
        </w:numPr>
      </w:pPr>
      <w:r>
        <w:t>Generate frequency weights to adjust for changes in the size and demographic structure of the English population since 2011. Generate these frequency weights as a function of home local authority*age*sex, using mid-year ONS population estimates from 201</w:t>
      </w:r>
      <w:r w:rsidR="00AB71FE">
        <w:t>8</w:t>
      </w:r>
      <w:r>
        <w:t xml:space="preserve">.  For example, in 2011 the estimated number of women age 16-24 living in Cambridge was </w:t>
      </w:r>
      <w:r w:rsidRPr="00B709AC">
        <w:t>12365</w:t>
      </w:r>
      <w:r>
        <w:t>, whereas in 201</w:t>
      </w:r>
      <w:r w:rsidR="00AB71FE">
        <w:t>8</w:t>
      </w:r>
      <w:r>
        <w:t xml:space="preserve"> this had grown to </w:t>
      </w:r>
      <w:r w:rsidRPr="00B709AC">
        <w:t>136</w:t>
      </w:r>
      <w:r w:rsidR="00AB71FE">
        <w:t>62</w:t>
      </w:r>
      <w:r>
        <w:t xml:space="preserve">. We therefore generated a frequency weight of </w:t>
      </w:r>
      <w:r w:rsidRPr="00B709AC">
        <w:t>136</w:t>
      </w:r>
      <w:r w:rsidR="00AB71FE">
        <w:t>62</w:t>
      </w:r>
      <w:r>
        <w:t>/</w:t>
      </w:r>
      <w:r w:rsidRPr="00B709AC">
        <w:t>12365</w:t>
      </w:r>
      <w:r>
        <w:t>=1.10 to women age 16-24 living in Cambridge in our Census population.</w:t>
      </w:r>
    </w:p>
    <w:p w14:paraId="6596AD11" w14:textId="77777777" w:rsidR="00485B90" w:rsidRDefault="00485B90" w:rsidP="00FC581E">
      <w:pPr>
        <w:rPr>
          <w:b/>
          <w:u w:val="single"/>
        </w:rPr>
      </w:pPr>
    </w:p>
    <w:p w14:paraId="27A881A1" w14:textId="6D72BBAC" w:rsidR="00FC581E" w:rsidRDefault="00FC581E" w:rsidP="00FC581E">
      <w:pPr>
        <w:rPr>
          <w:b/>
          <w:u w:val="single"/>
        </w:rPr>
      </w:pPr>
      <w:r>
        <w:rPr>
          <w:b/>
          <w:u w:val="single"/>
        </w:rPr>
        <w:lastRenderedPageBreak/>
        <w:t xml:space="preserve">4.4 Defining scaling weights to scale up NTS trip volumes to match </w:t>
      </w:r>
      <w:proofErr w:type="gramStart"/>
      <w:r>
        <w:rPr>
          <w:b/>
          <w:u w:val="single"/>
        </w:rPr>
        <w:t>RTS</w:t>
      </w:r>
      <w:proofErr w:type="gramEnd"/>
    </w:p>
    <w:p w14:paraId="4A7E6EF9" w14:textId="6DF8E47D" w:rsidR="00EF3340" w:rsidRDefault="00EF3340" w:rsidP="00D64780">
      <w:pPr>
        <w:pStyle w:val="ListParagraph"/>
        <w:numPr>
          <w:ilvl w:val="0"/>
          <w:numId w:val="40"/>
        </w:numPr>
      </w:pPr>
      <w:r>
        <w:t>In the synthetic population (after applying the population scaling weights described in section 4.3), w</w:t>
      </w:r>
      <w:r w:rsidR="00D64780">
        <w:t>e calculated the total volume of travel (annual millions of kilometres) by bicycle</w:t>
      </w:r>
      <w:r w:rsidR="00905823">
        <w:t>;</w:t>
      </w:r>
      <w:r w:rsidR="00D64780">
        <w:t xml:space="preserve"> car</w:t>
      </w:r>
      <w:r w:rsidR="00905823">
        <w:t xml:space="preserve"> or taxi;</w:t>
      </w:r>
      <w:r w:rsidR="00D64780">
        <w:t xml:space="preserve"> motorcycle</w:t>
      </w:r>
      <w:r w:rsidR="00905823">
        <w:t>;</w:t>
      </w:r>
      <w:r w:rsidR="00D64780">
        <w:t xml:space="preserve"> and van/lorry.</w:t>
      </w:r>
      <w:r w:rsidR="009C10D5">
        <w:t xml:space="preserve"> We only counted</w:t>
      </w:r>
      <w:r w:rsidR="00905823">
        <w:t xml:space="preserve"> car, </w:t>
      </w:r>
      <w:proofErr w:type="gramStart"/>
      <w:r w:rsidR="00905823">
        <w:t>motorcycle</w:t>
      </w:r>
      <w:proofErr w:type="gramEnd"/>
      <w:r w:rsidR="00905823">
        <w:t xml:space="preserve"> and van/lorry </w:t>
      </w:r>
      <w:r w:rsidR="009C10D5">
        <w:t>trips where the person was the driver.</w:t>
      </w:r>
      <w:r w:rsidR="00905823">
        <w:rPr>
          <w:rStyle w:val="FootnoteReference"/>
        </w:rPr>
        <w:footnoteReference w:id="6"/>
      </w:r>
    </w:p>
    <w:p w14:paraId="09B70CE6" w14:textId="5D739807" w:rsidR="00D64780" w:rsidRPr="00FE181F" w:rsidRDefault="00D64780" w:rsidP="00D64780">
      <w:pPr>
        <w:pStyle w:val="ListParagraph"/>
        <w:numPr>
          <w:ilvl w:val="0"/>
          <w:numId w:val="40"/>
        </w:numPr>
      </w:pPr>
      <w:r>
        <w:t xml:space="preserve">We compared this with the </w:t>
      </w:r>
      <w:r w:rsidRPr="00FE181F">
        <w:t>total volume of travel estimated by DFT in their 201</w:t>
      </w:r>
      <w:r w:rsidR="00C5556A">
        <w:t>5</w:t>
      </w:r>
      <w:r w:rsidRPr="00FE181F">
        <w:t xml:space="preserve"> Road Travel Statistics</w:t>
      </w:r>
      <w:r w:rsidR="003E36F6">
        <w:t xml:space="preserve"> (2015 is the most recent year with data available to us for all modes)</w:t>
      </w:r>
      <w:r w:rsidRPr="00FE181F">
        <w:t xml:space="preserve">. These Road Travel Statistics are calculated through a rolling </w:t>
      </w:r>
      <w:r w:rsidR="00B823F6" w:rsidRPr="00FE181F">
        <w:t>series</w:t>
      </w:r>
      <w:r w:rsidRPr="00FE181F">
        <w:t xml:space="preserve"> of 12-hour manual counts of vehicles</w:t>
      </w:r>
      <w:r w:rsidR="00B823F6" w:rsidRPr="00FE181F">
        <w:t xml:space="preserve">, supplemented by 10,000 </w:t>
      </w:r>
      <w:r w:rsidR="00B823F6" w:rsidRPr="00FE181F">
        <w:rPr>
          <w:rFonts w:ascii="Calibri" w:eastAsia="Calibri" w:hAnsi="Calibri"/>
        </w:rPr>
        <w:t>automatic traffic counters. Data are collected</w:t>
      </w:r>
      <w:r w:rsidRPr="00FE181F">
        <w:t xml:space="preserve"> on </w:t>
      </w:r>
      <w:r w:rsidR="00B823F6" w:rsidRPr="00FE181F">
        <w:t xml:space="preserve">all </w:t>
      </w:r>
      <w:r w:rsidRPr="00FE181F">
        <w:t>motorways</w:t>
      </w:r>
      <w:r w:rsidR="00B823F6" w:rsidRPr="00FE181F">
        <w:t xml:space="preserve">, all </w:t>
      </w:r>
      <w:r w:rsidRPr="00FE181F">
        <w:t xml:space="preserve">A </w:t>
      </w:r>
      <w:proofErr w:type="gramStart"/>
      <w:r w:rsidRPr="00FE181F">
        <w:t>roads</w:t>
      </w:r>
      <w:proofErr w:type="gramEnd"/>
      <w:r w:rsidRPr="00FE181F">
        <w:t xml:space="preserve"> and a representative sample of minor roads.</w:t>
      </w:r>
      <w:r w:rsidR="00D173FE" w:rsidRPr="00FE181F">
        <w:t xml:space="preserve"> </w:t>
      </w:r>
    </w:p>
    <w:p w14:paraId="02525E96" w14:textId="50626640" w:rsidR="00C72C50" w:rsidRDefault="00C72C50" w:rsidP="00D64780">
      <w:pPr>
        <w:pStyle w:val="ListParagraph"/>
        <w:numPr>
          <w:ilvl w:val="0"/>
          <w:numId w:val="40"/>
        </w:numPr>
      </w:pPr>
      <w:r w:rsidRPr="00FE181F">
        <w:t xml:space="preserve">For buses, we used the DfT </w:t>
      </w:r>
      <w:r w:rsidR="003A6EA7" w:rsidRPr="00FE181F">
        <w:t>201</w:t>
      </w:r>
      <w:r w:rsidR="00C5556A">
        <w:t>5</w:t>
      </w:r>
      <w:r w:rsidR="003A6EA7" w:rsidRPr="00FE181F">
        <w:t>/1</w:t>
      </w:r>
      <w:r w:rsidR="00C5556A">
        <w:t>6</w:t>
      </w:r>
      <w:r w:rsidR="003A6EA7">
        <w:t xml:space="preserve"> </w:t>
      </w:r>
      <w:r>
        <w:t>estimates of total passenger distance travelled on local buses. This data comes from an annual survey of over 500 bus operators.</w:t>
      </w:r>
    </w:p>
    <w:p w14:paraId="33AE7EC3" w14:textId="1C009094" w:rsidR="009C10D5" w:rsidRPr="00800518" w:rsidRDefault="009C10D5" w:rsidP="00D64780">
      <w:pPr>
        <w:pStyle w:val="ListParagraph"/>
        <w:numPr>
          <w:ilvl w:val="0"/>
          <w:numId w:val="40"/>
        </w:numPr>
      </w:pPr>
      <w:r>
        <w:t>Our synthetic population only includes individuals aged 16+. For cycling</w:t>
      </w:r>
      <w:r w:rsidR="00C72C50">
        <w:t xml:space="preserve"> and bus travel</w:t>
      </w:r>
      <w:r>
        <w:t xml:space="preserve"> (the only mode</w:t>
      </w:r>
      <w:r w:rsidR="00C72C50">
        <w:t>s</w:t>
      </w:r>
      <w:r>
        <w:t xml:space="preserve"> where </w:t>
      </w:r>
      <w:r w:rsidR="00C72C50">
        <w:t>a child could count, since children cannot be drivers</w:t>
      </w:r>
      <w:r>
        <w:t>), we calculated the proportion of all distance</w:t>
      </w:r>
      <w:r w:rsidR="00C72C50">
        <w:t xml:space="preserve"> accounted for </w:t>
      </w:r>
      <w:r>
        <w:t xml:space="preserve">by adults age 16+.  This was 92% </w:t>
      </w:r>
      <w:r w:rsidRPr="00ED6BA3">
        <w:t>nationally</w:t>
      </w:r>
      <w:r w:rsidR="00C72C50" w:rsidRPr="00ED6BA3">
        <w:t xml:space="preserve"> for cycling</w:t>
      </w:r>
      <w:r w:rsidR="00B823F6" w:rsidRPr="00ED6BA3">
        <w:t xml:space="preserve"> (range 89%-94% across GOR)</w:t>
      </w:r>
      <w:r w:rsidR="00C72C50" w:rsidRPr="00ED6BA3">
        <w:t xml:space="preserve"> and </w:t>
      </w:r>
      <w:r w:rsidR="00ED6BA3" w:rsidRPr="00ED6BA3">
        <w:t>83%</w:t>
      </w:r>
      <w:r w:rsidR="00C72C50" w:rsidRPr="00ED6BA3">
        <w:t xml:space="preserve"> for bus travel (range 8</w:t>
      </w:r>
      <w:r w:rsidR="00ED6BA3" w:rsidRPr="00ED6BA3">
        <w:t>0</w:t>
      </w:r>
      <w:r w:rsidR="00C72C50" w:rsidRPr="00ED6BA3">
        <w:t>%-</w:t>
      </w:r>
      <w:r w:rsidR="00ED6BA3" w:rsidRPr="00ED6BA3">
        <w:t>87</w:t>
      </w:r>
      <w:r w:rsidR="00C72C50" w:rsidRPr="00ED6BA3">
        <w:t>% across GOR)</w:t>
      </w:r>
      <w:r w:rsidRPr="00ED6BA3">
        <w:t xml:space="preserve">. We factored this into </w:t>
      </w:r>
      <w:r w:rsidR="00C72C50" w:rsidRPr="00ED6BA3">
        <w:t>our comparisons</w:t>
      </w:r>
      <w:r w:rsidRPr="00ED6BA3">
        <w:t xml:space="preserve">, i.e. first scaling </w:t>
      </w:r>
      <w:r w:rsidR="00610025" w:rsidRPr="00ED6BA3">
        <w:t>down the</w:t>
      </w:r>
      <w:r w:rsidR="00792F1D">
        <w:t xml:space="preserve"> relevant</w:t>
      </w:r>
      <w:r w:rsidR="00610025" w:rsidRPr="00ED6BA3">
        <w:t xml:space="preserve"> RTS</w:t>
      </w:r>
      <w:r w:rsidR="00ED6BA3">
        <w:t xml:space="preserve"> and </w:t>
      </w:r>
      <w:r w:rsidR="00C72C50" w:rsidRPr="00ED6BA3">
        <w:t>bus passenger</w:t>
      </w:r>
      <w:r w:rsidR="00610025">
        <w:t xml:space="preserve"> data by </w:t>
      </w:r>
      <w:r w:rsidR="00B823F6">
        <w:t>the proportion of travel done by adults,</w:t>
      </w:r>
      <w:r w:rsidR="00610025">
        <w:t xml:space="preserve"> and then making the comparison with </w:t>
      </w:r>
      <w:r w:rsidR="00610025" w:rsidRPr="00800518">
        <w:t>our synthetic population</w:t>
      </w:r>
      <w:r w:rsidRPr="00800518">
        <w:t>.</w:t>
      </w:r>
    </w:p>
    <w:p w14:paraId="1D607391" w14:textId="2A68DA61" w:rsidR="00D173FE" w:rsidRPr="00F90EB2" w:rsidRDefault="00D173FE" w:rsidP="00F20D55">
      <w:pPr>
        <w:pStyle w:val="ListParagraph"/>
        <w:numPr>
          <w:ilvl w:val="0"/>
          <w:numId w:val="40"/>
        </w:numPr>
      </w:pPr>
      <w:r w:rsidRPr="00800518">
        <w:t xml:space="preserve">NTS does not distinguish between van and lorry travel. </w:t>
      </w:r>
      <w:r w:rsidR="00800518" w:rsidRPr="00800518">
        <w:t>We</w:t>
      </w:r>
      <w:r w:rsidRPr="00800518">
        <w:t xml:space="preserve"> assume that light vans are the mode used for all ‘household vehicle’ van/lorry travel in NTS (household vehicle travel accounts for 78% of all van/lorry trips)</w:t>
      </w:r>
      <w:r w:rsidR="00800518" w:rsidRPr="00800518">
        <w:t xml:space="preserve">. For the purposes of our modelling, we further assume that all ‘non-household vehicle’ van/lorry trips are also by van – i.e. that lorry travel is not captured in NTS.  As a sensitivity analysis, we instead assumed that </w:t>
      </w:r>
      <w:r w:rsidR="0010661C">
        <w:t>amongst</w:t>
      </w:r>
      <w:r w:rsidR="0010661C" w:rsidRPr="00800518">
        <w:t xml:space="preserve"> ‘non-household </w:t>
      </w:r>
      <w:r w:rsidR="0010661C" w:rsidRPr="00F90EB2">
        <w:t>vehicle’ van/lorry trips, A) a random 50% and B) 100% are done by lorries</w:t>
      </w:r>
      <w:r w:rsidRPr="00F90EB2">
        <w:t xml:space="preserve">. </w:t>
      </w:r>
    </w:p>
    <w:p w14:paraId="12DD6166" w14:textId="4E7683F5" w:rsidR="00D64780" w:rsidRPr="00F90EB2" w:rsidRDefault="00D64780" w:rsidP="00D64780">
      <w:pPr>
        <w:pStyle w:val="ListParagraph"/>
        <w:numPr>
          <w:ilvl w:val="0"/>
          <w:numId w:val="40"/>
        </w:numPr>
      </w:pPr>
      <w:r w:rsidRPr="00F90EB2">
        <w:t>Nationally, the volume of travel estimated by RTS was higher than in NTS as follows:</w:t>
      </w:r>
    </w:p>
    <w:p w14:paraId="51EE3F00" w14:textId="27F777C3" w:rsidR="00D64780" w:rsidRPr="00F90EB2" w:rsidRDefault="00D64780" w:rsidP="00D64780">
      <w:pPr>
        <w:pStyle w:val="ListParagraph"/>
        <w:numPr>
          <w:ilvl w:val="1"/>
          <w:numId w:val="41"/>
        </w:numPr>
      </w:pPr>
      <w:r w:rsidRPr="00F90EB2">
        <w:t>1.</w:t>
      </w:r>
      <w:r w:rsidR="00024886" w:rsidRPr="00F90EB2">
        <w:t>1</w:t>
      </w:r>
      <w:r w:rsidR="00F90EB2" w:rsidRPr="00F90EB2">
        <w:t>2</w:t>
      </w:r>
      <w:r w:rsidRPr="00F90EB2">
        <w:t xml:space="preserve"> times higher for cycling</w:t>
      </w:r>
    </w:p>
    <w:p w14:paraId="3BF3BEA3" w14:textId="1085D476" w:rsidR="00D64780" w:rsidRPr="00F90EB2" w:rsidRDefault="00D64780" w:rsidP="00D64780">
      <w:pPr>
        <w:pStyle w:val="ListParagraph"/>
        <w:numPr>
          <w:ilvl w:val="1"/>
          <w:numId w:val="41"/>
        </w:numPr>
      </w:pPr>
      <w:r w:rsidRPr="00F90EB2">
        <w:t>1.2</w:t>
      </w:r>
      <w:r w:rsidR="00F90EB2" w:rsidRPr="00F90EB2">
        <w:t>3</w:t>
      </w:r>
      <w:r w:rsidRPr="00F90EB2">
        <w:t xml:space="preserve"> times higher for car driving</w:t>
      </w:r>
      <w:r w:rsidR="00905823" w:rsidRPr="00F90EB2">
        <w:t xml:space="preserve"> &amp; </w:t>
      </w:r>
      <w:proofErr w:type="gramStart"/>
      <w:r w:rsidR="00905823" w:rsidRPr="00F90EB2">
        <w:t>taxis</w:t>
      </w:r>
      <w:proofErr w:type="gramEnd"/>
    </w:p>
    <w:p w14:paraId="10E552AD" w14:textId="6C1E7A6E" w:rsidR="00D64780" w:rsidRPr="00F90EB2" w:rsidRDefault="00D64780" w:rsidP="00D64780">
      <w:pPr>
        <w:pStyle w:val="ListParagraph"/>
        <w:numPr>
          <w:ilvl w:val="1"/>
          <w:numId w:val="41"/>
        </w:numPr>
      </w:pPr>
      <w:r w:rsidRPr="00F90EB2">
        <w:t>1.8</w:t>
      </w:r>
      <w:r w:rsidR="00F90EB2" w:rsidRPr="00F90EB2">
        <w:t>2</w:t>
      </w:r>
      <w:r w:rsidRPr="00F90EB2">
        <w:t xml:space="preserve"> times higher for motorcycle driving</w:t>
      </w:r>
    </w:p>
    <w:p w14:paraId="72E773FF" w14:textId="25FE82FD" w:rsidR="00381C24" w:rsidRPr="00F90EB2" w:rsidRDefault="005C6DE4" w:rsidP="00D64780">
      <w:pPr>
        <w:pStyle w:val="ListParagraph"/>
        <w:numPr>
          <w:ilvl w:val="1"/>
          <w:numId w:val="41"/>
        </w:numPr>
      </w:pPr>
      <w:r w:rsidRPr="00F90EB2">
        <w:t>1.0</w:t>
      </w:r>
      <w:r w:rsidR="009A2D27">
        <w:t>2</w:t>
      </w:r>
      <w:r w:rsidR="00381C24" w:rsidRPr="00F90EB2">
        <w:t xml:space="preserve"> times higher for</w:t>
      </w:r>
      <w:r w:rsidR="00070630">
        <w:t xml:space="preserve"> local</w:t>
      </w:r>
      <w:r w:rsidR="00381C24" w:rsidRPr="00F90EB2">
        <w:t xml:space="preserve"> bus travel</w:t>
      </w:r>
    </w:p>
    <w:p w14:paraId="45437675" w14:textId="18F6EE58" w:rsidR="0010661C" w:rsidRDefault="00473286" w:rsidP="0010661C">
      <w:pPr>
        <w:pStyle w:val="ListParagraph"/>
        <w:numPr>
          <w:ilvl w:val="1"/>
          <w:numId w:val="41"/>
        </w:numPr>
      </w:pPr>
      <w:r w:rsidRPr="00F90EB2">
        <w:t>7.</w:t>
      </w:r>
      <w:r w:rsidR="00F90EB2" w:rsidRPr="00F90EB2">
        <w:t>12</w:t>
      </w:r>
      <w:r w:rsidR="00D64780" w:rsidRPr="00F90EB2">
        <w:t xml:space="preserve"> times higher for </w:t>
      </w:r>
      <w:r w:rsidR="00D173FE" w:rsidRPr="00F90EB2">
        <w:t>light van</w:t>
      </w:r>
      <w:r w:rsidR="00D64780" w:rsidRPr="00F90EB2">
        <w:t xml:space="preserve"> driving</w:t>
      </w:r>
      <w:r w:rsidR="0010661C" w:rsidRPr="00F90EB2">
        <w:t xml:space="preserve"> and infinitely higher for lorry driving. Alternatively, 8 times higher for vans and 24 times higher for lorries in sensitivity analysis A in which 50% of non-household vehicle van/lorry travel was by lorries; and </w:t>
      </w:r>
      <w:r w:rsidR="00405971" w:rsidRPr="00F90EB2">
        <w:t>9</w:t>
      </w:r>
      <w:r w:rsidR="0010661C" w:rsidRPr="00F90EB2">
        <w:t xml:space="preserve"> times higher for vans and </w:t>
      </w:r>
      <w:r w:rsidR="00405971" w:rsidRPr="00F90EB2">
        <w:t>12</w:t>
      </w:r>
      <w:r w:rsidR="0010661C" w:rsidRPr="00F90EB2">
        <w:t xml:space="preserve"> times higher for lorries in sensitivity analysis B in which 50% of non</w:t>
      </w:r>
      <w:r w:rsidR="0010661C" w:rsidRPr="00405971">
        <w:t>-household vehicle van/</w:t>
      </w:r>
      <w:r w:rsidR="0010661C">
        <w:t>lorry travel was by lorries.</w:t>
      </w:r>
    </w:p>
    <w:p w14:paraId="0A14EDE6" w14:textId="558DEE4E" w:rsidR="00D64780" w:rsidRDefault="00D64780" w:rsidP="00F47498">
      <w:pPr>
        <w:pStyle w:val="ListParagraph"/>
        <w:numPr>
          <w:ilvl w:val="0"/>
          <w:numId w:val="40"/>
        </w:numPr>
      </w:pPr>
      <w:r w:rsidRPr="007A0219">
        <w:t>It is likely that these discrepancies</w:t>
      </w:r>
      <w:r>
        <w:t xml:space="preserve"> reflect a mixture of some trips not being reported in NTS plus some types of people choosing not</w:t>
      </w:r>
      <w:r w:rsidR="006F3E4E">
        <w:t xml:space="preserve"> to</w:t>
      </w:r>
      <w:r>
        <w:t xml:space="preserve"> complete the travel diary – e.g. couriers or delivery drivers who make so many trips that they would not want to complete travel survey.</w:t>
      </w:r>
      <w:r w:rsidR="00F47498">
        <w:t xml:space="preserve"> We therefore assume that RTS and the DfT bus passenger data are the more reliable source. Moreover, regardless of whether RTS is the more reliable source, it is the source that feeds into the NAEI model that underpins our air pollution and noise data – so is the better source to use in terms of creating comparability across the model.</w:t>
      </w:r>
    </w:p>
    <w:p w14:paraId="43407F25" w14:textId="5D084BE4" w:rsidR="00D64780" w:rsidRPr="00800518" w:rsidRDefault="00F47498" w:rsidP="00D64780">
      <w:pPr>
        <w:pStyle w:val="ListParagraph"/>
        <w:numPr>
          <w:ilvl w:val="0"/>
          <w:numId w:val="40"/>
        </w:numPr>
      </w:pPr>
      <w:r>
        <w:t xml:space="preserve">In applying these scaling weights, we </w:t>
      </w:r>
      <w:r w:rsidR="00D64780" w:rsidRPr="00800518">
        <w:t>assume that:</w:t>
      </w:r>
    </w:p>
    <w:p w14:paraId="05F295C8" w14:textId="114464A4" w:rsidR="00D64780" w:rsidRDefault="00D64780" w:rsidP="00D64780">
      <w:pPr>
        <w:pStyle w:val="ListParagraph"/>
        <w:numPr>
          <w:ilvl w:val="0"/>
          <w:numId w:val="42"/>
        </w:numPr>
      </w:pPr>
      <w:r w:rsidRPr="00800518">
        <w:t xml:space="preserve">Trips are missing at random, i.e. the existing pool of trips can be used to approximate the missing trips. This is unlikely to address the problem of couriers/delivery drivers </w:t>
      </w:r>
      <w:r>
        <w:t xml:space="preserve">being </w:t>
      </w:r>
      <w:r>
        <w:lastRenderedPageBreak/>
        <w:t>disproportionately missing, but we do not see how we can reasonably add this class of person.</w:t>
      </w:r>
    </w:p>
    <w:p w14:paraId="07D5A8EB" w14:textId="0CBCD15D" w:rsidR="00CA1970" w:rsidRDefault="00CA1970" w:rsidP="00D64780">
      <w:pPr>
        <w:pStyle w:val="ListParagraph"/>
        <w:numPr>
          <w:ilvl w:val="0"/>
          <w:numId w:val="42"/>
        </w:numPr>
      </w:pPr>
      <w:r>
        <w:t xml:space="preserve">Weights applied to travel as a driver could also be applied to travel as a passenger by the same mode. </w:t>
      </w:r>
      <w:r w:rsidR="00C566DF">
        <w:t xml:space="preserve"> </w:t>
      </w:r>
    </w:p>
    <w:p w14:paraId="42B8962E" w14:textId="769FCB91" w:rsidR="00C566DF" w:rsidRPr="00BB468C" w:rsidRDefault="00C566DF" w:rsidP="00D64780">
      <w:pPr>
        <w:pStyle w:val="ListParagraph"/>
        <w:numPr>
          <w:ilvl w:val="0"/>
          <w:numId w:val="42"/>
        </w:numPr>
      </w:pPr>
      <w:r>
        <w:t xml:space="preserve">The weights for </w:t>
      </w:r>
      <w:r w:rsidR="00070630">
        <w:t xml:space="preserve">local </w:t>
      </w:r>
      <w:r>
        <w:t xml:space="preserve">bus travel can also be applied to </w:t>
      </w:r>
      <w:r w:rsidR="00070630">
        <w:t xml:space="preserve">long distance express buses and </w:t>
      </w:r>
      <w:r>
        <w:t xml:space="preserve">other public transport (in </w:t>
      </w:r>
      <w:r w:rsidRPr="00BB468C">
        <w:t xml:space="preserve">practice, these other modes are not a major focus of </w:t>
      </w:r>
      <w:proofErr w:type="spellStart"/>
      <w:r w:rsidRPr="00BB468C">
        <w:t>metahit</w:t>
      </w:r>
      <w:proofErr w:type="spellEnd"/>
      <w:r w:rsidRPr="00BB468C">
        <w:t>, reducing the impact of this assumption).</w:t>
      </w:r>
    </w:p>
    <w:p w14:paraId="0A8CCCE1" w14:textId="5E1B2ECE" w:rsidR="00F47498" w:rsidRPr="00BB468C" w:rsidRDefault="00F47498" w:rsidP="00F47498">
      <w:pPr>
        <w:pStyle w:val="ListParagraph"/>
        <w:numPr>
          <w:ilvl w:val="0"/>
          <w:numId w:val="42"/>
        </w:numPr>
      </w:pPr>
      <w:r w:rsidRPr="00BB468C">
        <w:t>Walking is captured correctly in NTS</w:t>
      </w:r>
      <w:r w:rsidR="003C1477">
        <w:t xml:space="preserve"> + ALS</w:t>
      </w:r>
      <w:r w:rsidRPr="00BB468C">
        <w:t xml:space="preserve">, i.e. we do no scaling for walking. This is inconsistent in terms of the relative amount of travel reported in </w:t>
      </w:r>
      <w:proofErr w:type="gramStart"/>
      <w:r w:rsidRPr="00BB468C">
        <w:t>NTS, but</w:t>
      </w:r>
      <w:proofErr w:type="gramEnd"/>
      <w:r w:rsidRPr="00BB468C">
        <w:t xml:space="preserve"> means that the NTS walking estimates match better onto the physical activity dose response data used elsewhere in </w:t>
      </w:r>
      <w:proofErr w:type="spellStart"/>
      <w:r w:rsidRPr="00BB468C">
        <w:t>metahit</w:t>
      </w:r>
      <w:proofErr w:type="spellEnd"/>
      <w:r w:rsidRPr="00BB468C">
        <w:t xml:space="preserve">. </w:t>
      </w:r>
    </w:p>
    <w:p w14:paraId="6F9E7BCB" w14:textId="617F24C5" w:rsidR="00D64780" w:rsidRDefault="00E608FA" w:rsidP="00E07858">
      <w:pPr>
        <w:pStyle w:val="ListParagraph"/>
        <w:numPr>
          <w:ilvl w:val="0"/>
          <w:numId w:val="42"/>
        </w:numPr>
      </w:pPr>
      <w:r>
        <w:t xml:space="preserve">Lorry </w:t>
      </w:r>
      <w:r w:rsidR="00D64780">
        <w:t xml:space="preserve">travel </w:t>
      </w:r>
      <w:r>
        <w:t xml:space="preserve">cannot be </w:t>
      </w:r>
      <w:r w:rsidR="00B823F6">
        <w:t xml:space="preserve">reliably </w:t>
      </w:r>
      <w:r>
        <w:t>captured in NTS</w:t>
      </w:r>
      <w:r w:rsidR="0010661C">
        <w:t xml:space="preserve">; this is true even in the sensitivity analysis in which we assume that </w:t>
      </w:r>
      <w:r w:rsidR="002A327D">
        <w:t>some or all</w:t>
      </w:r>
      <w:r w:rsidR="0010661C">
        <w:t xml:space="preserve"> of non-household van/lorry travel is by lorries</w:t>
      </w:r>
      <w:r w:rsidR="002A327D">
        <w:t>. Therefore</w:t>
      </w:r>
      <w:r w:rsidR="00905823">
        <w:t>,</w:t>
      </w:r>
      <w:r w:rsidR="002A327D">
        <w:t xml:space="preserve"> lorry travel</w:t>
      </w:r>
      <w:r>
        <w:t xml:space="preserve"> will need to be added separately</w:t>
      </w:r>
      <w:r w:rsidR="00D22B50">
        <w:t>, rather than via awaiting approach</w:t>
      </w:r>
      <w:r w:rsidRPr="00800518">
        <w:t>. It is arguable whether the same should also be true for van travel</w:t>
      </w:r>
      <w:r w:rsidR="00A63B06" w:rsidRPr="00800518">
        <w:t>, but since</w:t>
      </w:r>
      <w:r w:rsidR="00800518">
        <w:t xml:space="preserve"> we think the current method is acceptable since</w:t>
      </w:r>
      <w:r w:rsidR="00A63B06" w:rsidRPr="00800518">
        <w:t xml:space="preserve"> </w:t>
      </w:r>
      <w:r w:rsidR="00800518">
        <w:t xml:space="preserve">a) </w:t>
      </w:r>
      <w:r w:rsidR="00800518" w:rsidRPr="00800518">
        <w:t>van travel is</w:t>
      </w:r>
      <w:r w:rsidR="00800518">
        <w:t xml:space="preserve"> more reliably identifiable in NTS (via ‘household’ vehicles)</w:t>
      </w:r>
      <w:r w:rsidR="00994657">
        <w:t xml:space="preserve"> and</w:t>
      </w:r>
      <w:r w:rsidR="00D22B50">
        <w:t xml:space="preserve"> b) the underreporting of </w:t>
      </w:r>
      <w:proofErr w:type="gramStart"/>
      <w:r w:rsidR="00D22B50">
        <w:t>an</w:t>
      </w:r>
      <w:proofErr w:type="gramEnd"/>
      <w:r w:rsidR="00D22B50">
        <w:t xml:space="preserve"> travel is not as marked as for lorry travel</w:t>
      </w:r>
      <w:r w:rsidR="00994657">
        <w:t>.</w:t>
      </w:r>
      <w:r w:rsidRPr="00800518">
        <w:t xml:space="preserve"> </w:t>
      </w:r>
      <w:r w:rsidR="00D64780" w:rsidRPr="00800518">
        <w:t xml:space="preserve"> </w:t>
      </w:r>
    </w:p>
    <w:p w14:paraId="0DC44C76" w14:textId="77777777" w:rsidR="00FA4879" w:rsidRDefault="00FA4879" w:rsidP="00FA4879">
      <w:pPr>
        <w:pStyle w:val="ListParagraph"/>
        <w:ind w:left="1080"/>
      </w:pPr>
    </w:p>
    <w:p w14:paraId="6CE21048" w14:textId="628A5A48" w:rsidR="00B26B5F" w:rsidRDefault="00FA4879" w:rsidP="00C566DF">
      <w:pPr>
        <w:pStyle w:val="ListParagraph"/>
        <w:numPr>
          <w:ilvl w:val="0"/>
          <w:numId w:val="40"/>
        </w:numPr>
      </w:pPr>
      <w:r>
        <w:t xml:space="preserve">Based on all these assumptions, we apply scaling weights to the existing NTS ‘trip weight (excluding household weight)’ variable. This scales up all NTS trips, such that the total volume of travel generated </w:t>
      </w:r>
      <w:r w:rsidRPr="00817A4D">
        <w:t xml:space="preserve">is correct.  The trip weights are calculated as described above, except with stratification by </w:t>
      </w:r>
      <w:r w:rsidR="00FE181F" w:rsidRPr="00817A4D">
        <w:t xml:space="preserve">city </w:t>
      </w:r>
      <w:r w:rsidRPr="00817A4D">
        <w:t>region to give the values shown in the table below.</w:t>
      </w:r>
      <w:r w:rsidR="00C566DF" w:rsidRPr="00817A4D">
        <w:t xml:space="preserve"> For buses, it was </w:t>
      </w:r>
      <w:r w:rsidR="00E27ADF" w:rsidRPr="00817A4D">
        <w:t>not possible to distinguish across regions</w:t>
      </w:r>
      <w:r w:rsidR="00EA55BD" w:rsidRPr="00817A4D">
        <w:t xml:space="preserve">. For cycling we also used the national scalar </w:t>
      </w:r>
      <w:r w:rsidR="00FE181F" w:rsidRPr="00817A4D">
        <w:t xml:space="preserve">as we were less confident </w:t>
      </w:r>
      <w:r w:rsidR="00086E74" w:rsidRPr="00817A4D">
        <w:t xml:space="preserve">for cycling </w:t>
      </w:r>
      <w:r w:rsidR="00FE181F" w:rsidRPr="00817A4D">
        <w:t>in the accuracy of RTS data at the city region level</w:t>
      </w:r>
      <w:r w:rsidR="00086E74" w:rsidRPr="00817A4D">
        <w:t>. Using</w:t>
      </w:r>
      <w:r w:rsidR="00EA55BD" w:rsidRPr="00817A4D">
        <w:t xml:space="preserve"> the national scalar effectively gives more weight to 2011 Census data on</w:t>
      </w:r>
      <w:r w:rsidR="00086E74" w:rsidRPr="00817A4D">
        <w:t xml:space="preserve"> proportion of adults cycling to work, as this is one of the matching criteria used to create the synthetic population.</w:t>
      </w:r>
    </w:p>
    <w:p w14:paraId="4F052C29" w14:textId="68EE5108" w:rsidR="00181AE3" w:rsidRDefault="00F47498" w:rsidP="000011C4">
      <w:pPr>
        <w:pStyle w:val="ListParagraph"/>
        <w:numPr>
          <w:ilvl w:val="0"/>
          <w:numId w:val="40"/>
        </w:numPr>
      </w:pPr>
      <w:r>
        <w:t xml:space="preserve">The scaling weights below are used in </w:t>
      </w:r>
      <w:r w:rsidRPr="005361E5">
        <w:t>our scenarios.  When creating denominator data for analysing injury risks in stats19 data from 2005-2017, we adjust these scaling weights to map onto the relevant year between 2005-2017</w:t>
      </w:r>
      <w:r w:rsidR="005361E5" w:rsidRPr="005361E5">
        <w:t xml:space="preserve"> </w:t>
      </w:r>
      <w:r w:rsidR="005361E5" w:rsidRPr="005361E5">
        <w:rPr>
          <w:i/>
          <w:iCs/>
        </w:rPr>
        <w:t>[this was planned, may or may not have been implemented by Robin the injuries analysis]</w:t>
      </w:r>
      <w:r w:rsidRPr="005361E5">
        <w:t>.</w:t>
      </w:r>
      <w:r w:rsidR="00C5556A" w:rsidRPr="005361E5">
        <w:t xml:space="preserve"> For bicycles and motorcycles, RTS data was only available up to 2015, so we use the 2015 weight</w:t>
      </w:r>
      <w:r w:rsidR="00C5556A">
        <w:t xml:space="preserve"> for 2016 and 2017 analyses.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144"/>
        <w:gridCol w:w="1239"/>
        <w:gridCol w:w="1228"/>
        <w:gridCol w:w="1284"/>
        <w:gridCol w:w="1484"/>
      </w:tblGrid>
      <w:tr w:rsidR="00C566DF" w:rsidRPr="00071CB6" w14:paraId="3C13BCEC" w14:textId="224C920E" w:rsidTr="00EA55BD">
        <w:trPr>
          <w:trHeight w:val="255"/>
        </w:trPr>
        <w:tc>
          <w:tcPr>
            <w:tcW w:w="2830" w:type="dxa"/>
            <w:shd w:val="clear" w:color="auto" w:fill="auto"/>
            <w:noWrap/>
            <w:vAlign w:val="bottom"/>
            <w:hideMark/>
          </w:tcPr>
          <w:p w14:paraId="3858D204" w14:textId="6B11204F" w:rsidR="00C566DF" w:rsidRPr="00D24D4D" w:rsidRDefault="00D24D4D" w:rsidP="00473286">
            <w:pPr>
              <w:spacing w:after="0" w:line="240" w:lineRule="auto"/>
              <w:rPr>
                <w:rFonts w:eastAsia="Times New Roman" w:cstheme="minorHAnsi"/>
                <w:sz w:val="20"/>
                <w:szCs w:val="20"/>
                <w:lang w:eastAsia="en-GB"/>
              </w:rPr>
            </w:pPr>
            <w:r>
              <w:rPr>
                <w:rFonts w:cstheme="minorHAnsi"/>
                <w:sz w:val="20"/>
                <w:szCs w:val="20"/>
              </w:rPr>
              <w:t>City region</w:t>
            </w:r>
          </w:p>
        </w:tc>
        <w:tc>
          <w:tcPr>
            <w:tcW w:w="1144" w:type="dxa"/>
            <w:shd w:val="clear" w:color="auto" w:fill="auto"/>
            <w:noWrap/>
            <w:vAlign w:val="bottom"/>
            <w:hideMark/>
          </w:tcPr>
          <w:p w14:paraId="427DB8A6" w14:textId="16251343" w:rsidR="00C566DF" w:rsidRPr="00071CB6" w:rsidRDefault="00C566DF" w:rsidP="00473286">
            <w:pPr>
              <w:spacing w:after="0" w:line="240" w:lineRule="auto"/>
              <w:rPr>
                <w:rFonts w:ascii="Arial" w:eastAsia="Times New Roman" w:hAnsi="Arial" w:cs="Arial"/>
                <w:sz w:val="20"/>
                <w:szCs w:val="20"/>
                <w:lang w:eastAsia="en-GB"/>
              </w:rPr>
            </w:pPr>
            <w:r>
              <w:rPr>
                <w:rFonts w:ascii="Calibri" w:hAnsi="Calibri" w:cs="Calibri"/>
                <w:sz w:val="20"/>
                <w:szCs w:val="20"/>
              </w:rPr>
              <w:t xml:space="preserve">Cycle weight </w:t>
            </w:r>
          </w:p>
        </w:tc>
        <w:tc>
          <w:tcPr>
            <w:tcW w:w="1239" w:type="dxa"/>
            <w:shd w:val="clear" w:color="auto" w:fill="auto"/>
            <w:noWrap/>
            <w:vAlign w:val="bottom"/>
            <w:hideMark/>
          </w:tcPr>
          <w:p w14:paraId="6C217FEF" w14:textId="3859B5BA" w:rsidR="00C566DF" w:rsidRPr="00071CB6" w:rsidRDefault="00C566DF" w:rsidP="00473286">
            <w:pPr>
              <w:spacing w:after="0" w:line="240" w:lineRule="auto"/>
              <w:rPr>
                <w:rFonts w:ascii="Arial" w:eastAsia="Times New Roman" w:hAnsi="Arial" w:cs="Arial"/>
                <w:sz w:val="20"/>
                <w:szCs w:val="20"/>
                <w:lang w:eastAsia="en-GB"/>
              </w:rPr>
            </w:pPr>
            <w:r>
              <w:rPr>
                <w:rFonts w:ascii="Calibri" w:hAnsi="Calibri" w:cs="Calibri"/>
                <w:sz w:val="20"/>
                <w:szCs w:val="20"/>
              </w:rPr>
              <w:t xml:space="preserve">Car </w:t>
            </w:r>
            <w:r w:rsidR="003F6CF8">
              <w:rPr>
                <w:rFonts w:ascii="Calibri" w:hAnsi="Calibri" w:cs="Calibri"/>
                <w:sz w:val="20"/>
                <w:szCs w:val="20"/>
              </w:rPr>
              <w:t xml:space="preserve">and taxi </w:t>
            </w:r>
            <w:r>
              <w:rPr>
                <w:rFonts w:ascii="Calibri" w:hAnsi="Calibri" w:cs="Calibri"/>
                <w:sz w:val="20"/>
                <w:szCs w:val="20"/>
              </w:rPr>
              <w:t>weight</w:t>
            </w:r>
          </w:p>
        </w:tc>
        <w:tc>
          <w:tcPr>
            <w:tcW w:w="1228" w:type="dxa"/>
            <w:shd w:val="clear" w:color="auto" w:fill="auto"/>
            <w:noWrap/>
            <w:vAlign w:val="bottom"/>
            <w:hideMark/>
          </w:tcPr>
          <w:p w14:paraId="5C35E68A" w14:textId="467664AB" w:rsidR="00C566DF" w:rsidRPr="00071CB6" w:rsidRDefault="00C566DF" w:rsidP="00473286">
            <w:pPr>
              <w:spacing w:after="0" w:line="240" w:lineRule="auto"/>
              <w:rPr>
                <w:rFonts w:ascii="Arial" w:eastAsia="Times New Roman" w:hAnsi="Arial" w:cs="Arial"/>
                <w:sz w:val="20"/>
                <w:szCs w:val="20"/>
                <w:lang w:eastAsia="en-GB"/>
              </w:rPr>
            </w:pPr>
            <w:r>
              <w:rPr>
                <w:rFonts w:ascii="Calibri" w:hAnsi="Calibri" w:cs="Calibri"/>
                <w:sz w:val="20"/>
                <w:szCs w:val="20"/>
              </w:rPr>
              <w:t>Motorcycle weight</w:t>
            </w:r>
          </w:p>
        </w:tc>
        <w:tc>
          <w:tcPr>
            <w:tcW w:w="1284" w:type="dxa"/>
            <w:shd w:val="clear" w:color="auto" w:fill="auto"/>
            <w:noWrap/>
            <w:vAlign w:val="bottom"/>
            <w:hideMark/>
          </w:tcPr>
          <w:p w14:paraId="1ADA1992" w14:textId="0603DB5E" w:rsidR="00C566DF" w:rsidRPr="00071CB6" w:rsidRDefault="00C566DF" w:rsidP="00473286">
            <w:pPr>
              <w:spacing w:after="0" w:line="240" w:lineRule="auto"/>
              <w:rPr>
                <w:rFonts w:ascii="Arial" w:eastAsia="Times New Roman" w:hAnsi="Arial" w:cs="Arial"/>
                <w:sz w:val="20"/>
                <w:szCs w:val="20"/>
                <w:lang w:eastAsia="en-GB"/>
              </w:rPr>
            </w:pPr>
            <w:r>
              <w:rPr>
                <w:rFonts w:ascii="Calibri" w:hAnsi="Calibri" w:cs="Calibri"/>
                <w:sz w:val="20"/>
                <w:szCs w:val="20"/>
              </w:rPr>
              <w:t>Van weight</w:t>
            </w:r>
          </w:p>
        </w:tc>
        <w:tc>
          <w:tcPr>
            <w:tcW w:w="1484" w:type="dxa"/>
          </w:tcPr>
          <w:p w14:paraId="6E8BF6DA" w14:textId="7B3D218E" w:rsidR="00C566DF" w:rsidRDefault="00C566DF" w:rsidP="00473286">
            <w:pPr>
              <w:spacing w:after="0" w:line="240" w:lineRule="auto"/>
              <w:rPr>
                <w:rFonts w:ascii="Calibri" w:hAnsi="Calibri" w:cs="Calibri"/>
                <w:sz w:val="20"/>
                <w:szCs w:val="20"/>
              </w:rPr>
            </w:pPr>
            <w:r>
              <w:rPr>
                <w:rFonts w:ascii="Calibri" w:hAnsi="Calibri" w:cs="Calibri"/>
                <w:sz w:val="20"/>
                <w:szCs w:val="20"/>
              </w:rPr>
              <w:t xml:space="preserve">Bus </w:t>
            </w:r>
            <w:r w:rsidR="00E27ADF">
              <w:rPr>
                <w:rFonts w:ascii="Calibri" w:hAnsi="Calibri" w:cs="Calibri"/>
                <w:sz w:val="20"/>
                <w:szCs w:val="20"/>
              </w:rPr>
              <w:t>+</w:t>
            </w:r>
            <w:r>
              <w:rPr>
                <w:rFonts w:ascii="Calibri" w:hAnsi="Calibri" w:cs="Calibri"/>
                <w:sz w:val="20"/>
                <w:szCs w:val="20"/>
              </w:rPr>
              <w:t xml:space="preserve"> other public transport weight</w:t>
            </w:r>
          </w:p>
        </w:tc>
      </w:tr>
      <w:tr w:rsidR="00837FCA" w:rsidRPr="00071CB6" w14:paraId="4B0C3E24" w14:textId="0A8A0C40" w:rsidTr="00EA55BD">
        <w:trPr>
          <w:trHeight w:val="255"/>
        </w:trPr>
        <w:tc>
          <w:tcPr>
            <w:tcW w:w="2830" w:type="dxa"/>
            <w:shd w:val="clear" w:color="auto" w:fill="auto"/>
            <w:noWrap/>
            <w:vAlign w:val="bottom"/>
            <w:hideMark/>
          </w:tcPr>
          <w:p w14:paraId="5C437D21" w14:textId="207E71D9" w:rsidR="00837FCA" w:rsidRPr="00D24D4D" w:rsidRDefault="00837FCA" w:rsidP="00837FCA">
            <w:pPr>
              <w:spacing w:after="0" w:line="240" w:lineRule="auto"/>
              <w:rPr>
                <w:rFonts w:eastAsia="Times New Roman" w:cstheme="minorHAnsi"/>
                <w:sz w:val="20"/>
                <w:szCs w:val="20"/>
                <w:lang w:eastAsia="en-GB"/>
              </w:rPr>
            </w:pPr>
            <w:r w:rsidRPr="00D24D4D">
              <w:rPr>
                <w:rFonts w:cstheme="minorHAnsi"/>
                <w:sz w:val="20"/>
                <w:szCs w:val="20"/>
              </w:rPr>
              <w:t>Bristol</w:t>
            </w:r>
          </w:p>
        </w:tc>
        <w:tc>
          <w:tcPr>
            <w:tcW w:w="1144" w:type="dxa"/>
            <w:shd w:val="clear" w:color="auto" w:fill="auto"/>
            <w:noWrap/>
            <w:vAlign w:val="bottom"/>
          </w:tcPr>
          <w:p w14:paraId="24243B33" w14:textId="782E39AB"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1.08</w:t>
            </w:r>
          </w:p>
        </w:tc>
        <w:tc>
          <w:tcPr>
            <w:tcW w:w="1239" w:type="dxa"/>
            <w:shd w:val="clear" w:color="auto" w:fill="auto"/>
            <w:noWrap/>
            <w:vAlign w:val="bottom"/>
          </w:tcPr>
          <w:p w14:paraId="1CFFCFB2" w14:textId="37554212"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1.17</w:t>
            </w:r>
          </w:p>
        </w:tc>
        <w:tc>
          <w:tcPr>
            <w:tcW w:w="1228" w:type="dxa"/>
            <w:shd w:val="clear" w:color="auto" w:fill="auto"/>
            <w:noWrap/>
            <w:vAlign w:val="bottom"/>
          </w:tcPr>
          <w:p w14:paraId="1CCFB409" w14:textId="5DE6C36C"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1.81</w:t>
            </w:r>
          </w:p>
        </w:tc>
        <w:tc>
          <w:tcPr>
            <w:tcW w:w="1284" w:type="dxa"/>
            <w:shd w:val="clear" w:color="auto" w:fill="auto"/>
            <w:noWrap/>
            <w:vAlign w:val="bottom"/>
          </w:tcPr>
          <w:p w14:paraId="673A84F9" w14:textId="592669ED"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5.36</w:t>
            </w:r>
          </w:p>
        </w:tc>
        <w:tc>
          <w:tcPr>
            <w:tcW w:w="1484" w:type="dxa"/>
            <w:vAlign w:val="bottom"/>
          </w:tcPr>
          <w:p w14:paraId="6D049AE2" w14:textId="5DD8E4DB"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r w:rsidR="00837FCA" w:rsidRPr="00071CB6" w14:paraId="7B8EBF4F" w14:textId="64B6D3AC" w:rsidTr="00EA55BD">
        <w:trPr>
          <w:trHeight w:val="255"/>
        </w:trPr>
        <w:tc>
          <w:tcPr>
            <w:tcW w:w="2830" w:type="dxa"/>
            <w:shd w:val="clear" w:color="auto" w:fill="auto"/>
            <w:noWrap/>
            <w:vAlign w:val="bottom"/>
            <w:hideMark/>
          </w:tcPr>
          <w:p w14:paraId="2FB8C452" w14:textId="3505345D" w:rsidR="00837FCA" w:rsidRPr="00D24D4D" w:rsidRDefault="00837FCA" w:rsidP="00837FCA">
            <w:pPr>
              <w:spacing w:after="0" w:line="240" w:lineRule="auto"/>
              <w:rPr>
                <w:rFonts w:eastAsia="Times New Roman" w:cstheme="minorHAnsi"/>
                <w:sz w:val="20"/>
                <w:szCs w:val="20"/>
                <w:lang w:eastAsia="en-GB"/>
              </w:rPr>
            </w:pPr>
            <w:r w:rsidRPr="00D24D4D">
              <w:rPr>
                <w:rFonts w:cstheme="minorHAnsi"/>
                <w:sz w:val="20"/>
                <w:szCs w:val="20"/>
              </w:rPr>
              <w:t>Greater Manchester</w:t>
            </w:r>
          </w:p>
        </w:tc>
        <w:tc>
          <w:tcPr>
            <w:tcW w:w="1144" w:type="dxa"/>
            <w:shd w:val="clear" w:color="auto" w:fill="auto"/>
            <w:noWrap/>
            <w:vAlign w:val="bottom"/>
          </w:tcPr>
          <w:p w14:paraId="5E503E13" w14:textId="2E15F955"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1.08</w:t>
            </w:r>
          </w:p>
        </w:tc>
        <w:tc>
          <w:tcPr>
            <w:tcW w:w="1239" w:type="dxa"/>
            <w:shd w:val="clear" w:color="auto" w:fill="auto"/>
            <w:noWrap/>
            <w:vAlign w:val="bottom"/>
          </w:tcPr>
          <w:p w14:paraId="476A5943" w14:textId="6AFC0F7C"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1.11</w:t>
            </w:r>
          </w:p>
        </w:tc>
        <w:tc>
          <w:tcPr>
            <w:tcW w:w="1228" w:type="dxa"/>
            <w:shd w:val="clear" w:color="auto" w:fill="auto"/>
            <w:noWrap/>
            <w:vAlign w:val="bottom"/>
          </w:tcPr>
          <w:p w14:paraId="55EF2A91" w14:textId="6AD9B153"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1.35</w:t>
            </w:r>
          </w:p>
        </w:tc>
        <w:tc>
          <w:tcPr>
            <w:tcW w:w="1284" w:type="dxa"/>
            <w:shd w:val="clear" w:color="auto" w:fill="auto"/>
            <w:noWrap/>
            <w:vAlign w:val="bottom"/>
          </w:tcPr>
          <w:p w14:paraId="5340E49A" w14:textId="65B67C0C"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7.14</w:t>
            </w:r>
          </w:p>
        </w:tc>
        <w:tc>
          <w:tcPr>
            <w:tcW w:w="1484" w:type="dxa"/>
            <w:vAlign w:val="bottom"/>
          </w:tcPr>
          <w:p w14:paraId="54E36C30" w14:textId="39451904"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r w:rsidR="00837FCA" w:rsidRPr="00071CB6" w14:paraId="3C9B3718" w14:textId="33BA4D32" w:rsidTr="00EA55BD">
        <w:trPr>
          <w:trHeight w:val="255"/>
        </w:trPr>
        <w:tc>
          <w:tcPr>
            <w:tcW w:w="2830" w:type="dxa"/>
            <w:shd w:val="clear" w:color="auto" w:fill="auto"/>
            <w:noWrap/>
            <w:vAlign w:val="bottom"/>
            <w:hideMark/>
          </w:tcPr>
          <w:p w14:paraId="2E4E31F6" w14:textId="3212E617" w:rsidR="00837FCA" w:rsidRPr="00D24D4D" w:rsidRDefault="00837FCA" w:rsidP="00837FCA">
            <w:pPr>
              <w:spacing w:after="0" w:line="240" w:lineRule="auto"/>
              <w:rPr>
                <w:rFonts w:eastAsia="Times New Roman" w:cstheme="minorHAnsi"/>
                <w:sz w:val="20"/>
                <w:szCs w:val="20"/>
                <w:lang w:eastAsia="en-GB"/>
              </w:rPr>
            </w:pPr>
            <w:r w:rsidRPr="00D24D4D">
              <w:rPr>
                <w:rFonts w:cstheme="minorHAnsi"/>
                <w:sz w:val="20"/>
                <w:szCs w:val="20"/>
              </w:rPr>
              <w:t>Leeds</w:t>
            </w:r>
          </w:p>
        </w:tc>
        <w:tc>
          <w:tcPr>
            <w:tcW w:w="1144" w:type="dxa"/>
            <w:shd w:val="clear" w:color="auto" w:fill="auto"/>
            <w:noWrap/>
            <w:vAlign w:val="bottom"/>
          </w:tcPr>
          <w:p w14:paraId="08DF7261" w14:textId="0C897C0A"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1.08</w:t>
            </w:r>
          </w:p>
        </w:tc>
        <w:tc>
          <w:tcPr>
            <w:tcW w:w="1239" w:type="dxa"/>
            <w:shd w:val="clear" w:color="auto" w:fill="auto"/>
            <w:noWrap/>
            <w:vAlign w:val="bottom"/>
          </w:tcPr>
          <w:p w14:paraId="7F3395B4" w14:textId="663E92DE"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1.06</w:t>
            </w:r>
          </w:p>
        </w:tc>
        <w:tc>
          <w:tcPr>
            <w:tcW w:w="1228" w:type="dxa"/>
            <w:shd w:val="clear" w:color="auto" w:fill="auto"/>
            <w:noWrap/>
            <w:vAlign w:val="bottom"/>
          </w:tcPr>
          <w:p w14:paraId="79030982" w14:textId="3FDF344A"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1.47</w:t>
            </w:r>
          </w:p>
        </w:tc>
        <w:tc>
          <w:tcPr>
            <w:tcW w:w="1284" w:type="dxa"/>
            <w:shd w:val="clear" w:color="auto" w:fill="auto"/>
            <w:noWrap/>
            <w:vAlign w:val="bottom"/>
          </w:tcPr>
          <w:p w14:paraId="0490A875" w14:textId="3D18A3A1"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6.81</w:t>
            </w:r>
          </w:p>
        </w:tc>
        <w:tc>
          <w:tcPr>
            <w:tcW w:w="1484" w:type="dxa"/>
            <w:vAlign w:val="bottom"/>
          </w:tcPr>
          <w:p w14:paraId="0D305640" w14:textId="38480CBA"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r w:rsidR="00837FCA" w:rsidRPr="00071CB6" w14:paraId="61AE8130" w14:textId="12699BFC" w:rsidTr="00EA55BD">
        <w:trPr>
          <w:trHeight w:val="255"/>
        </w:trPr>
        <w:tc>
          <w:tcPr>
            <w:tcW w:w="2830" w:type="dxa"/>
            <w:shd w:val="clear" w:color="auto" w:fill="auto"/>
            <w:noWrap/>
            <w:vAlign w:val="bottom"/>
            <w:hideMark/>
          </w:tcPr>
          <w:p w14:paraId="299D5C1A" w14:textId="3A487DB3" w:rsidR="00837FCA" w:rsidRPr="00D24D4D" w:rsidRDefault="00837FCA" w:rsidP="00837FCA">
            <w:pPr>
              <w:spacing w:after="0" w:line="240" w:lineRule="auto"/>
              <w:rPr>
                <w:rFonts w:eastAsia="Times New Roman" w:cstheme="minorHAnsi"/>
                <w:sz w:val="20"/>
                <w:szCs w:val="20"/>
                <w:lang w:eastAsia="en-GB"/>
              </w:rPr>
            </w:pPr>
            <w:r w:rsidRPr="00D24D4D">
              <w:rPr>
                <w:rFonts w:cstheme="minorHAnsi"/>
                <w:sz w:val="20"/>
                <w:szCs w:val="20"/>
              </w:rPr>
              <w:t>Liverpool</w:t>
            </w:r>
          </w:p>
        </w:tc>
        <w:tc>
          <w:tcPr>
            <w:tcW w:w="1144" w:type="dxa"/>
            <w:shd w:val="clear" w:color="auto" w:fill="auto"/>
            <w:noWrap/>
            <w:vAlign w:val="bottom"/>
          </w:tcPr>
          <w:p w14:paraId="14E316C2" w14:textId="5724CD56"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1.08</w:t>
            </w:r>
          </w:p>
        </w:tc>
        <w:tc>
          <w:tcPr>
            <w:tcW w:w="1239" w:type="dxa"/>
            <w:shd w:val="clear" w:color="auto" w:fill="auto"/>
            <w:noWrap/>
            <w:vAlign w:val="bottom"/>
          </w:tcPr>
          <w:p w14:paraId="66ECC4A0" w14:textId="51A9BECC"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1.26</w:t>
            </w:r>
          </w:p>
        </w:tc>
        <w:tc>
          <w:tcPr>
            <w:tcW w:w="1228" w:type="dxa"/>
            <w:shd w:val="clear" w:color="auto" w:fill="auto"/>
            <w:noWrap/>
            <w:vAlign w:val="bottom"/>
          </w:tcPr>
          <w:p w14:paraId="24401827" w14:textId="1F1A354B"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1.67</w:t>
            </w:r>
          </w:p>
        </w:tc>
        <w:tc>
          <w:tcPr>
            <w:tcW w:w="1284" w:type="dxa"/>
            <w:shd w:val="clear" w:color="auto" w:fill="auto"/>
            <w:noWrap/>
            <w:vAlign w:val="bottom"/>
          </w:tcPr>
          <w:p w14:paraId="49EB4478" w14:textId="5400ABE8"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8.04</w:t>
            </w:r>
          </w:p>
        </w:tc>
        <w:tc>
          <w:tcPr>
            <w:tcW w:w="1484" w:type="dxa"/>
            <w:vAlign w:val="bottom"/>
          </w:tcPr>
          <w:p w14:paraId="7891D801" w14:textId="17434128"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r w:rsidR="00837FCA" w:rsidRPr="00071CB6" w14:paraId="0095634D" w14:textId="0E1886D1" w:rsidTr="00EA55BD">
        <w:trPr>
          <w:trHeight w:val="255"/>
        </w:trPr>
        <w:tc>
          <w:tcPr>
            <w:tcW w:w="2830" w:type="dxa"/>
            <w:shd w:val="clear" w:color="auto" w:fill="auto"/>
            <w:noWrap/>
            <w:vAlign w:val="bottom"/>
            <w:hideMark/>
          </w:tcPr>
          <w:p w14:paraId="7E9F0738" w14:textId="63BD9510" w:rsidR="00837FCA" w:rsidRPr="00D24D4D" w:rsidRDefault="00837FCA" w:rsidP="00837FCA">
            <w:pPr>
              <w:spacing w:after="0" w:line="240" w:lineRule="auto"/>
              <w:rPr>
                <w:rFonts w:eastAsia="Times New Roman" w:cstheme="minorHAnsi"/>
                <w:sz w:val="20"/>
                <w:szCs w:val="20"/>
                <w:lang w:eastAsia="en-GB"/>
              </w:rPr>
            </w:pPr>
            <w:r w:rsidRPr="00D24D4D">
              <w:rPr>
                <w:rFonts w:cstheme="minorHAnsi"/>
                <w:sz w:val="20"/>
                <w:szCs w:val="20"/>
              </w:rPr>
              <w:t>London</w:t>
            </w:r>
          </w:p>
        </w:tc>
        <w:tc>
          <w:tcPr>
            <w:tcW w:w="1144" w:type="dxa"/>
            <w:shd w:val="clear" w:color="auto" w:fill="auto"/>
            <w:noWrap/>
            <w:vAlign w:val="bottom"/>
          </w:tcPr>
          <w:p w14:paraId="35E4E80E" w14:textId="237BB577"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1.08</w:t>
            </w:r>
          </w:p>
        </w:tc>
        <w:tc>
          <w:tcPr>
            <w:tcW w:w="1239" w:type="dxa"/>
            <w:shd w:val="clear" w:color="auto" w:fill="auto"/>
            <w:noWrap/>
            <w:vAlign w:val="bottom"/>
          </w:tcPr>
          <w:p w14:paraId="29A72C8A" w14:textId="3DB50270"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0.94</w:t>
            </w:r>
          </w:p>
        </w:tc>
        <w:tc>
          <w:tcPr>
            <w:tcW w:w="1228" w:type="dxa"/>
            <w:shd w:val="clear" w:color="auto" w:fill="auto"/>
            <w:noWrap/>
            <w:vAlign w:val="bottom"/>
          </w:tcPr>
          <w:p w14:paraId="0D64809A" w14:textId="6D6A05A5"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1.72</w:t>
            </w:r>
          </w:p>
        </w:tc>
        <w:tc>
          <w:tcPr>
            <w:tcW w:w="1284" w:type="dxa"/>
            <w:shd w:val="clear" w:color="auto" w:fill="auto"/>
            <w:noWrap/>
            <w:vAlign w:val="bottom"/>
          </w:tcPr>
          <w:p w14:paraId="63A65EF2" w14:textId="78C52E08"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5.89</w:t>
            </w:r>
          </w:p>
        </w:tc>
        <w:tc>
          <w:tcPr>
            <w:tcW w:w="1484" w:type="dxa"/>
            <w:vAlign w:val="bottom"/>
          </w:tcPr>
          <w:p w14:paraId="5DF8BB7E" w14:textId="428A093B"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r w:rsidR="00837FCA" w:rsidRPr="00071CB6" w14:paraId="65C0B658" w14:textId="2A3DBA20" w:rsidTr="00EA55BD">
        <w:trPr>
          <w:trHeight w:val="255"/>
        </w:trPr>
        <w:tc>
          <w:tcPr>
            <w:tcW w:w="2830" w:type="dxa"/>
            <w:shd w:val="clear" w:color="auto" w:fill="auto"/>
            <w:noWrap/>
            <w:vAlign w:val="bottom"/>
            <w:hideMark/>
          </w:tcPr>
          <w:p w14:paraId="7E0F3E56" w14:textId="2C1BBEC9" w:rsidR="00837FCA" w:rsidRPr="00D24D4D" w:rsidRDefault="00837FCA" w:rsidP="00837FCA">
            <w:pPr>
              <w:spacing w:after="0" w:line="240" w:lineRule="auto"/>
              <w:rPr>
                <w:rFonts w:eastAsia="Times New Roman" w:cstheme="minorHAnsi"/>
                <w:sz w:val="20"/>
                <w:szCs w:val="20"/>
                <w:lang w:eastAsia="en-GB"/>
              </w:rPr>
            </w:pPr>
            <w:r w:rsidRPr="00D24D4D">
              <w:rPr>
                <w:rFonts w:cstheme="minorHAnsi"/>
                <w:sz w:val="20"/>
                <w:szCs w:val="20"/>
              </w:rPr>
              <w:t>North East</w:t>
            </w:r>
          </w:p>
        </w:tc>
        <w:tc>
          <w:tcPr>
            <w:tcW w:w="1144" w:type="dxa"/>
            <w:shd w:val="clear" w:color="auto" w:fill="auto"/>
            <w:noWrap/>
            <w:vAlign w:val="bottom"/>
          </w:tcPr>
          <w:p w14:paraId="29D76062" w14:textId="0A0DB88B"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1.08</w:t>
            </w:r>
          </w:p>
        </w:tc>
        <w:tc>
          <w:tcPr>
            <w:tcW w:w="1239" w:type="dxa"/>
            <w:shd w:val="clear" w:color="auto" w:fill="auto"/>
            <w:noWrap/>
            <w:vAlign w:val="bottom"/>
          </w:tcPr>
          <w:p w14:paraId="46994746" w14:textId="3D808B35"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1.09</w:t>
            </w:r>
          </w:p>
        </w:tc>
        <w:tc>
          <w:tcPr>
            <w:tcW w:w="1228" w:type="dxa"/>
            <w:shd w:val="clear" w:color="auto" w:fill="auto"/>
            <w:noWrap/>
            <w:vAlign w:val="bottom"/>
          </w:tcPr>
          <w:p w14:paraId="015020B3" w14:textId="6D82E9EE"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1.11</w:t>
            </w:r>
          </w:p>
        </w:tc>
        <w:tc>
          <w:tcPr>
            <w:tcW w:w="1284" w:type="dxa"/>
            <w:shd w:val="clear" w:color="auto" w:fill="auto"/>
            <w:noWrap/>
            <w:vAlign w:val="bottom"/>
          </w:tcPr>
          <w:p w14:paraId="7A032573" w14:textId="2D9061EC"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6.21</w:t>
            </w:r>
          </w:p>
        </w:tc>
        <w:tc>
          <w:tcPr>
            <w:tcW w:w="1484" w:type="dxa"/>
            <w:vAlign w:val="bottom"/>
          </w:tcPr>
          <w:p w14:paraId="1D1A1FF0" w14:textId="60262472"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r w:rsidR="00837FCA" w:rsidRPr="00071CB6" w14:paraId="313CEFA8" w14:textId="0E480A84" w:rsidTr="00EA55BD">
        <w:trPr>
          <w:trHeight w:val="255"/>
        </w:trPr>
        <w:tc>
          <w:tcPr>
            <w:tcW w:w="2830" w:type="dxa"/>
            <w:shd w:val="clear" w:color="auto" w:fill="auto"/>
            <w:noWrap/>
            <w:vAlign w:val="bottom"/>
            <w:hideMark/>
          </w:tcPr>
          <w:p w14:paraId="2D20463B" w14:textId="37270C6F" w:rsidR="00837FCA" w:rsidRPr="00D24D4D" w:rsidRDefault="00837FCA" w:rsidP="00837FCA">
            <w:pPr>
              <w:spacing w:after="0" w:line="240" w:lineRule="auto"/>
              <w:rPr>
                <w:rFonts w:eastAsia="Times New Roman" w:cstheme="minorHAnsi"/>
                <w:sz w:val="20"/>
                <w:szCs w:val="20"/>
                <w:lang w:eastAsia="en-GB"/>
              </w:rPr>
            </w:pPr>
            <w:r w:rsidRPr="00D24D4D">
              <w:rPr>
                <w:rFonts w:cstheme="minorHAnsi"/>
                <w:sz w:val="20"/>
                <w:szCs w:val="20"/>
              </w:rPr>
              <w:t>Nottingham</w:t>
            </w:r>
          </w:p>
        </w:tc>
        <w:tc>
          <w:tcPr>
            <w:tcW w:w="1144" w:type="dxa"/>
            <w:shd w:val="clear" w:color="auto" w:fill="auto"/>
            <w:noWrap/>
            <w:vAlign w:val="bottom"/>
          </w:tcPr>
          <w:p w14:paraId="4A330D5D" w14:textId="699A7EE9"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1.08</w:t>
            </w:r>
          </w:p>
        </w:tc>
        <w:tc>
          <w:tcPr>
            <w:tcW w:w="1239" w:type="dxa"/>
            <w:shd w:val="clear" w:color="auto" w:fill="auto"/>
            <w:noWrap/>
            <w:vAlign w:val="bottom"/>
          </w:tcPr>
          <w:p w14:paraId="23949103" w14:textId="12DDEF6E"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1.13</w:t>
            </w:r>
          </w:p>
        </w:tc>
        <w:tc>
          <w:tcPr>
            <w:tcW w:w="1228" w:type="dxa"/>
            <w:shd w:val="clear" w:color="auto" w:fill="auto"/>
            <w:noWrap/>
            <w:vAlign w:val="bottom"/>
          </w:tcPr>
          <w:p w14:paraId="158BECF8" w14:textId="46B299D9"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2.04</w:t>
            </w:r>
          </w:p>
        </w:tc>
        <w:tc>
          <w:tcPr>
            <w:tcW w:w="1284" w:type="dxa"/>
            <w:shd w:val="clear" w:color="auto" w:fill="auto"/>
            <w:noWrap/>
            <w:vAlign w:val="bottom"/>
          </w:tcPr>
          <w:p w14:paraId="340EA782" w14:textId="3A94015B"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6.58</w:t>
            </w:r>
          </w:p>
        </w:tc>
        <w:tc>
          <w:tcPr>
            <w:tcW w:w="1484" w:type="dxa"/>
            <w:vAlign w:val="bottom"/>
          </w:tcPr>
          <w:p w14:paraId="7CC812A3" w14:textId="63170A83"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r w:rsidR="00837FCA" w:rsidRPr="00071CB6" w14:paraId="7BB632D9" w14:textId="2BD6614B" w:rsidTr="00EA55BD">
        <w:trPr>
          <w:trHeight w:val="255"/>
        </w:trPr>
        <w:tc>
          <w:tcPr>
            <w:tcW w:w="2830" w:type="dxa"/>
            <w:shd w:val="clear" w:color="auto" w:fill="auto"/>
            <w:noWrap/>
            <w:vAlign w:val="bottom"/>
            <w:hideMark/>
          </w:tcPr>
          <w:p w14:paraId="420D7FA4" w14:textId="6A6238AE" w:rsidR="00837FCA" w:rsidRPr="00D24D4D" w:rsidRDefault="00837FCA" w:rsidP="00837FCA">
            <w:pPr>
              <w:spacing w:after="0" w:line="240" w:lineRule="auto"/>
              <w:rPr>
                <w:rFonts w:eastAsia="Times New Roman" w:cstheme="minorHAnsi"/>
                <w:sz w:val="20"/>
                <w:szCs w:val="20"/>
                <w:lang w:eastAsia="en-GB"/>
              </w:rPr>
            </w:pPr>
            <w:r w:rsidRPr="00D24D4D">
              <w:rPr>
                <w:rFonts w:cstheme="minorHAnsi"/>
                <w:sz w:val="20"/>
                <w:szCs w:val="20"/>
              </w:rPr>
              <w:t>Sheffield</w:t>
            </w:r>
          </w:p>
        </w:tc>
        <w:tc>
          <w:tcPr>
            <w:tcW w:w="1144" w:type="dxa"/>
            <w:shd w:val="clear" w:color="auto" w:fill="auto"/>
            <w:noWrap/>
            <w:vAlign w:val="bottom"/>
          </w:tcPr>
          <w:p w14:paraId="1AE69165" w14:textId="0EC169D5"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1.08</w:t>
            </w:r>
          </w:p>
        </w:tc>
        <w:tc>
          <w:tcPr>
            <w:tcW w:w="1239" w:type="dxa"/>
            <w:shd w:val="clear" w:color="auto" w:fill="auto"/>
            <w:noWrap/>
            <w:vAlign w:val="bottom"/>
          </w:tcPr>
          <w:p w14:paraId="1A6488DD" w14:textId="533FC2D2"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1.23</w:t>
            </w:r>
          </w:p>
        </w:tc>
        <w:tc>
          <w:tcPr>
            <w:tcW w:w="1228" w:type="dxa"/>
            <w:shd w:val="clear" w:color="auto" w:fill="auto"/>
            <w:noWrap/>
            <w:vAlign w:val="bottom"/>
          </w:tcPr>
          <w:p w14:paraId="1DE35077" w14:textId="3EC2DB94"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2.06</w:t>
            </w:r>
          </w:p>
        </w:tc>
        <w:tc>
          <w:tcPr>
            <w:tcW w:w="1284" w:type="dxa"/>
            <w:shd w:val="clear" w:color="auto" w:fill="auto"/>
            <w:noWrap/>
            <w:vAlign w:val="bottom"/>
          </w:tcPr>
          <w:p w14:paraId="3492B854" w14:textId="31AE68D1" w:rsidR="00837FCA" w:rsidRPr="00BB468C" w:rsidRDefault="00837FCA" w:rsidP="00837FCA">
            <w:pPr>
              <w:spacing w:after="0" w:line="240" w:lineRule="auto"/>
              <w:jc w:val="center"/>
              <w:rPr>
                <w:rFonts w:ascii="Arial" w:eastAsia="Times New Roman" w:hAnsi="Arial" w:cs="Arial"/>
                <w:sz w:val="20"/>
                <w:szCs w:val="20"/>
                <w:highlight w:val="yellow"/>
                <w:lang w:eastAsia="en-GB"/>
              </w:rPr>
            </w:pPr>
            <w:r>
              <w:rPr>
                <w:rFonts w:ascii="Calibri" w:hAnsi="Calibri" w:cs="Calibri"/>
                <w:color w:val="000000"/>
              </w:rPr>
              <w:t>6.58</w:t>
            </w:r>
          </w:p>
        </w:tc>
        <w:tc>
          <w:tcPr>
            <w:tcW w:w="1484" w:type="dxa"/>
            <w:vAlign w:val="bottom"/>
          </w:tcPr>
          <w:p w14:paraId="5A5F4626" w14:textId="656F1673"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r w:rsidR="00837FCA" w:rsidRPr="00071CB6" w14:paraId="5DBC8617" w14:textId="77777777" w:rsidTr="00EA55BD">
        <w:trPr>
          <w:trHeight w:val="255"/>
        </w:trPr>
        <w:tc>
          <w:tcPr>
            <w:tcW w:w="2830" w:type="dxa"/>
            <w:shd w:val="clear" w:color="auto" w:fill="auto"/>
            <w:noWrap/>
            <w:vAlign w:val="bottom"/>
          </w:tcPr>
          <w:p w14:paraId="252B01D4" w14:textId="10FA8AFE" w:rsidR="00837FCA" w:rsidRPr="00D24D4D" w:rsidRDefault="00837FCA" w:rsidP="00837FCA">
            <w:pPr>
              <w:rPr>
                <w:rFonts w:cstheme="minorHAnsi"/>
                <w:sz w:val="20"/>
                <w:szCs w:val="20"/>
              </w:rPr>
            </w:pPr>
            <w:r w:rsidRPr="00D24D4D">
              <w:rPr>
                <w:rFonts w:cstheme="minorHAnsi"/>
                <w:sz w:val="20"/>
                <w:szCs w:val="20"/>
              </w:rPr>
              <w:t>West Midlands</w:t>
            </w:r>
          </w:p>
        </w:tc>
        <w:tc>
          <w:tcPr>
            <w:tcW w:w="1144" w:type="dxa"/>
            <w:shd w:val="clear" w:color="auto" w:fill="auto"/>
            <w:noWrap/>
            <w:vAlign w:val="bottom"/>
          </w:tcPr>
          <w:p w14:paraId="7DF1F555" w14:textId="024990AA"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1.08</w:t>
            </w:r>
          </w:p>
        </w:tc>
        <w:tc>
          <w:tcPr>
            <w:tcW w:w="1239" w:type="dxa"/>
            <w:shd w:val="clear" w:color="auto" w:fill="auto"/>
            <w:noWrap/>
            <w:vAlign w:val="bottom"/>
          </w:tcPr>
          <w:p w14:paraId="465DBD7B" w14:textId="2B8C514E"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1.17</w:t>
            </w:r>
          </w:p>
        </w:tc>
        <w:tc>
          <w:tcPr>
            <w:tcW w:w="1228" w:type="dxa"/>
            <w:shd w:val="clear" w:color="auto" w:fill="auto"/>
            <w:noWrap/>
            <w:vAlign w:val="bottom"/>
          </w:tcPr>
          <w:p w14:paraId="153AFE6A" w14:textId="4AEBDF23"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1.57</w:t>
            </w:r>
          </w:p>
        </w:tc>
        <w:tc>
          <w:tcPr>
            <w:tcW w:w="1284" w:type="dxa"/>
            <w:shd w:val="clear" w:color="auto" w:fill="auto"/>
            <w:noWrap/>
            <w:vAlign w:val="bottom"/>
          </w:tcPr>
          <w:p w14:paraId="133EDD1C" w14:textId="79B4F5C3"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8.09</w:t>
            </w:r>
          </w:p>
        </w:tc>
        <w:tc>
          <w:tcPr>
            <w:tcW w:w="1484" w:type="dxa"/>
            <w:vAlign w:val="bottom"/>
          </w:tcPr>
          <w:p w14:paraId="6DB54247" w14:textId="2EAB825F" w:rsidR="00837FCA" w:rsidRPr="00BB468C" w:rsidRDefault="00837FCA" w:rsidP="00837FCA">
            <w:pPr>
              <w:spacing w:after="0" w:line="240" w:lineRule="auto"/>
              <w:jc w:val="center"/>
              <w:rPr>
                <w:rFonts w:ascii="Calibri" w:hAnsi="Calibri" w:cs="Calibri"/>
                <w:sz w:val="20"/>
                <w:szCs w:val="20"/>
                <w:highlight w:val="yellow"/>
              </w:rPr>
            </w:pPr>
            <w:r>
              <w:rPr>
                <w:rFonts w:ascii="Calibri" w:hAnsi="Calibri" w:cs="Calibri"/>
                <w:color w:val="000000"/>
              </w:rPr>
              <w:t>1.04</w:t>
            </w:r>
          </w:p>
        </w:tc>
      </w:tr>
    </w:tbl>
    <w:p w14:paraId="3CFE0A18" w14:textId="77777777" w:rsidR="00071CB6" w:rsidRPr="000011C4" w:rsidRDefault="00071CB6" w:rsidP="000011C4"/>
    <w:p w14:paraId="4CC3D6EF" w14:textId="77777777" w:rsidR="00FE181F" w:rsidRDefault="00FE181F">
      <w:pPr>
        <w:rPr>
          <w:b/>
          <w:sz w:val="24"/>
          <w:u w:val="single"/>
        </w:rPr>
      </w:pPr>
      <w:bookmarkStart w:id="3" w:name="_Hlk12715135"/>
      <w:r>
        <w:rPr>
          <w:b/>
          <w:sz w:val="24"/>
          <w:u w:val="single"/>
        </w:rPr>
        <w:br w:type="page"/>
      </w:r>
    </w:p>
    <w:p w14:paraId="19D90503" w14:textId="452C3A42" w:rsidR="00240FE3" w:rsidRDefault="00AC6335">
      <w:pPr>
        <w:rPr>
          <w:b/>
          <w:sz w:val="24"/>
          <w:u w:val="single"/>
        </w:rPr>
      </w:pPr>
      <w:r>
        <w:rPr>
          <w:b/>
          <w:sz w:val="24"/>
          <w:u w:val="single"/>
        </w:rPr>
        <w:lastRenderedPageBreak/>
        <w:t xml:space="preserve">4.5 estimating background air pollution </w:t>
      </w:r>
      <w:proofErr w:type="gramStart"/>
      <w:r>
        <w:rPr>
          <w:b/>
          <w:sz w:val="24"/>
          <w:u w:val="single"/>
        </w:rPr>
        <w:t>exposure</w:t>
      </w:r>
      <w:proofErr w:type="gramEnd"/>
    </w:p>
    <w:p w14:paraId="634A6273" w14:textId="2C823107" w:rsidR="00AC6335" w:rsidRPr="00AC6335" w:rsidRDefault="00AC6335" w:rsidP="00AC6335">
      <w:pPr>
        <w:pStyle w:val="ListParagraph"/>
        <w:numPr>
          <w:ilvl w:val="0"/>
          <w:numId w:val="44"/>
        </w:numPr>
      </w:pPr>
      <w:r>
        <w:t xml:space="preserve">In the synthetic population, I have added </w:t>
      </w:r>
      <w:r w:rsidRPr="00AC6335">
        <w:t xml:space="preserve">measures of </w:t>
      </w:r>
      <w:r>
        <w:t xml:space="preserve">background </w:t>
      </w:r>
      <w:r w:rsidRPr="00AC6335">
        <w:t>air pollution</w:t>
      </w:r>
      <w:r>
        <w:t>:</w:t>
      </w:r>
    </w:p>
    <w:p w14:paraId="37AFC592" w14:textId="199FAA05" w:rsidR="00AC6335" w:rsidRPr="00AC6335" w:rsidRDefault="00AC6335" w:rsidP="00AC6335">
      <w:pPr>
        <w:pStyle w:val="ListParagraph"/>
        <w:numPr>
          <w:ilvl w:val="1"/>
          <w:numId w:val="45"/>
        </w:numPr>
      </w:pPr>
      <w:r w:rsidRPr="00AC6335">
        <w:t>in the home LSOA (everyone)</w:t>
      </w:r>
    </w:p>
    <w:p w14:paraId="6D3B4C2D" w14:textId="484DD0B6" w:rsidR="00AC6335" w:rsidRPr="00AC6335" w:rsidRDefault="00AC6335" w:rsidP="00AC6335">
      <w:pPr>
        <w:pStyle w:val="ListParagraph"/>
        <w:numPr>
          <w:ilvl w:val="1"/>
          <w:numId w:val="45"/>
        </w:numPr>
      </w:pPr>
      <w:r w:rsidRPr="00AC6335">
        <w:t xml:space="preserve">in the work LSOA (commuters with </w:t>
      </w:r>
      <w:r>
        <w:t>an identified</w:t>
      </w:r>
      <w:r w:rsidRPr="00AC6335">
        <w:t xml:space="preserve"> workplace)</w:t>
      </w:r>
    </w:p>
    <w:p w14:paraId="1B60E540" w14:textId="458BF1A8" w:rsidR="00AC6335" w:rsidRPr="00AC6335" w:rsidRDefault="00AC6335" w:rsidP="00AC6335">
      <w:pPr>
        <w:pStyle w:val="ListParagraph"/>
        <w:numPr>
          <w:ilvl w:val="1"/>
          <w:numId w:val="45"/>
        </w:numPr>
      </w:pPr>
      <w:r w:rsidRPr="00AC6335">
        <w:t>in the home local authority (everyone)</w:t>
      </w:r>
    </w:p>
    <w:p w14:paraId="6F477F8B" w14:textId="555588A1" w:rsidR="00AC6335" w:rsidRPr="00010709" w:rsidRDefault="00AC6335" w:rsidP="00AC6335">
      <w:pPr>
        <w:pStyle w:val="ListParagraph"/>
        <w:numPr>
          <w:ilvl w:val="0"/>
          <w:numId w:val="44"/>
        </w:numPr>
      </w:pPr>
      <w:r w:rsidRPr="00AC6335">
        <w:t>Each of these three measures exist</w:t>
      </w:r>
      <w:r>
        <w:t xml:space="preserve"> for both </w:t>
      </w:r>
      <w:r w:rsidRPr="00AC6335">
        <w:t xml:space="preserve">background PM2.5 and </w:t>
      </w:r>
      <w:r w:rsidRPr="00010709">
        <w:t>background NO2, using the 2016 values from the UKIAM model.</w:t>
      </w:r>
    </w:p>
    <w:p w14:paraId="6BDD80A4" w14:textId="25B2FE77" w:rsidR="00010709" w:rsidRPr="00010709" w:rsidRDefault="00010709" w:rsidP="00543D30">
      <w:pPr>
        <w:pStyle w:val="ListParagraph"/>
        <w:numPr>
          <w:ilvl w:val="0"/>
          <w:numId w:val="44"/>
        </w:numPr>
        <w:rPr>
          <w:b/>
          <w:sz w:val="24"/>
          <w:u w:val="single"/>
        </w:rPr>
      </w:pPr>
      <w:r w:rsidRPr="00010709">
        <w:t>We created</w:t>
      </w:r>
      <w:r w:rsidR="00AC6335" w:rsidRPr="00010709">
        <w:t xml:space="preserve"> an individual-level estimate of baseline air pollution exposure</w:t>
      </w:r>
      <w:r w:rsidRPr="00010709">
        <w:t>, assuming</w:t>
      </w:r>
      <w:r w:rsidR="00AC6335" w:rsidRPr="00010709">
        <w:t xml:space="preserve"> that people spend</w:t>
      </w:r>
      <w:r w:rsidRPr="00010709">
        <w:t>:</w:t>
      </w:r>
    </w:p>
    <w:p w14:paraId="6EF219F9" w14:textId="44164239" w:rsidR="00010709" w:rsidRPr="00010709" w:rsidRDefault="00AC6335" w:rsidP="00010709">
      <w:pPr>
        <w:pStyle w:val="ListParagraph"/>
        <w:numPr>
          <w:ilvl w:val="1"/>
          <w:numId w:val="44"/>
        </w:numPr>
        <w:rPr>
          <w:b/>
          <w:sz w:val="24"/>
          <w:u w:val="single"/>
        </w:rPr>
      </w:pPr>
      <w:r w:rsidRPr="00010709">
        <w:t>12 hours * 7 days at home</w:t>
      </w:r>
      <w:r w:rsidR="00010709" w:rsidRPr="00010709">
        <w:t>.</w:t>
      </w:r>
    </w:p>
    <w:p w14:paraId="44C6FC69" w14:textId="20CE1686" w:rsidR="00010709" w:rsidRPr="00010709" w:rsidRDefault="00AC6335" w:rsidP="00010709">
      <w:pPr>
        <w:pStyle w:val="ListParagraph"/>
        <w:numPr>
          <w:ilvl w:val="1"/>
          <w:numId w:val="44"/>
        </w:numPr>
        <w:rPr>
          <w:b/>
          <w:sz w:val="24"/>
          <w:u w:val="single"/>
        </w:rPr>
      </w:pPr>
      <w:r w:rsidRPr="00010709">
        <w:t>those with a workplace spend 8 hours * 5 days at the workplace</w:t>
      </w:r>
      <w:r w:rsidR="00010709" w:rsidRPr="00010709">
        <w:t>.</w:t>
      </w:r>
    </w:p>
    <w:p w14:paraId="237DBCA2" w14:textId="4C17B6A7" w:rsidR="00AC6335" w:rsidRPr="00010709" w:rsidRDefault="00AC6335" w:rsidP="00010709">
      <w:pPr>
        <w:pStyle w:val="ListParagraph"/>
        <w:numPr>
          <w:ilvl w:val="1"/>
          <w:numId w:val="44"/>
        </w:numPr>
        <w:rPr>
          <w:b/>
          <w:sz w:val="24"/>
          <w:u w:val="single"/>
        </w:rPr>
      </w:pPr>
      <w:r w:rsidRPr="00010709">
        <w:t xml:space="preserve">and the rest of </w:t>
      </w:r>
      <w:r w:rsidR="004E105D" w:rsidRPr="00010709">
        <w:t xml:space="preserve">the non-travelling time </w:t>
      </w:r>
      <w:r w:rsidRPr="00010709">
        <w:t>is spent in the local authority</w:t>
      </w:r>
      <w:bookmarkEnd w:id="3"/>
      <w:r w:rsidR="00010709" w:rsidRPr="00010709">
        <w:t>.</w:t>
      </w:r>
      <w:r w:rsidRPr="00010709">
        <w:rPr>
          <w:b/>
          <w:sz w:val="24"/>
          <w:u w:val="single"/>
        </w:rPr>
        <w:br w:type="page"/>
      </w:r>
    </w:p>
    <w:p w14:paraId="147C139D" w14:textId="41097942" w:rsidR="00181AE3" w:rsidRPr="005E1FA8" w:rsidRDefault="00221DD7" w:rsidP="00181AE3">
      <w:pPr>
        <w:rPr>
          <w:b/>
          <w:u w:val="single"/>
        </w:rPr>
      </w:pPr>
      <w:r w:rsidRPr="005E1FA8">
        <w:rPr>
          <w:b/>
          <w:sz w:val="24"/>
          <w:u w:val="single"/>
        </w:rPr>
        <w:lastRenderedPageBreak/>
        <w:t xml:space="preserve">5) </w:t>
      </w:r>
      <w:r w:rsidR="00181AE3" w:rsidRPr="005E1FA8">
        <w:rPr>
          <w:b/>
          <w:sz w:val="24"/>
          <w:u w:val="single"/>
        </w:rPr>
        <w:t>Merging in trip data</w:t>
      </w:r>
    </w:p>
    <w:p w14:paraId="77092508" w14:textId="77777777" w:rsidR="009B2CB1" w:rsidRPr="005E1FA8" w:rsidRDefault="00221DD7" w:rsidP="005E1FA8">
      <w:pPr>
        <w:pStyle w:val="ListParagraph"/>
        <w:numPr>
          <w:ilvl w:val="0"/>
          <w:numId w:val="38"/>
        </w:numPr>
      </w:pPr>
      <w:r w:rsidRPr="005E1FA8">
        <w:t>Stages 1-4 have created an individual-level dataset containing the 42,989,620 adults in England in the 20</w:t>
      </w:r>
      <w:r w:rsidR="009E6A02">
        <w:t>1</w:t>
      </w:r>
      <w:r w:rsidRPr="005E1FA8">
        <w:t>1 Census.  These individuals have been matched to individuals in NTS, and so can also be merged with a trip-level NTS dataset, to create a trip-level dataset for England.</w:t>
      </w:r>
    </w:p>
    <w:p w14:paraId="34DE8A2F" w14:textId="77777777" w:rsidR="005E1FA8" w:rsidRPr="005E1FA8" w:rsidRDefault="005E1FA8" w:rsidP="005E1FA8">
      <w:pPr>
        <w:pStyle w:val="ListParagraph"/>
      </w:pPr>
    </w:p>
    <w:p w14:paraId="2987D490" w14:textId="4FD9CEEE" w:rsidR="005E1FA8" w:rsidRPr="00AC0F76" w:rsidRDefault="00221DD7" w:rsidP="00F7476F">
      <w:pPr>
        <w:pStyle w:val="ListParagraph"/>
        <w:numPr>
          <w:ilvl w:val="0"/>
          <w:numId w:val="38"/>
        </w:numPr>
        <w:rPr>
          <w:color w:val="0070C0"/>
        </w:rPr>
      </w:pPr>
      <w:r w:rsidRPr="005E1FA8">
        <w:t xml:space="preserve">This creates issues around dataset size: the average number of past-trips per individual in NTS is around 17, meaning that the dataset of 43 </w:t>
      </w:r>
      <w:r w:rsidRPr="009E6A02">
        <w:t>million individuals would become over 700 million trips.  I have</w:t>
      </w:r>
      <w:r w:rsidR="00EA6629" w:rsidRPr="009E6A02">
        <w:t xml:space="preserve"> </w:t>
      </w:r>
      <w:r w:rsidRPr="009E6A02">
        <w:t>created trip-level datasets at the local authority level</w:t>
      </w:r>
      <w:r w:rsidR="005E1FA8" w:rsidRPr="009E6A02">
        <w:t>.  T</w:t>
      </w:r>
      <w:r w:rsidRPr="009E6A02">
        <w:t xml:space="preserve">hese could </w:t>
      </w:r>
      <w:r w:rsidR="005E1FA8" w:rsidRPr="009E6A02">
        <w:t xml:space="preserve">readily </w:t>
      </w:r>
      <w:r w:rsidRPr="009E6A02">
        <w:t>be aggregated to regions or to the national level depending on whether</w:t>
      </w:r>
      <w:r>
        <w:t xml:space="preserve"> it is more </w:t>
      </w:r>
      <w:r w:rsidR="005E1FA8">
        <w:t>computer-</w:t>
      </w:r>
      <w:r>
        <w:t>efficient to</w:t>
      </w:r>
      <w:r w:rsidR="005E1FA8">
        <w:t xml:space="preserve"> run the same analysis 326 times in series or once in a very large dataset.  </w:t>
      </w:r>
    </w:p>
    <w:p w14:paraId="5AF253E1" w14:textId="357BBE23" w:rsidR="009B2CB1" w:rsidRDefault="005E1FA8" w:rsidP="005E1FA8">
      <w:pPr>
        <w:pStyle w:val="ListParagraph"/>
        <w:numPr>
          <w:ilvl w:val="0"/>
          <w:numId w:val="38"/>
        </w:numPr>
      </w:pPr>
      <w:r w:rsidRPr="005E1FA8">
        <w:t>Another issue</w:t>
      </w:r>
      <w:r w:rsidR="00C87FEE">
        <w:t xml:space="preserve"> that </w:t>
      </w:r>
      <w:r w:rsidRPr="005E1FA8">
        <w:t xml:space="preserve">I have </w:t>
      </w:r>
      <w:r>
        <w:t>currently left unresolved in the data is what to do when the home LSOA and main workplace LSOA</w:t>
      </w:r>
      <w:r w:rsidR="00C87FEE">
        <w:t>,</w:t>
      </w:r>
      <w:r>
        <w:t xml:space="preserve"> given in the Census</w:t>
      </w:r>
      <w:r w:rsidR="00C87FEE">
        <w:t>,</w:t>
      </w:r>
      <w:r>
        <w:t xml:space="preserve"> are not consistent </w:t>
      </w:r>
      <w:r w:rsidR="009B2CB1">
        <w:t>with the travel diary data from NTS</w:t>
      </w:r>
      <w:r>
        <w:t>.  This is bound to be the case for at least</w:t>
      </w:r>
      <w:r w:rsidR="009B2CB1">
        <w:t xml:space="preserve"> some trips. For example, perhaps the home LSOA and work LSOA are 4.2 km apart Euclidean distance, but the travel diary reports a commute trip of distance 3 km.  This could happen a) because we are matching </w:t>
      </w:r>
      <w:r>
        <w:t>im</w:t>
      </w:r>
      <w:r w:rsidR="009B2CB1">
        <w:t xml:space="preserve">perfectly on </w:t>
      </w:r>
      <w:r>
        <w:t xml:space="preserve">commute </w:t>
      </w:r>
      <w:r w:rsidR="009B2CB1">
        <w:t>distance</w:t>
      </w:r>
      <w:r>
        <w:t>,</w:t>
      </w:r>
      <w:r w:rsidR="009B2CB1">
        <w:t xml:space="preserve"> </w:t>
      </w:r>
      <w:r>
        <w:t xml:space="preserve">as it is defined in categories for the first two matches and not used at all for the final two matches; </w:t>
      </w:r>
      <w:r w:rsidR="009B2CB1">
        <w:t xml:space="preserve">or b) because people make their commute trips to different workplaces, or from different homes, on different days.  </w:t>
      </w:r>
      <w:r w:rsidR="002114FB">
        <w:t>Options could include</w:t>
      </w:r>
      <w:r w:rsidR="009B2CB1">
        <w:t>:</w:t>
      </w:r>
    </w:p>
    <w:p w14:paraId="1D88C817" w14:textId="77777777" w:rsidR="009B2CB1" w:rsidRDefault="005E1FA8" w:rsidP="005E1FA8">
      <w:pPr>
        <w:pStyle w:val="ListParagraph"/>
        <w:numPr>
          <w:ilvl w:val="1"/>
          <w:numId w:val="38"/>
        </w:numPr>
      </w:pPr>
      <w:r>
        <w:t xml:space="preserve">Do </w:t>
      </w:r>
      <w:r w:rsidR="009B2CB1">
        <w:t xml:space="preserve">we believe the </w:t>
      </w:r>
      <w:r>
        <w:t>Census</w:t>
      </w:r>
      <w:r w:rsidR="009B2CB1">
        <w:t>, thereby imputing the origin and destination of all home-work commutes? In that case, do we overwrite the distance and duration data provided in the NTS with alternative plausible values when the two are incompatible?</w:t>
      </w:r>
    </w:p>
    <w:p w14:paraId="2370DCAB" w14:textId="77777777" w:rsidR="009B2CB1" w:rsidRDefault="009B2CB1" w:rsidP="005E1FA8">
      <w:pPr>
        <w:pStyle w:val="ListParagraph"/>
        <w:numPr>
          <w:ilvl w:val="1"/>
          <w:numId w:val="38"/>
        </w:numPr>
      </w:pPr>
      <w:r>
        <w:t xml:space="preserve">Do we believe NTS, thereby losing the ability to routes trips along the road, since </w:t>
      </w:r>
      <w:proofErr w:type="gramStart"/>
      <w:r>
        <w:t>we’re</w:t>
      </w:r>
      <w:proofErr w:type="gramEnd"/>
      <w:r>
        <w:t xml:space="preserve"> back to not knowing where they are going. NB in this case we would still be able to consider the home location</w:t>
      </w:r>
      <w:r w:rsidR="005E1FA8">
        <w:t xml:space="preserve"> as </w:t>
      </w:r>
      <w:r>
        <w:t xml:space="preserve">known, which would be helpful in terms of e.g. exposure to air pollution /noise. </w:t>
      </w:r>
      <w:r w:rsidR="00EA6629">
        <w:t>Also,</w:t>
      </w:r>
      <w:r>
        <w:t xml:space="preserve"> we could use the </w:t>
      </w:r>
      <w:r w:rsidR="005E1FA8">
        <w:t xml:space="preserve">Census </w:t>
      </w:r>
      <w:r>
        <w:t>for a sensitivity analysis of “how much difference does it make if we know the routes”</w:t>
      </w:r>
      <w:r w:rsidR="005E1FA8">
        <w:t>.</w:t>
      </w:r>
    </w:p>
    <w:p w14:paraId="3BCE5C72" w14:textId="77777777" w:rsidR="009B2CB1" w:rsidRDefault="009B2CB1" w:rsidP="005E1FA8">
      <w:pPr>
        <w:pStyle w:val="ListParagraph"/>
        <w:numPr>
          <w:ilvl w:val="1"/>
          <w:numId w:val="38"/>
        </w:numPr>
      </w:pPr>
      <w:r>
        <w:t xml:space="preserve">Do we do some sort of hybrid, e.g. we simultaneously have NTS distance/duration values paired with </w:t>
      </w:r>
      <w:r w:rsidR="005E1FA8">
        <w:t xml:space="preserve">Census </w:t>
      </w:r>
      <w:r>
        <w:t>origins and destinations, even though the two are not fully compatible? The problem with this is then our results are not internally consistent, e.g. a scenario might see a 10km/person decrease in car use based on NTS, but a</w:t>
      </w:r>
      <w:r w:rsidR="005E1FA8">
        <w:t>n</w:t>
      </w:r>
      <w:r>
        <w:t xml:space="preserve"> 8km/person decrease based on Census. But possibly in such a case we could do some sort of scaling, e.g. we believe the NTS value of 10 km/person is correct,</w:t>
      </w:r>
      <w:r w:rsidR="005E1FA8">
        <w:t xml:space="preserve"> and so we take the spatial distribution of effects estimated by the Census and scale that up by 10/8. </w:t>
      </w:r>
      <w:r w:rsidR="00C87FEE">
        <w:t xml:space="preserve">This appeals to me to some </w:t>
      </w:r>
      <w:proofErr w:type="gramStart"/>
      <w:r w:rsidR="00C87FEE">
        <w:t>extent, but</w:t>
      </w:r>
      <w:proofErr w:type="gramEnd"/>
      <w:r w:rsidR="00C87FEE">
        <w:t xml:space="preserve"> is potentially fiddly and hard to explain.</w:t>
      </w:r>
    </w:p>
    <w:p w14:paraId="76BD5076" w14:textId="4D6E36B0" w:rsidR="005E1FA8" w:rsidRPr="009D5D3D" w:rsidRDefault="005E1FA8" w:rsidP="005E1FA8">
      <w:pPr>
        <w:pStyle w:val="ListParagraph"/>
      </w:pPr>
      <w:r>
        <w:t>I</w:t>
      </w:r>
      <w:r w:rsidR="002114FB">
        <w:t>n practice we are using</w:t>
      </w:r>
      <w:r w:rsidR="00563721">
        <w:t xml:space="preserve"> option b in </w:t>
      </w:r>
      <w:proofErr w:type="spellStart"/>
      <w:proofErr w:type="gramStart"/>
      <w:r w:rsidR="00563721">
        <w:t>Metahit</w:t>
      </w:r>
      <w:proofErr w:type="spellEnd"/>
      <w:r w:rsidR="00563721">
        <w:t>, but</w:t>
      </w:r>
      <w:proofErr w:type="gramEnd"/>
      <w:r w:rsidR="00563721">
        <w:t xml:space="preserve"> </w:t>
      </w:r>
      <w:r w:rsidR="002114FB">
        <w:t xml:space="preserve">could </w:t>
      </w:r>
      <w:r w:rsidR="00563721">
        <w:t>consider improving in future work.</w:t>
      </w:r>
    </w:p>
    <w:p w14:paraId="57C4B0E8" w14:textId="77777777" w:rsidR="00415252" w:rsidRDefault="00415252">
      <w:r>
        <w:br w:type="page"/>
      </w:r>
    </w:p>
    <w:p w14:paraId="2FC39FCE" w14:textId="77777777" w:rsidR="009B2CB1" w:rsidRDefault="00415252" w:rsidP="00181AE3">
      <w:pPr>
        <w:rPr>
          <w:b/>
          <w:sz w:val="24"/>
          <w:u w:val="single"/>
        </w:rPr>
      </w:pPr>
      <w:r>
        <w:rPr>
          <w:b/>
          <w:sz w:val="24"/>
          <w:u w:val="single"/>
        </w:rPr>
        <w:lastRenderedPageBreak/>
        <w:t>Appendix</w:t>
      </w:r>
    </w:p>
    <w:p w14:paraId="7ED66E69" w14:textId="77777777" w:rsidR="00415252" w:rsidRPr="00415252" w:rsidRDefault="00415252" w:rsidP="00415252">
      <w:pPr>
        <w:rPr>
          <w:b/>
          <w:sz w:val="8"/>
          <w:u w:val="single"/>
        </w:rPr>
      </w:pPr>
    </w:p>
    <w:p w14:paraId="0356A46A" w14:textId="77777777" w:rsidR="00415252" w:rsidRPr="00415252" w:rsidRDefault="00415252" w:rsidP="00415252">
      <w:pPr>
        <w:pStyle w:val="Caption"/>
      </w:pPr>
      <w:bookmarkStart w:id="4" w:name="_Ref497997144"/>
      <w:r>
        <w:t xml:space="preserve">Figure </w:t>
      </w:r>
      <w:fldSimple w:instr=" SEQ Figure \* ARABIC ">
        <w:r>
          <w:rPr>
            <w:noProof/>
          </w:rPr>
          <w:t>1</w:t>
        </w:r>
      </w:fldSimple>
      <w:bookmarkEnd w:id="4"/>
      <w:r>
        <w:t xml:space="preserve">: </w:t>
      </w:r>
      <w:r w:rsidRPr="00415252">
        <w:t xml:space="preserve">Schematic representation of the process used to create the synthetic population of commuters in the </w:t>
      </w:r>
      <w:proofErr w:type="gramStart"/>
      <w:r>
        <w:t>Census</w:t>
      </w:r>
      <w:proofErr w:type="gramEnd"/>
    </w:p>
    <w:p w14:paraId="2DEE2A23" w14:textId="77777777" w:rsidR="00415252" w:rsidRPr="00415252" w:rsidRDefault="00C87FEE" w:rsidP="00415252">
      <w:r>
        <w:rPr>
          <w:noProof/>
        </w:rPr>
        <w:drawing>
          <wp:inline distT="0" distB="0" distL="0" distR="0" wp14:anchorId="5D6AA82B" wp14:editId="5FC2691D">
            <wp:extent cx="6118587" cy="786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279" cy="7873684"/>
                    </a:xfrm>
                    <a:prstGeom prst="rect">
                      <a:avLst/>
                    </a:prstGeom>
                    <a:noFill/>
                  </pic:spPr>
                </pic:pic>
              </a:graphicData>
            </a:graphic>
          </wp:inline>
        </w:drawing>
      </w:r>
      <w:r w:rsidR="00415252" w:rsidRPr="00415252">
        <w:br w:type="page"/>
      </w:r>
    </w:p>
    <w:p w14:paraId="24D339F6" w14:textId="77777777" w:rsidR="00415252" w:rsidRDefault="00415252" w:rsidP="00181AE3">
      <w:pPr>
        <w:rPr>
          <w:b/>
          <w:sz w:val="24"/>
          <w:u w:val="single"/>
        </w:rPr>
      </w:pPr>
    </w:p>
    <w:p w14:paraId="56636383" w14:textId="77777777" w:rsidR="00415252" w:rsidRDefault="00415252" w:rsidP="00415252">
      <w:pPr>
        <w:pStyle w:val="Caption"/>
      </w:pPr>
      <w:bookmarkStart w:id="5" w:name="_Ref497997162"/>
      <w:r>
        <w:t xml:space="preserve">Figure </w:t>
      </w:r>
      <w:r w:rsidR="00FE6546">
        <w:fldChar w:fldCharType="begin"/>
      </w:r>
      <w:r w:rsidR="00FE6546">
        <w:instrText xml:space="preserve"> SEQ Figure \* ARABIC </w:instrText>
      </w:r>
      <w:r w:rsidR="00FE6546">
        <w:fldChar w:fldCharType="separate"/>
      </w:r>
      <w:r>
        <w:rPr>
          <w:noProof/>
        </w:rPr>
        <w:t>2</w:t>
      </w:r>
      <w:r w:rsidR="00FE6546">
        <w:rPr>
          <w:noProof/>
        </w:rPr>
        <w:fldChar w:fldCharType="end"/>
      </w:r>
      <w:bookmarkEnd w:id="5"/>
      <w:r>
        <w:t xml:space="preserve">: </w:t>
      </w:r>
      <w:r w:rsidRPr="00415252">
        <w:t xml:space="preserve">Schematic representation of the process used to create the synthetic population of </w:t>
      </w:r>
      <w:r>
        <w:t>non-</w:t>
      </w:r>
      <w:r w:rsidRPr="00415252">
        <w:t xml:space="preserve">commuters in the </w:t>
      </w:r>
      <w:r>
        <w:t xml:space="preserve">Census, and then merge in the </w:t>
      </w:r>
      <w:proofErr w:type="gramStart"/>
      <w:r>
        <w:t>commuters</w:t>
      </w:r>
      <w:proofErr w:type="gramEnd"/>
    </w:p>
    <w:p w14:paraId="3DED8DEE" w14:textId="77777777" w:rsidR="00415252" w:rsidRPr="00415252" w:rsidRDefault="00DA4953" w:rsidP="00415252">
      <w:pPr>
        <w:ind w:hanging="426"/>
      </w:pPr>
      <w:r>
        <w:rPr>
          <w:noProof/>
        </w:rPr>
        <w:drawing>
          <wp:inline distT="0" distB="0" distL="0" distR="0" wp14:anchorId="4047622A" wp14:editId="0D8DBCED">
            <wp:extent cx="6283591" cy="78257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1542" cy="7835643"/>
                    </a:xfrm>
                    <a:prstGeom prst="rect">
                      <a:avLst/>
                    </a:prstGeom>
                    <a:noFill/>
                  </pic:spPr>
                </pic:pic>
              </a:graphicData>
            </a:graphic>
          </wp:inline>
        </w:drawing>
      </w:r>
    </w:p>
    <w:sectPr w:rsidR="00415252" w:rsidRPr="00415252" w:rsidSect="008479EB">
      <w:headerReference w:type="default" r:id="rId10"/>
      <w:pgSz w:w="11906" w:h="16838"/>
      <w:pgMar w:top="130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4EC7C" w14:textId="77777777" w:rsidR="00FE6546" w:rsidRDefault="00FE6546" w:rsidP="00836FA5">
      <w:pPr>
        <w:spacing w:after="0" w:line="240" w:lineRule="auto"/>
      </w:pPr>
      <w:r>
        <w:separator/>
      </w:r>
    </w:p>
  </w:endnote>
  <w:endnote w:type="continuationSeparator" w:id="0">
    <w:p w14:paraId="73665B71" w14:textId="77777777" w:rsidR="00FE6546" w:rsidRDefault="00FE6546" w:rsidP="0083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B6B1" w14:textId="77777777" w:rsidR="00FE6546" w:rsidRDefault="00FE6546" w:rsidP="00836FA5">
      <w:pPr>
        <w:spacing w:after="0" w:line="240" w:lineRule="auto"/>
      </w:pPr>
      <w:r>
        <w:separator/>
      </w:r>
    </w:p>
  </w:footnote>
  <w:footnote w:type="continuationSeparator" w:id="0">
    <w:p w14:paraId="6B68B0F1" w14:textId="77777777" w:rsidR="00FE6546" w:rsidRDefault="00FE6546" w:rsidP="00836FA5">
      <w:pPr>
        <w:spacing w:after="0" w:line="240" w:lineRule="auto"/>
      </w:pPr>
      <w:r>
        <w:continuationSeparator/>
      </w:r>
    </w:p>
  </w:footnote>
  <w:footnote w:id="1">
    <w:p w14:paraId="0D861CF8" w14:textId="77777777" w:rsidR="009106DB" w:rsidRDefault="009106DB" w:rsidP="00BD669C">
      <w:pPr>
        <w:pStyle w:val="FootnoteText"/>
      </w:pPr>
      <w:r>
        <w:rPr>
          <w:rStyle w:val="FootnoteReference"/>
        </w:rPr>
        <w:footnoteRef/>
      </w:r>
      <w:r>
        <w:t xml:space="preserve"> Around 1% of commuters do not </w:t>
      </w:r>
      <w:proofErr w:type="gramStart"/>
      <w:r>
        <w:t>live in</w:t>
      </w:r>
      <w:proofErr w:type="gramEnd"/>
      <w:r>
        <w:t xml:space="preserve"> households so were not eligible to be asked this question – here and below, they are treated as having no car.</w:t>
      </w:r>
    </w:p>
  </w:footnote>
  <w:footnote w:id="2">
    <w:p w14:paraId="6D120A04" w14:textId="77777777" w:rsidR="009106DB" w:rsidRDefault="009106DB" w:rsidP="00BD669C">
      <w:pPr>
        <w:pStyle w:val="FootnoteText"/>
      </w:pPr>
      <w:r>
        <w:rPr>
          <w:rStyle w:val="FootnoteReference"/>
        </w:rPr>
        <w:footnoteRef/>
      </w:r>
      <w:r>
        <w:t xml:space="preserve"> For example, among commuters living in the North East, the individual-level Census samples estimate that the probability of owning no car is 26% for female bicycle commuters age 35-49, and 52% for male bus commuters age 25-34. Thus, in any MSOA OD pair in the North East, it would be twice as likely for</w:t>
      </w:r>
      <w:r w:rsidR="00FE4902">
        <w:t xml:space="preserve"> a </w:t>
      </w:r>
      <w:r>
        <w:t>male bus commuter age 25-34 to be assigned the status of not</w:t>
      </w:r>
      <w:r w:rsidR="00FE4902">
        <w:t xml:space="preserve"> owning </w:t>
      </w:r>
      <w:r>
        <w:t>a car than for</w:t>
      </w:r>
      <w:r w:rsidR="00FE4902">
        <w:t xml:space="preserve"> a </w:t>
      </w:r>
      <w:r>
        <w:t>female bicycle commuter age 35-49.</w:t>
      </w:r>
    </w:p>
  </w:footnote>
  <w:footnote w:id="3">
    <w:p w14:paraId="681736EF" w14:textId="77777777" w:rsidR="009106DB" w:rsidRDefault="009106DB">
      <w:pPr>
        <w:pStyle w:val="FootnoteText"/>
      </w:pPr>
      <w:r>
        <w:rPr>
          <w:rStyle w:val="FootnoteReference"/>
        </w:rPr>
        <w:footnoteRef/>
      </w:r>
      <w:r>
        <w:t xml:space="preserve"> The highest age group is 65+, but this can be divided into 65-74 and 75+ by triangulating with a more detailed age*sex*home LSOA breakdown and then subtracting the number of commuters, to give the number of non-commuters in each age group.  The small number of unemployed people age 65+ are all assumed to be 65-74.</w:t>
      </w:r>
    </w:p>
  </w:footnote>
  <w:footnote w:id="4">
    <w:p w14:paraId="5E215CAB" w14:textId="41FE6DBC" w:rsidR="00754F57" w:rsidRDefault="00754F57">
      <w:pPr>
        <w:pStyle w:val="FootnoteText"/>
      </w:pPr>
      <w:r>
        <w:rPr>
          <w:rStyle w:val="FootnoteReference"/>
        </w:rPr>
        <w:footnoteRef/>
      </w:r>
      <w:r>
        <w:t xml:space="preserve"> </w:t>
      </w:r>
      <w:bookmarkStart w:id="1" w:name="_Hlk62585051"/>
      <w:r w:rsidRPr="00320221">
        <w:rPr>
          <w:sz w:val="18"/>
        </w:rPr>
        <w:t xml:space="preserve">Calculated in NTS as the proportion of people who say they usually cycle at least weekly, based on survey questions about usual travel patterns. Calculated in </w:t>
      </w:r>
      <w:r w:rsidR="00BE4C4C">
        <w:rPr>
          <w:sz w:val="18"/>
        </w:rPr>
        <w:t>ALS</w:t>
      </w:r>
      <w:r w:rsidRPr="00320221">
        <w:rPr>
          <w:sz w:val="18"/>
        </w:rPr>
        <w:t xml:space="preserve"> as the proportion of people who report cycling on at least four days in the past 28 days.</w:t>
      </w:r>
      <w:bookmarkEnd w:id="1"/>
    </w:p>
  </w:footnote>
  <w:footnote w:id="5">
    <w:p w14:paraId="40ECE91B" w14:textId="00D2A11F" w:rsidR="00754F57" w:rsidRPr="00754F57" w:rsidRDefault="009106DB" w:rsidP="00754F57">
      <w:pPr>
        <w:rPr>
          <w:sz w:val="18"/>
        </w:rPr>
      </w:pPr>
      <w:r w:rsidRPr="00754F57">
        <w:rPr>
          <w:rStyle w:val="FootnoteReference"/>
          <w:sz w:val="18"/>
        </w:rPr>
        <w:footnoteRef/>
      </w:r>
      <w:r w:rsidRPr="00754F57">
        <w:rPr>
          <w:sz w:val="18"/>
        </w:rPr>
        <w:t xml:space="preserve"> </w:t>
      </w:r>
      <w:bookmarkStart w:id="2" w:name="_Hlk62585062"/>
      <w:r w:rsidR="00754F57" w:rsidRPr="00754F57">
        <w:rPr>
          <w:sz w:val="18"/>
        </w:rPr>
        <w:t xml:space="preserve">Calculated on NTS as the total duration of past-week walking </w:t>
      </w:r>
      <w:r w:rsidR="00754F57" w:rsidRPr="0055737C">
        <w:rPr>
          <w:sz w:val="18"/>
        </w:rPr>
        <w:t>time in the one-week travel diary, using stage-level data. This duration is divided into four categories: no walking (</w:t>
      </w:r>
      <w:r w:rsidR="000F6F52" w:rsidRPr="0055737C">
        <w:rPr>
          <w:sz w:val="18"/>
        </w:rPr>
        <w:t>69</w:t>
      </w:r>
      <w:r w:rsidR="00754F57" w:rsidRPr="0055737C">
        <w:rPr>
          <w:sz w:val="18"/>
        </w:rPr>
        <w:t>% of NTS sam</w:t>
      </w:r>
      <w:r w:rsidR="000F6F52" w:rsidRPr="0055737C">
        <w:rPr>
          <w:sz w:val="18"/>
        </w:rPr>
        <w:t>ple), &lt;1 hour (9%), 1-2.49 hours (11</w:t>
      </w:r>
      <w:r w:rsidR="00754F57" w:rsidRPr="0055737C">
        <w:rPr>
          <w:sz w:val="18"/>
        </w:rPr>
        <w:t>%), 2.5+ hours (</w:t>
      </w:r>
      <w:r w:rsidR="000F6F52" w:rsidRPr="0055737C">
        <w:rPr>
          <w:sz w:val="18"/>
        </w:rPr>
        <w:t>11</w:t>
      </w:r>
      <w:r w:rsidR="00754F57" w:rsidRPr="0055737C">
        <w:rPr>
          <w:sz w:val="18"/>
        </w:rPr>
        <w:t xml:space="preserve">%).  Calculated in </w:t>
      </w:r>
      <w:r w:rsidR="00BE4C4C">
        <w:rPr>
          <w:sz w:val="18"/>
        </w:rPr>
        <w:t>ALS</w:t>
      </w:r>
      <w:r w:rsidR="00754F57" w:rsidRPr="0055737C">
        <w:rPr>
          <w:sz w:val="18"/>
        </w:rPr>
        <w:t xml:space="preserve"> as the average weekly duration of walking for transport.  NB the average amount of walking for transport reported in </w:t>
      </w:r>
      <w:r w:rsidR="00BE4C4C">
        <w:rPr>
          <w:sz w:val="18"/>
        </w:rPr>
        <w:t>ALS</w:t>
      </w:r>
      <w:r w:rsidR="00754F57" w:rsidRPr="0055737C">
        <w:rPr>
          <w:sz w:val="18"/>
        </w:rPr>
        <w:t xml:space="preserve"> is </w:t>
      </w:r>
      <w:r w:rsidR="00BE4C4C">
        <w:rPr>
          <w:sz w:val="18"/>
        </w:rPr>
        <w:t xml:space="preserve">higher than </w:t>
      </w:r>
      <w:r w:rsidR="00754F57" w:rsidRPr="0055737C">
        <w:rPr>
          <w:sz w:val="18"/>
        </w:rPr>
        <w:t xml:space="preserve">that reported in NTS – </w:t>
      </w:r>
      <w:r w:rsidR="00BE4C4C">
        <w:rPr>
          <w:sz w:val="18"/>
        </w:rPr>
        <w:t>1.6</w:t>
      </w:r>
      <w:r w:rsidR="00754F57" w:rsidRPr="0055737C">
        <w:rPr>
          <w:sz w:val="18"/>
        </w:rPr>
        <w:t xml:space="preserve"> hours/week vs 1.2 hours in NTS</w:t>
      </w:r>
      <w:r w:rsidR="000F6F52" w:rsidRPr="0055737C">
        <w:rPr>
          <w:sz w:val="18"/>
        </w:rPr>
        <w:t>.</w:t>
      </w:r>
      <w:r w:rsidR="0055737C" w:rsidRPr="0055737C">
        <w:rPr>
          <w:sz w:val="18"/>
        </w:rPr>
        <w:t xml:space="preserve">  This discrepancy may partly reflect the fact that short walking trips (less than 1 mile) are only collected in NTS on the final day of data collection, and so</w:t>
      </w:r>
      <w:r w:rsidR="009E6A02">
        <w:rPr>
          <w:sz w:val="18"/>
        </w:rPr>
        <w:t xml:space="preserve"> many participants may do some </w:t>
      </w:r>
      <w:r w:rsidR="0055737C" w:rsidRPr="0055737C">
        <w:rPr>
          <w:sz w:val="18"/>
        </w:rPr>
        <w:t xml:space="preserve">short walking during the week </w:t>
      </w:r>
      <w:r w:rsidR="009E6A02">
        <w:rPr>
          <w:sz w:val="18"/>
        </w:rPr>
        <w:t xml:space="preserve">that is not captured. It also seems likely that </w:t>
      </w:r>
      <w:r w:rsidR="00BE4C4C">
        <w:rPr>
          <w:sz w:val="18"/>
        </w:rPr>
        <w:t>ALS</w:t>
      </w:r>
      <w:r w:rsidR="009E6A02">
        <w:rPr>
          <w:sz w:val="18"/>
        </w:rPr>
        <w:t xml:space="preserve"> overestimates past-week walking (and physical activity in general)</w:t>
      </w:r>
      <w:r w:rsidR="0055737C" w:rsidRPr="0055737C">
        <w:rPr>
          <w:sz w:val="18"/>
        </w:rPr>
        <w:t>.</w:t>
      </w:r>
      <w:r w:rsidR="000F6F52" w:rsidRPr="0055737C">
        <w:rPr>
          <w:sz w:val="18"/>
        </w:rPr>
        <w:t xml:space="preserve"> </w:t>
      </w:r>
      <w:r w:rsidR="00754F57" w:rsidRPr="0055737C">
        <w:rPr>
          <w:sz w:val="18"/>
        </w:rPr>
        <w:t>Instead of matching on absolute walking time, therefore,</w:t>
      </w:r>
      <w:r w:rsidR="009E6A02">
        <w:rPr>
          <w:sz w:val="18"/>
        </w:rPr>
        <w:t xml:space="preserve"> we divided </w:t>
      </w:r>
      <w:r w:rsidR="00754F57" w:rsidRPr="0055737C">
        <w:rPr>
          <w:sz w:val="18"/>
        </w:rPr>
        <w:t xml:space="preserve">the </w:t>
      </w:r>
      <w:r w:rsidR="00BE4C4C">
        <w:rPr>
          <w:sz w:val="18"/>
        </w:rPr>
        <w:t>ALS</w:t>
      </w:r>
      <w:r w:rsidR="00754F57" w:rsidRPr="0055737C">
        <w:rPr>
          <w:sz w:val="18"/>
        </w:rPr>
        <w:t xml:space="preserve"> data into four categories that approximate the frequency distribution observed in NTS. Specifically, define categories: no walking </w:t>
      </w:r>
      <w:r w:rsidR="0055737C" w:rsidRPr="0055737C">
        <w:rPr>
          <w:sz w:val="18"/>
        </w:rPr>
        <w:t>(</w:t>
      </w:r>
      <w:r w:rsidR="00BE4C4C">
        <w:rPr>
          <w:sz w:val="18"/>
        </w:rPr>
        <w:t>5</w:t>
      </w:r>
      <w:r w:rsidR="0055737C" w:rsidRPr="0055737C">
        <w:rPr>
          <w:sz w:val="18"/>
        </w:rPr>
        <w:t xml:space="preserve">4% of </w:t>
      </w:r>
      <w:r w:rsidR="00BE4C4C">
        <w:rPr>
          <w:sz w:val="18"/>
        </w:rPr>
        <w:t>ALS</w:t>
      </w:r>
      <w:r w:rsidR="0055737C" w:rsidRPr="0055737C">
        <w:rPr>
          <w:sz w:val="18"/>
        </w:rPr>
        <w:t xml:space="preserve"> sample), &lt;2 hours (</w:t>
      </w:r>
      <w:r w:rsidR="00BE4C4C">
        <w:rPr>
          <w:sz w:val="18"/>
        </w:rPr>
        <w:t>2</w:t>
      </w:r>
      <w:r w:rsidR="00BE4C4C" w:rsidRPr="0055737C">
        <w:rPr>
          <w:sz w:val="18"/>
        </w:rPr>
        <w:t>2</w:t>
      </w:r>
      <w:r w:rsidR="0055737C" w:rsidRPr="0055737C">
        <w:rPr>
          <w:sz w:val="18"/>
        </w:rPr>
        <w:t>%), 2-</w:t>
      </w:r>
      <w:r w:rsidR="00BE4C4C">
        <w:rPr>
          <w:sz w:val="18"/>
        </w:rPr>
        <w:t>3.9</w:t>
      </w:r>
      <w:r w:rsidR="0055737C" w:rsidRPr="0055737C">
        <w:rPr>
          <w:sz w:val="18"/>
        </w:rPr>
        <w:t>9 hours (</w:t>
      </w:r>
      <w:r w:rsidR="00BE4C4C" w:rsidRPr="0055737C">
        <w:rPr>
          <w:sz w:val="18"/>
        </w:rPr>
        <w:t>1</w:t>
      </w:r>
      <w:r w:rsidR="00BE4C4C">
        <w:rPr>
          <w:sz w:val="18"/>
        </w:rPr>
        <w:t>1</w:t>
      </w:r>
      <w:r w:rsidR="0055737C" w:rsidRPr="0055737C">
        <w:rPr>
          <w:sz w:val="18"/>
        </w:rPr>
        <w:t>%), 4+ hours (1</w:t>
      </w:r>
      <w:r w:rsidR="00BE4C4C">
        <w:rPr>
          <w:sz w:val="18"/>
        </w:rPr>
        <w:t>3</w:t>
      </w:r>
      <w:r w:rsidR="00754F57" w:rsidRPr="0055737C">
        <w:rPr>
          <w:sz w:val="18"/>
        </w:rPr>
        <w:t>%).</w:t>
      </w:r>
      <w:bookmarkEnd w:id="2"/>
    </w:p>
    <w:p w14:paraId="5BB79A9B" w14:textId="77777777" w:rsidR="009106DB" w:rsidRDefault="009106DB">
      <w:pPr>
        <w:pStyle w:val="FootnoteText"/>
      </w:pPr>
    </w:p>
  </w:footnote>
  <w:footnote w:id="6">
    <w:p w14:paraId="00628B7F" w14:textId="195809DD" w:rsidR="00905823" w:rsidRDefault="00905823">
      <w:pPr>
        <w:pStyle w:val="FootnoteText"/>
      </w:pPr>
      <w:r>
        <w:rPr>
          <w:rStyle w:val="FootnoteReference"/>
        </w:rPr>
        <w:footnoteRef/>
      </w:r>
      <w:r>
        <w:t xml:space="preserve"> </w:t>
      </w:r>
      <w:r w:rsidRPr="00905823">
        <w:t xml:space="preserve">For </w:t>
      </w:r>
      <w:proofErr w:type="gramStart"/>
      <w:r w:rsidRPr="00905823">
        <w:t>taxis</w:t>
      </w:r>
      <w:proofErr w:type="gramEnd"/>
      <w:r w:rsidRPr="00905823">
        <w:t xml:space="preserve"> the comparison between the datasets is not exact, but as taxis are much rarer than car driving (accounting for 0.7% of distance in NTS as opposed to 55% for car driving) this is not expected to have any great effect on the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83485"/>
      <w:docPartObj>
        <w:docPartGallery w:val="Page Numbers (Top of Page)"/>
        <w:docPartUnique/>
      </w:docPartObj>
    </w:sdtPr>
    <w:sdtEndPr>
      <w:rPr>
        <w:noProof/>
      </w:rPr>
    </w:sdtEndPr>
    <w:sdtContent>
      <w:p w14:paraId="4B78BBCD" w14:textId="77777777" w:rsidR="009106DB" w:rsidRDefault="009106DB">
        <w:pPr>
          <w:pStyle w:val="Header"/>
          <w:jc w:val="right"/>
        </w:pPr>
        <w:r>
          <w:fldChar w:fldCharType="begin"/>
        </w:r>
        <w:r>
          <w:instrText xml:space="preserve"> PAGE   \* MERGEFORMAT </w:instrText>
        </w:r>
        <w:r>
          <w:fldChar w:fldCharType="separate"/>
        </w:r>
        <w:r w:rsidR="00480C3F">
          <w:rPr>
            <w:noProof/>
          </w:rPr>
          <w:t>4</w:t>
        </w:r>
        <w:r>
          <w:rPr>
            <w:noProof/>
          </w:rPr>
          <w:fldChar w:fldCharType="end"/>
        </w:r>
      </w:p>
    </w:sdtContent>
  </w:sdt>
  <w:p w14:paraId="71C9970A" w14:textId="77777777" w:rsidR="009106DB" w:rsidRDefault="00910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727"/>
    <w:multiLevelType w:val="hybridMultilevel"/>
    <w:tmpl w:val="BE58BDD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82433"/>
    <w:multiLevelType w:val="hybridMultilevel"/>
    <w:tmpl w:val="D646FDB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9B0835"/>
    <w:multiLevelType w:val="hybridMultilevel"/>
    <w:tmpl w:val="D646FDB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D5CC6"/>
    <w:multiLevelType w:val="hybridMultilevel"/>
    <w:tmpl w:val="B3542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F1346A"/>
    <w:multiLevelType w:val="hybridMultilevel"/>
    <w:tmpl w:val="065A2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A61E5E"/>
    <w:multiLevelType w:val="hybridMultilevel"/>
    <w:tmpl w:val="A606DC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9805A4"/>
    <w:multiLevelType w:val="hybridMultilevel"/>
    <w:tmpl w:val="193EA384"/>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9242C"/>
    <w:multiLevelType w:val="hybridMultilevel"/>
    <w:tmpl w:val="DB7496C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4D2772"/>
    <w:multiLevelType w:val="hybridMultilevel"/>
    <w:tmpl w:val="1212BDAE"/>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20380D"/>
    <w:multiLevelType w:val="hybridMultilevel"/>
    <w:tmpl w:val="5706DC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EF53C1"/>
    <w:multiLevelType w:val="hybridMultilevel"/>
    <w:tmpl w:val="C9B810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E24613"/>
    <w:multiLevelType w:val="hybridMultilevel"/>
    <w:tmpl w:val="BF3AB20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E839D9"/>
    <w:multiLevelType w:val="hybridMultilevel"/>
    <w:tmpl w:val="DB7496C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BE3127"/>
    <w:multiLevelType w:val="hybridMultilevel"/>
    <w:tmpl w:val="EC76FFC0"/>
    <w:lvl w:ilvl="0" w:tplc="08090001">
      <w:start w:val="1"/>
      <w:numFmt w:val="bullet"/>
      <w:lvlText w:val=""/>
      <w:lvlJc w:val="left"/>
      <w:pPr>
        <w:ind w:left="720" w:hanging="360"/>
      </w:pPr>
      <w:rPr>
        <w:rFonts w:ascii="Symbol" w:hAnsi="Symbol" w:hint="default"/>
      </w:rPr>
    </w:lvl>
    <w:lvl w:ilvl="1" w:tplc="28442818">
      <w:numFmt w:val="bullet"/>
      <w:lvlText w:val="-"/>
      <w:lvlJc w:val="left"/>
      <w:pPr>
        <w:ind w:left="1440" w:hanging="360"/>
      </w:pPr>
      <w:rPr>
        <w:rFonts w:ascii="Calibri" w:eastAsia="Calibr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6CA48D8"/>
    <w:multiLevelType w:val="hybridMultilevel"/>
    <w:tmpl w:val="8A9E55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2F7CC3"/>
    <w:multiLevelType w:val="hybridMultilevel"/>
    <w:tmpl w:val="0CFCA4D8"/>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B50F3"/>
    <w:multiLevelType w:val="hybridMultilevel"/>
    <w:tmpl w:val="81BEE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1D04B5"/>
    <w:multiLevelType w:val="hybridMultilevel"/>
    <w:tmpl w:val="BF3AB204"/>
    <w:lvl w:ilvl="0" w:tplc="08090011">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4F6E67"/>
    <w:multiLevelType w:val="hybridMultilevel"/>
    <w:tmpl w:val="82C2E50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C81056"/>
    <w:multiLevelType w:val="hybridMultilevel"/>
    <w:tmpl w:val="D174EDC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2D66A04"/>
    <w:multiLevelType w:val="hybridMultilevel"/>
    <w:tmpl w:val="700032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3186262"/>
    <w:multiLevelType w:val="hybridMultilevel"/>
    <w:tmpl w:val="426C94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A9799A"/>
    <w:multiLevelType w:val="hybridMultilevel"/>
    <w:tmpl w:val="BE58BDD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EB56777"/>
    <w:multiLevelType w:val="hybridMultilevel"/>
    <w:tmpl w:val="0D4445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04F53D5"/>
    <w:multiLevelType w:val="hybridMultilevel"/>
    <w:tmpl w:val="D536FF5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8B3F25"/>
    <w:multiLevelType w:val="hybridMultilevel"/>
    <w:tmpl w:val="0678729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E77D07"/>
    <w:multiLevelType w:val="hybridMultilevel"/>
    <w:tmpl w:val="0678729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F50B0E"/>
    <w:multiLevelType w:val="hybridMultilevel"/>
    <w:tmpl w:val="100E4C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1D6E37"/>
    <w:multiLevelType w:val="hybridMultilevel"/>
    <w:tmpl w:val="20385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EA3077"/>
    <w:multiLevelType w:val="hybridMultilevel"/>
    <w:tmpl w:val="C61EEC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3A565C"/>
    <w:multiLevelType w:val="hybridMultilevel"/>
    <w:tmpl w:val="D646FDB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604887"/>
    <w:multiLevelType w:val="hybridMultilevel"/>
    <w:tmpl w:val="3F6ED75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857F82"/>
    <w:multiLevelType w:val="hybridMultilevel"/>
    <w:tmpl w:val="EB968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F65D4C"/>
    <w:multiLevelType w:val="hybridMultilevel"/>
    <w:tmpl w:val="DB7496C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6446E8"/>
    <w:multiLevelType w:val="hybridMultilevel"/>
    <w:tmpl w:val="ED405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C63F0D"/>
    <w:multiLevelType w:val="hybridMultilevel"/>
    <w:tmpl w:val="45A66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31668E"/>
    <w:multiLevelType w:val="hybridMultilevel"/>
    <w:tmpl w:val="35D6B0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8019A4"/>
    <w:multiLevelType w:val="hybridMultilevel"/>
    <w:tmpl w:val="62B40582"/>
    <w:lvl w:ilvl="0" w:tplc="08090001">
      <w:start w:val="1"/>
      <w:numFmt w:val="bullet"/>
      <w:lvlText w:val=""/>
      <w:lvlJc w:val="left"/>
      <w:pPr>
        <w:ind w:left="720" w:hanging="360"/>
      </w:pPr>
      <w:rPr>
        <w:rFonts w:ascii="Symbol" w:hAnsi="Symbol" w:hint="default"/>
      </w:rPr>
    </w:lvl>
    <w:lvl w:ilvl="1" w:tplc="A7EEE56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494348"/>
    <w:multiLevelType w:val="hybridMultilevel"/>
    <w:tmpl w:val="C07AB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6B561E"/>
    <w:multiLevelType w:val="hybridMultilevel"/>
    <w:tmpl w:val="0A8E4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6573CD"/>
    <w:multiLevelType w:val="hybridMultilevel"/>
    <w:tmpl w:val="C1D248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0D4D57"/>
    <w:multiLevelType w:val="hybridMultilevel"/>
    <w:tmpl w:val="5706DC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7108A6"/>
    <w:multiLevelType w:val="hybridMultilevel"/>
    <w:tmpl w:val="FEF6CA60"/>
    <w:lvl w:ilvl="0" w:tplc="0809000F">
      <w:start w:val="1"/>
      <w:numFmt w:val="decimal"/>
      <w:lvlText w:val="%1."/>
      <w:lvlJc w:val="left"/>
      <w:pPr>
        <w:ind w:left="1080" w:hanging="360"/>
      </w:p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3" w15:restartNumberingAfterBreak="0">
    <w:nsid w:val="7E0D0F21"/>
    <w:multiLevelType w:val="hybridMultilevel"/>
    <w:tmpl w:val="4D9A8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3"/>
  </w:num>
  <w:num w:numId="2">
    <w:abstractNumId w:val="1"/>
  </w:num>
  <w:num w:numId="3">
    <w:abstractNumId w:val="24"/>
  </w:num>
  <w:num w:numId="4">
    <w:abstractNumId w:val="7"/>
  </w:num>
  <w:num w:numId="5">
    <w:abstractNumId w:val="31"/>
  </w:num>
  <w:num w:numId="6">
    <w:abstractNumId w:val="35"/>
  </w:num>
  <w:num w:numId="7">
    <w:abstractNumId w:val="17"/>
  </w:num>
  <w:num w:numId="8">
    <w:abstractNumId w:val="16"/>
  </w:num>
  <w:num w:numId="9">
    <w:abstractNumId w:val="38"/>
  </w:num>
  <w:num w:numId="10">
    <w:abstractNumId w:val="20"/>
  </w:num>
  <w:num w:numId="11">
    <w:abstractNumId w:val="13"/>
  </w:num>
  <w:num w:numId="12">
    <w:abstractNumId w:val="13"/>
  </w:num>
  <w:num w:numId="13">
    <w:abstractNumId w:val="25"/>
  </w:num>
  <w:num w:numId="14">
    <w:abstractNumId w:val="22"/>
  </w:num>
  <w:num w:numId="15">
    <w:abstractNumId w:val="12"/>
  </w:num>
  <w:num w:numId="16">
    <w:abstractNumId w:val="2"/>
  </w:num>
  <w:num w:numId="17">
    <w:abstractNumId w:val="0"/>
  </w:num>
  <w:num w:numId="18">
    <w:abstractNumId w:val="33"/>
  </w:num>
  <w:num w:numId="19">
    <w:abstractNumId w:val="26"/>
  </w:num>
  <w:num w:numId="20">
    <w:abstractNumId w:val="30"/>
  </w:num>
  <w:num w:numId="21">
    <w:abstractNumId w:val="11"/>
  </w:num>
  <w:num w:numId="22">
    <w:abstractNumId w:val="19"/>
  </w:num>
  <w:num w:numId="23">
    <w:abstractNumId w:val="14"/>
  </w:num>
  <w:num w:numId="24">
    <w:abstractNumId w:val="40"/>
  </w:num>
  <w:num w:numId="25">
    <w:abstractNumId w:val="5"/>
  </w:num>
  <w:num w:numId="26">
    <w:abstractNumId w:val="29"/>
  </w:num>
  <w:num w:numId="27">
    <w:abstractNumId w:val="21"/>
  </w:num>
  <w:num w:numId="28">
    <w:abstractNumId w:val="28"/>
  </w:num>
  <w:num w:numId="29">
    <w:abstractNumId w:val="42"/>
    <w:lvlOverride w:ilvl="0">
      <w:startOverride w:val="1"/>
    </w:lvlOverride>
    <w:lvlOverride w:ilvl="1"/>
    <w:lvlOverride w:ilvl="2"/>
    <w:lvlOverride w:ilvl="3"/>
    <w:lvlOverride w:ilvl="4"/>
    <w:lvlOverride w:ilvl="5"/>
    <w:lvlOverride w:ilvl="6"/>
    <w:lvlOverride w:ilvl="7"/>
    <w:lvlOverride w:ilvl="8"/>
  </w:num>
  <w:num w:numId="30">
    <w:abstractNumId w:val="39"/>
  </w:num>
  <w:num w:numId="31">
    <w:abstractNumId w:val="34"/>
  </w:num>
  <w:num w:numId="32">
    <w:abstractNumId w:val="36"/>
  </w:num>
  <w:num w:numId="33">
    <w:abstractNumId w:val="10"/>
  </w:num>
  <w:num w:numId="34">
    <w:abstractNumId w:val="32"/>
  </w:num>
  <w:num w:numId="35">
    <w:abstractNumId w:val="4"/>
  </w:num>
  <w:num w:numId="36">
    <w:abstractNumId w:val="41"/>
  </w:num>
  <w:num w:numId="37">
    <w:abstractNumId w:val="3"/>
  </w:num>
  <w:num w:numId="38">
    <w:abstractNumId w:val="9"/>
  </w:num>
  <w:num w:numId="39">
    <w:abstractNumId w:val="15"/>
  </w:num>
  <w:num w:numId="40">
    <w:abstractNumId w:val="27"/>
  </w:num>
  <w:num w:numId="41">
    <w:abstractNumId w:val="18"/>
  </w:num>
  <w:num w:numId="42">
    <w:abstractNumId w:val="8"/>
  </w:num>
  <w:num w:numId="43">
    <w:abstractNumId w:val="23"/>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ECC8339-DA4D-406D-9F13-83E224E736AA}"/>
    <w:docVar w:name="dgnword-eventsink" w:val="2434167437664"/>
  </w:docVars>
  <w:rsids>
    <w:rsidRoot w:val="008D3973"/>
    <w:rsid w:val="000011C4"/>
    <w:rsid w:val="00001734"/>
    <w:rsid w:val="00010709"/>
    <w:rsid w:val="00023E27"/>
    <w:rsid w:val="00024819"/>
    <w:rsid w:val="00024886"/>
    <w:rsid w:val="00032285"/>
    <w:rsid w:val="000358FE"/>
    <w:rsid w:val="00041516"/>
    <w:rsid w:val="0004204E"/>
    <w:rsid w:val="0006592C"/>
    <w:rsid w:val="00070630"/>
    <w:rsid w:val="00071CB6"/>
    <w:rsid w:val="00086E74"/>
    <w:rsid w:val="000870DA"/>
    <w:rsid w:val="000A1B2B"/>
    <w:rsid w:val="000A2F2F"/>
    <w:rsid w:val="000B1BFC"/>
    <w:rsid w:val="000C1716"/>
    <w:rsid w:val="000C2EEB"/>
    <w:rsid w:val="000D2842"/>
    <w:rsid w:val="000D739F"/>
    <w:rsid w:val="000F06F1"/>
    <w:rsid w:val="000F69EF"/>
    <w:rsid w:val="000F6F52"/>
    <w:rsid w:val="00103A91"/>
    <w:rsid w:val="0010661C"/>
    <w:rsid w:val="00125D08"/>
    <w:rsid w:val="0013653D"/>
    <w:rsid w:val="00150844"/>
    <w:rsid w:val="001640E2"/>
    <w:rsid w:val="00181AE3"/>
    <w:rsid w:val="00187BE3"/>
    <w:rsid w:val="001908C9"/>
    <w:rsid w:val="00190BF2"/>
    <w:rsid w:val="0019405C"/>
    <w:rsid w:val="001A0C48"/>
    <w:rsid w:val="001A4E54"/>
    <w:rsid w:val="001B6AE8"/>
    <w:rsid w:val="001C72F1"/>
    <w:rsid w:val="00204A72"/>
    <w:rsid w:val="00206BC3"/>
    <w:rsid w:val="002114FB"/>
    <w:rsid w:val="00221DD7"/>
    <w:rsid w:val="0022498F"/>
    <w:rsid w:val="00225BF2"/>
    <w:rsid w:val="00240FE3"/>
    <w:rsid w:val="002451DE"/>
    <w:rsid w:val="0026425F"/>
    <w:rsid w:val="00296F3B"/>
    <w:rsid w:val="002A0ACE"/>
    <w:rsid w:val="002A327D"/>
    <w:rsid w:val="002B449D"/>
    <w:rsid w:val="002B519D"/>
    <w:rsid w:val="002B7476"/>
    <w:rsid w:val="002D584A"/>
    <w:rsid w:val="002E064E"/>
    <w:rsid w:val="002F212A"/>
    <w:rsid w:val="002F5F6A"/>
    <w:rsid w:val="00301463"/>
    <w:rsid w:val="0031380F"/>
    <w:rsid w:val="00316F89"/>
    <w:rsid w:val="00317C49"/>
    <w:rsid w:val="00320221"/>
    <w:rsid w:val="00335011"/>
    <w:rsid w:val="00342C38"/>
    <w:rsid w:val="00346037"/>
    <w:rsid w:val="003653C2"/>
    <w:rsid w:val="00381C24"/>
    <w:rsid w:val="00392EE9"/>
    <w:rsid w:val="0039588D"/>
    <w:rsid w:val="00396F48"/>
    <w:rsid w:val="0039701F"/>
    <w:rsid w:val="00397523"/>
    <w:rsid w:val="00397579"/>
    <w:rsid w:val="003A14C6"/>
    <w:rsid w:val="003A6EA7"/>
    <w:rsid w:val="003A7FF0"/>
    <w:rsid w:val="003B45A5"/>
    <w:rsid w:val="003C1477"/>
    <w:rsid w:val="003E36F6"/>
    <w:rsid w:val="003F6CF8"/>
    <w:rsid w:val="00401012"/>
    <w:rsid w:val="00402E36"/>
    <w:rsid w:val="004044F3"/>
    <w:rsid w:val="00404A8B"/>
    <w:rsid w:val="00405971"/>
    <w:rsid w:val="004114F2"/>
    <w:rsid w:val="00411C88"/>
    <w:rsid w:val="00413FA7"/>
    <w:rsid w:val="00415252"/>
    <w:rsid w:val="00417645"/>
    <w:rsid w:val="00425FFD"/>
    <w:rsid w:val="004465B8"/>
    <w:rsid w:val="004708CB"/>
    <w:rsid w:val="00473286"/>
    <w:rsid w:val="00480C3F"/>
    <w:rsid w:val="00483D05"/>
    <w:rsid w:val="00485B90"/>
    <w:rsid w:val="00486B5C"/>
    <w:rsid w:val="00497EAD"/>
    <w:rsid w:val="004B26D4"/>
    <w:rsid w:val="004B3562"/>
    <w:rsid w:val="004B7043"/>
    <w:rsid w:val="004E105D"/>
    <w:rsid w:val="004E7218"/>
    <w:rsid w:val="00501F05"/>
    <w:rsid w:val="00507DD2"/>
    <w:rsid w:val="00511687"/>
    <w:rsid w:val="00517C91"/>
    <w:rsid w:val="005361E5"/>
    <w:rsid w:val="00541B55"/>
    <w:rsid w:val="00544610"/>
    <w:rsid w:val="00544B0D"/>
    <w:rsid w:val="00551334"/>
    <w:rsid w:val="00551A24"/>
    <w:rsid w:val="0055737C"/>
    <w:rsid w:val="00561988"/>
    <w:rsid w:val="00563721"/>
    <w:rsid w:val="00585B68"/>
    <w:rsid w:val="00586903"/>
    <w:rsid w:val="005A22F2"/>
    <w:rsid w:val="005A4E26"/>
    <w:rsid w:val="005B7C9B"/>
    <w:rsid w:val="005C1DAB"/>
    <w:rsid w:val="005C6DE4"/>
    <w:rsid w:val="005E1FA8"/>
    <w:rsid w:val="00610025"/>
    <w:rsid w:val="0061610F"/>
    <w:rsid w:val="00624A4E"/>
    <w:rsid w:val="00646A6F"/>
    <w:rsid w:val="00647DC7"/>
    <w:rsid w:val="00661DEA"/>
    <w:rsid w:val="0066584C"/>
    <w:rsid w:val="00672DAA"/>
    <w:rsid w:val="00684C0D"/>
    <w:rsid w:val="006853C1"/>
    <w:rsid w:val="0068749C"/>
    <w:rsid w:val="006A6E3E"/>
    <w:rsid w:val="006C4760"/>
    <w:rsid w:val="006E1CBA"/>
    <w:rsid w:val="006E23EB"/>
    <w:rsid w:val="006F0071"/>
    <w:rsid w:val="006F3E4E"/>
    <w:rsid w:val="00754F57"/>
    <w:rsid w:val="00756543"/>
    <w:rsid w:val="00773B6E"/>
    <w:rsid w:val="0078672F"/>
    <w:rsid w:val="00792F1D"/>
    <w:rsid w:val="0079631C"/>
    <w:rsid w:val="007A0219"/>
    <w:rsid w:val="007A438A"/>
    <w:rsid w:val="007A5E79"/>
    <w:rsid w:val="007B441C"/>
    <w:rsid w:val="007C34A4"/>
    <w:rsid w:val="007C36F3"/>
    <w:rsid w:val="007D0D87"/>
    <w:rsid w:val="007E0BB2"/>
    <w:rsid w:val="007E3F67"/>
    <w:rsid w:val="007E5E8C"/>
    <w:rsid w:val="00800518"/>
    <w:rsid w:val="00817A4D"/>
    <w:rsid w:val="00836C73"/>
    <w:rsid w:val="00836FA5"/>
    <w:rsid w:val="00837FCA"/>
    <w:rsid w:val="008479EB"/>
    <w:rsid w:val="0085607C"/>
    <w:rsid w:val="00863FFC"/>
    <w:rsid w:val="008661EA"/>
    <w:rsid w:val="00871DC9"/>
    <w:rsid w:val="008808B7"/>
    <w:rsid w:val="00895CDA"/>
    <w:rsid w:val="008A165F"/>
    <w:rsid w:val="008C2F95"/>
    <w:rsid w:val="008D28F0"/>
    <w:rsid w:val="008D3973"/>
    <w:rsid w:val="008D56E6"/>
    <w:rsid w:val="008D5B77"/>
    <w:rsid w:val="00905823"/>
    <w:rsid w:val="009106DB"/>
    <w:rsid w:val="00927195"/>
    <w:rsid w:val="009465F1"/>
    <w:rsid w:val="009470C4"/>
    <w:rsid w:val="009657C8"/>
    <w:rsid w:val="00974E3B"/>
    <w:rsid w:val="00987496"/>
    <w:rsid w:val="009906F5"/>
    <w:rsid w:val="00994657"/>
    <w:rsid w:val="009A2D27"/>
    <w:rsid w:val="009B2CB1"/>
    <w:rsid w:val="009C10D5"/>
    <w:rsid w:val="009E689A"/>
    <w:rsid w:val="009E6A02"/>
    <w:rsid w:val="00A2056D"/>
    <w:rsid w:val="00A36CCD"/>
    <w:rsid w:val="00A41394"/>
    <w:rsid w:val="00A55784"/>
    <w:rsid w:val="00A616C9"/>
    <w:rsid w:val="00A63B06"/>
    <w:rsid w:val="00A651BF"/>
    <w:rsid w:val="00A71C3A"/>
    <w:rsid w:val="00A71E0B"/>
    <w:rsid w:val="00A75AA8"/>
    <w:rsid w:val="00A86B87"/>
    <w:rsid w:val="00A96214"/>
    <w:rsid w:val="00A9789B"/>
    <w:rsid w:val="00AA034A"/>
    <w:rsid w:val="00AA406C"/>
    <w:rsid w:val="00AA493C"/>
    <w:rsid w:val="00AB5C57"/>
    <w:rsid w:val="00AB71FE"/>
    <w:rsid w:val="00AC0F76"/>
    <w:rsid w:val="00AC6335"/>
    <w:rsid w:val="00AC7B5D"/>
    <w:rsid w:val="00AD3EDC"/>
    <w:rsid w:val="00AE2AE9"/>
    <w:rsid w:val="00AF0013"/>
    <w:rsid w:val="00AF1D91"/>
    <w:rsid w:val="00B014E3"/>
    <w:rsid w:val="00B10A47"/>
    <w:rsid w:val="00B1291C"/>
    <w:rsid w:val="00B26B5F"/>
    <w:rsid w:val="00B2759D"/>
    <w:rsid w:val="00B33D87"/>
    <w:rsid w:val="00B67B27"/>
    <w:rsid w:val="00B709AC"/>
    <w:rsid w:val="00B823F6"/>
    <w:rsid w:val="00B83B59"/>
    <w:rsid w:val="00B8636E"/>
    <w:rsid w:val="00BB3B9C"/>
    <w:rsid w:val="00BB468C"/>
    <w:rsid w:val="00BB7369"/>
    <w:rsid w:val="00BB74B5"/>
    <w:rsid w:val="00BD669C"/>
    <w:rsid w:val="00BE1946"/>
    <w:rsid w:val="00BE4353"/>
    <w:rsid w:val="00BE4841"/>
    <w:rsid w:val="00BE4C4C"/>
    <w:rsid w:val="00BE5E2C"/>
    <w:rsid w:val="00BE774E"/>
    <w:rsid w:val="00BF7294"/>
    <w:rsid w:val="00C14519"/>
    <w:rsid w:val="00C16FAB"/>
    <w:rsid w:val="00C30B61"/>
    <w:rsid w:val="00C5556A"/>
    <w:rsid w:val="00C566DF"/>
    <w:rsid w:val="00C70927"/>
    <w:rsid w:val="00C72C50"/>
    <w:rsid w:val="00C73C30"/>
    <w:rsid w:val="00C772C6"/>
    <w:rsid w:val="00C87FEE"/>
    <w:rsid w:val="00CA1970"/>
    <w:rsid w:val="00CA56AD"/>
    <w:rsid w:val="00CB32FE"/>
    <w:rsid w:val="00CB5B00"/>
    <w:rsid w:val="00CB6CF5"/>
    <w:rsid w:val="00CC0B28"/>
    <w:rsid w:val="00CC1D6E"/>
    <w:rsid w:val="00CD527B"/>
    <w:rsid w:val="00CE18D1"/>
    <w:rsid w:val="00CE7539"/>
    <w:rsid w:val="00CE7A05"/>
    <w:rsid w:val="00CF2DE3"/>
    <w:rsid w:val="00D173FE"/>
    <w:rsid w:val="00D20A63"/>
    <w:rsid w:val="00D22B50"/>
    <w:rsid w:val="00D24D4D"/>
    <w:rsid w:val="00D24D65"/>
    <w:rsid w:val="00D620F3"/>
    <w:rsid w:val="00D64780"/>
    <w:rsid w:val="00D677A8"/>
    <w:rsid w:val="00D839CB"/>
    <w:rsid w:val="00D85813"/>
    <w:rsid w:val="00D86D89"/>
    <w:rsid w:val="00D923EE"/>
    <w:rsid w:val="00D97C2D"/>
    <w:rsid w:val="00DA4953"/>
    <w:rsid w:val="00DB1D09"/>
    <w:rsid w:val="00DC2ADC"/>
    <w:rsid w:val="00DE0949"/>
    <w:rsid w:val="00DE76F8"/>
    <w:rsid w:val="00E27ADF"/>
    <w:rsid w:val="00E44776"/>
    <w:rsid w:val="00E608FA"/>
    <w:rsid w:val="00E73259"/>
    <w:rsid w:val="00E81665"/>
    <w:rsid w:val="00E82A21"/>
    <w:rsid w:val="00E86827"/>
    <w:rsid w:val="00EA55BD"/>
    <w:rsid w:val="00EA6629"/>
    <w:rsid w:val="00ED002C"/>
    <w:rsid w:val="00ED6BA3"/>
    <w:rsid w:val="00EE54F3"/>
    <w:rsid w:val="00EF3340"/>
    <w:rsid w:val="00F108E9"/>
    <w:rsid w:val="00F213DB"/>
    <w:rsid w:val="00F42CB6"/>
    <w:rsid w:val="00F47498"/>
    <w:rsid w:val="00F56B48"/>
    <w:rsid w:val="00F66467"/>
    <w:rsid w:val="00F72395"/>
    <w:rsid w:val="00F74BFC"/>
    <w:rsid w:val="00F90EB2"/>
    <w:rsid w:val="00F9370A"/>
    <w:rsid w:val="00FA4879"/>
    <w:rsid w:val="00FA6950"/>
    <w:rsid w:val="00FA6F33"/>
    <w:rsid w:val="00FB43A0"/>
    <w:rsid w:val="00FC581E"/>
    <w:rsid w:val="00FE181F"/>
    <w:rsid w:val="00FE4902"/>
    <w:rsid w:val="00FE4CA8"/>
    <w:rsid w:val="00FE6546"/>
    <w:rsid w:val="00FF5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5C08"/>
  <w15:chartTrackingRefBased/>
  <w15:docId w15:val="{984DF2FA-718E-4CD7-A852-97D99C40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73"/>
    <w:pPr>
      <w:ind w:left="720"/>
      <w:contextualSpacing/>
    </w:pPr>
  </w:style>
  <w:style w:type="character" w:styleId="Hyperlink">
    <w:name w:val="Hyperlink"/>
    <w:basedOn w:val="DefaultParagraphFont"/>
    <w:uiPriority w:val="99"/>
    <w:unhideWhenUsed/>
    <w:rsid w:val="008479EB"/>
    <w:rPr>
      <w:color w:val="0563C1" w:themeColor="hyperlink"/>
      <w:u w:val="single"/>
    </w:rPr>
  </w:style>
  <w:style w:type="character" w:styleId="UnresolvedMention">
    <w:name w:val="Unresolved Mention"/>
    <w:basedOn w:val="DefaultParagraphFont"/>
    <w:uiPriority w:val="99"/>
    <w:semiHidden/>
    <w:unhideWhenUsed/>
    <w:rsid w:val="008479EB"/>
    <w:rPr>
      <w:color w:val="808080"/>
      <w:shd w:val="clear" w:color="auto" w:fill="E6E6E6"/>
    </w:rPr>
  </w:style>
  <w:style w:type="character" w:styleId="FollowedHyperlink">
    <w:name w:val="FollowedHyperlink"/>
    <w:basedOn w:val="DefaultParagraphFont"/>
    <w:uiPriority w:val="99"/>
    <w:semiHidden/>
    <w:unhideWhenUsed/>
    <w:rsid w:val="000C2EEB"/>
    <w:rPr>
      <w:color w:val="954F72" w:themeColor="followedHyperlink"/>
      <w:u w:val="single"/>
    </w:rPr>
  </w:style>
  <w:style w:type="paragraph" w:styleId="Header">
    <w:name w:val="header"/>
    <w:basedOn w:val="Normal"/>
    <w:link w:val="HeaderChar"/>
    <w:uiPriority w:val="99"/>
    <w:unhideWhenUsed/>
    <w:rsid w:val="0083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FA5"/>
  </w:style>
  <w:style w:type="paragraph" w:styleId="Footer">
    <w:name w:val="footer"/>
    <w:basedOn w:val="Normal"/>
    <w:link w:val="FooterChar"/>
    <w:uiPriority w:val="99"/>
    <w:unhideWhenUsed/>
    <w:rsid w:val="00836F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FA5"/>
  </w:style>
  <w:style w:type="paragraph" w:styleId="FootnoteText">
    <w:name w:val="footnote text"/>
    <w:basedOn w:val="Normal"/>
    <w:link w:val="FootnoteTextChar"/>
    <w:uiPriority w:val="99"/>
    <w:semiHidden/>
    <w:unhideWhenUsed/>
    <w:rsid w:val="00313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80F"/>
    <w:rPr>
      <w:sz w:val="20"/>
      <w:szCs w:val="20"/>
    </w:rPr>
  </w:style>
  <w:style w:type="character" w:styleId="FootnoteReference">
    <w:name w:val="footnote reference"/>
    <w:basedOn w:val="DefaultParagraphFont"/>
    <w:uiPriority w:val="99"/>
    <w:semiHidden/>
    <w:unhideWhenUsed/>
    <w:rsid w:val="0031380F"/>
    <w:rPr>
      <w:vertAlign w:val="superscript"/>
    </w:rPr>
  </w:style>
  <w:style w:type="table" w:styleId="TableGrid">
    <w:name w:val="Table Grid"/>
    <w:basedOn w:val="TableNormal"/>
    <w:uiPriority w:val="39"/>
    <w:rsid w:val="00D9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6D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B2CB1"/>
    <w:rPr>
      <w:sz w:val="16"/>
      <w:szCs w:val="16"/>
    </w:rPr>
  </w:style>
  <w:style w:type="paragraph" w:styleId="CommentText">
    <w:name w:val="annotation text"/>
    <w:basedOn w:val="Normal"/>
    <w:link w:val="CommentTextChar"/>
    <w:uiPriority w:val="99"/>
    <w:semiHidden/>
    <w:unhideWhenUsed/>
    <w:rsid w:val="009B2CB1"/>
    <w:pPr>
      <w:spacing w:line="240" w:lineRule="auto"/>
    </w:pPr>
    <w:rPr>
      <w:sz w:val="20"/>
      <w:szCs w:val="20"/>
    </w:rPr>
  </w:style>
  <w:style w:type="character" w:customStyle="1" w:styleId="CommentTextChar">
    <w:name w:val="Comment Text Char"/>
    <w:basedOn w:val="DefaultParagraphFont"/>
    <w:link w:val="CommentText"/>
    <w:uiPriority w:val="99"/>
    <w:semiHidden/>
    <w:rsid w:val="009B2CB1"/>
    <w:rPr>
      <w:sz w:val="20"/>
      <w:szCs w:val="20"/>
    </w:rPr>
  </w:style>
  <w:style w:type="paragraph" w:styleId="BalloonText">
    <w:name w:val="Balloon Text"/>
    <w:basedOn w:val="Normal"/>
    <w:link w:val="BalloonTextChar"/>
    <w:uiPriority w:val="99"/>
    <w:semiHidden/>
    <w:unhideWhenUsed/>
    <w:rsid w:val="009B2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CB1"/>
    <w:rPr>
      <w:rFonts w:ascii="Segoe UI" w:hAnsi="Segoe UI" w:cs="Segoe UI"/>
      <w:sz w:val="18"/>
      <w:szCs w:val="18"/>
    </w:rPr>
  </w:style>
  <w:style w:type="character" w:customStyle="1" w:styleId="e24kjd">
    <w:name w:val="e24kjd"/>
    <w:basedOn w:val="DefaultParagraphFont"/>
    <w:rsid w:val="007A5E79"/>
  </w:style>
  <w:style w:type="paragraph" w:styleId="CommentSubject">
    <w:name w:val="annotation subject"/>
    <w:basedOn w:val="CommentText"/>
    <w:next w:val="CommentText"/>
    <w:link w:val="CommentSubjectChar"/>
    <w:uiPriority w:val="99"/>
    <w:semiHidden/>
    <w:unhideWhenUsed/>
    <w:rsid w:val="00240FE3"/>
    <w:rPr>
      <w:b/>
      <w:bCs/>
    </w:rPr>
  </w:style>
  <w:style w:type="character" w:customStyle="1" w:styleId="CommentSubjectChar">
    <w:name w:val="Comment Subject Char"/>
    <w:basedOn w:val="CommentTextChar"/>
    <w:link w:val="CommentSubject"/>
    <w:uiPriority w:val="99"/>
    <w:semiHidden/>
    <w:rsid w:val="00240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941729">
      <w:bodyDiv w:val="1"/>
      <w:marLeft w:val="0"/>
      <w:marRight w:val="0"/>
      <w:marTop w:val="0"/>
      <w:marBottom w:val="0"/>
      <w:divBdr>
        <w:top w:val="none" w:sz="0" w:space="0" w:color="auto"/>
        <w:left w:val="none" w:sz="0" w:space="0" w:color="auto"/>
        <w:bottom w:val="none" w:sz="0" w:space="0" w:color="auto"/>
        <w:right w:val="none" w:sz="0" w:space="0" w:color="auto"/>
      </w:divBdr>
    </w:div>
    <w:div w:id="1392077873">
      <w:bodyDiv w:val="1"/>
      <w:marLeft w:val="0"/>
      <w:marRight w:val="0"/>
      <w:marTop w:val="0"/>
      <w:marBottom w:val="0"/>
      <w:divBdr>
        <w:top w:val="none" w:sz="0" w:space="0" w:color="auto"/>
        <w:left w:val="none" w:sz="0" w:space="0" w:color="auto"/>
        <w:bottom w:val="none" w:sz="0" w:space="0" w:color="auto"/>
        <w:right w:val="none" w:sz="0" w:space="0" w:color="auto"/>
      </w:divBdr>
    </w:div>
    <w:div w:id="1437359976">
      <w:bodyDiv w:val="1"/>
      <w:marLeft w:val="0"/>
      <w:marRight w:val="0"/>
      <w:marTop w:val="0"/>
      <w:marBottom w:val="0"/>
      <w:divBdr>
        <w:top w:val="none" w:sz="0" w:space="0" w:color="auto"/>
        <w:left w:val="none" w:sz="0" w:space="0" w:color="auto"/>
        <w:bottom w:val="none" w:sz="0" w:space="0" w:color="auto"/>
        <w:right w:val="none" w:sz="0" w:space="0" w:color="auto"/>
      </w:divBdr>
    </w:div>
    <w:div w:id="1572275874">
      <w:bodyDiv w:val="1"/>
      <w:marLeft w:val="0"/>
      <w:marRight w:val="0"/>
      <w:marTop w:val="0"/>
      <w:marBottom w:val="0"/>
      <w:divBdr>
        <w:top w:val="none" w:sz="0" w:space="0" w:color="auto"/>
        <w:left w:val="none" w:sz="0" w:space="0" w:color="auto"/>
        <w:bottom w:val="none" w:sz="0" w:space="0" w:color="auto"/>
        <w:right w:val="none" w:sz="0" w:space="0" w:color="auto"/>
      </w:divBdr>
    </w:div>
    <w:div w:id="1867404953">
      <w:bodyDiv w:val="1"/>
      <w:marLeft w:val="0"/>
      <w:marRight w:val="0"/>
      <w:marTop w:val="0"/>
      <w:marBottom w:val="0"/>
      <w:divBdr>
        <w:top w:val="none" w:sz="0" w:space="0" w:color="auto"/>
        <w:left w:val="none" w:sz="0" w:space="0" w:color="auto"/>
        <w:bottom w:val="none" w:sz="0" w:space="0" w:color="auto"/>
        <w:right w:val="none" w:sz="0" w:space="0" w:color="auto"/>
      </w:divBdr>
    </w:div>
    <w:div w:id="1876235238">
      <w:bodyDiv w:val="1"/>
      <w:marLeft w:val="0"/>
      <w:marRight w:val="0"/>
      <w:marTop w:val="0"/>
      <w:marBottom w:val="0"/>
      <w:divBdr>
        <w:top w:val="none" w:sz="0" w:space="0" w:color="auto"/>
        <w:left w:val="none" w:sz="0" w:space="0" w:color="auto"/>
        <w:bottom w:val="none" w:sz="0" w:space="0" w:color="auto"/>
        <w:right w:val="none" w:sz="0" w:space="0" w:color="auto"/>
      </w:divBdr>
    </w:div>
    <w:div w:id="19538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BEC6-76D4-4002-A0A4-3A7C8136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12</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Goodman</dc:creator>
  <cp:keywords/>
  <dc:description/>
  <cp:lastModifiedBy>Anna Goodman</cp:lastModifiedBy>
  <cp:revision>20</cp:revision>
  <dcterms:created xsi:type="dcterms:W3CDTF">2021-01-16T14:00:00Z</dcterms:created>
  <dcterms:modified xsi:type="dcterms:W3CDTF">2021-07-07T13:28:00Z</dcterms:modified>
</cp:coreProperties>
</file>