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b/>
          <w:color w:val="000000"/>
          <w:sz w:val="36"/>
        </w:rPr>
        <w:t>顧客管理システム刷新 提案書</w:t>
      </w:r>
    </w:p>
    <w:p>
      <w:pPr>
        <w:keepLines/>
      </w:pPr>
      <w:r>
        <w:rPr>
          <w:rFonts w:ascii="Noto Sans CJK JP" w:hAnsi="Noto Sans CJK JP" w:eastAsia="Noto Sans CJK JP"/>
          <w:color w:val="000000"/>
          <w:sz w:val="20"/>
        </w:rPr>
        <w:t>発注側 顧客管理システム刷新プロジェクト事務局 御中  提案事業者A（いずれも架空）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33"/>
      </w:tblGrid>
      <w:tr>
        <w:trPr>
          <w:tblHeader/>
        </w:trPr>
        <w:tc>
          <w:tcPr>
            <w:tcW w:type="dxa" w:w="2232"/>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項目</w:t>
            </w:r>
          </w:p>
        </w:tc>
        <w:tc>
          <w:tcPr>
            <w:tcW w:type="dxa" w:w="7733"/>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内容</w:t>
            </w:r>
          </w:p>
        </w:tc>
      </w:tr>
      <w:tr>
        <w:trPr>
          <w:cantSplit/>
        </w:trPr>
        <w:tc>
          <w:tcPr>
            <w:tcW w:type="dxa" w:w="223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提案番号・提出日</w:t>
            </w:r>
          </w:p>
        </w:tc>
        <w:tc>
          <w:tcPr>
            <w:tcW w:type="dxa" w:w="7733"/>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PROP-2026-001  第1版  2026年7月24日（モデルケース）</w:t>
            </w:r>
          </w:p>
        </w:tc>
      </w:tr>
      <w:tr>
        <w:trPr>
          <w:cantSplit/>
        </w:trPr>
        <w:tc>
          <w:tcPr>
            <w:tcW w:type="dxa" w:w="223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参照した依頼資料</w:t>
            </w:r>
          </w:p>
        </w:tc>
        <w:tc>
          <w:tcPr>
            <w:tcW w:type="dxa" w:w="7733"/>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RFP-2026-001（2026年7月1日）、RFP質問回答一覧 Q-01～Q-18（7月13日）</w:t>
            </w:r>
          </w:p>
        </w:tc>
      </w:tr>
      <w:tr>
        <w:trPr>
          <w:cantSplit/>
        </w:trPr>
        <w:tc>
          <w:tcPr>
            <w:tcW w:type="dxa" w:w="223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基本案の概算</w:t>
            </w:r>
          </w:p>
        </w:tc>
        <w:tc>
          <w:tcPr>
            <w:tcW w:type="dxa" w:w="7733"/>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34,750,000円（税別）。工数370人日。内訳は付属の概算見積書を参照</w:t>
            </w:r>
          </w:p>
        </w:tc>
      </w:tr>
      <w:tr>
        <w:trPr>
          <w:cantSplit/>
        </w:trPr>
        <w:tc>
          <w:tcPr>
            <w:tcW w:type="dxa" w:w="223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別案</w:t>
            </w:r>
          </w:p>
        </w:tc>
        <w:tc>
          <w:tcPr>
            <w:tcW w:type="dxa" w:w="7733"/>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既存データの移行実行 3,600,000円（税別）。要否・件数は要件定義で確認</w:t>
            </w:r>
          </w:p>
        </w:tc>
      </w:tr>
      <w:tr>
        <w:trPr>
          <w:cantSplit/>
        </w:trPr>
        <w:tc>
          <w:tcPr>
            <w:tcW w:type="dxa" w:w="223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提案の状態</w:t>
            </w:r>
          </w:p>
        </w:tc>
        <w:tc>
          <w:tcPr>
            <w:tcW w:type="dxa" w:w="7733"/>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架空の提案例。発注側の採用・契約・成果保証を示さない</w:t>
            </w:r>
          </w:p>
        </w:tc>
      </w:tr>
    </w:tbl>
    <w:p>
      <w:pPr>
        <w:spacing w:after="0"/>
      </w:pPr>
    </w:p>
    <w:p>
      <w:pPr>
        <w:keepLines/>
      </w:pPr>
      <w:r>
        <w:rPr>
          <w:rFonts w:ascii="Noto Sans CJK JP" w:hAnsi="Noto Sans CJK JP" w:eastAsia="Noto Sans CJK JP"/>
          <w:color w:val="000000"/>
          <w:sz w:val="20"/>
        </w:rPr>
        <w:t>顧客情報の検索・更新と定期連携の刷新について、現状調査から運用引継ぎまでを基本案として提案します。RFPで決まっていない利用者権限、連携方式、性能目標は要件定義で発注側と決定し、設計と見積りに反映します。既存データの移行実行は別案です。</w:t>
      </w:r>
    </w:p>
    <w:p>
      <w:pPr>
        <w:keepLines/>
      </w:pPr>
      <w:r>
        <w:rPr>
          <w:rFonts w:ascii="Noto Sans CJK JP" w:hAnsi="Noto Sans CJK JP" w:eastAsia="Noto Sans CJK JP"/>
          <w:color w:val="000000"/>
          <w:sz w:val="20"/>
        </w:rPr>
        <w:t>本書の工数・単価・期間は書式を示すための仮定で、2026年の市場相場を示すものではありません。要件、データ量、外部接続条件が変わる場合は、影響を確認して費用と日程を協議する前提です。</w:t>
      </w:r>
    </w:p>
    <w:p>
      <w:pPr>
        <w:pStyle w:val="Heading1"/>
      </w:pPr>
      <w:r>
        <w:t>1 課題の理解と提案の目標</w:t>
      </w:r>
    </w:p>
    <w:p>
      <w:pPr>
        <w:keepLines/>
      </w:pPr>
      <w:r>
        <w:rPr>
          <w:rFonts w:ascii="Noto Sans CJK JP" w:hAnsi="Noto Sans CJK JP" w:eastAsia="Noto Sans CJK JP"/>
          <w:color w:val="000000"/>
          <w:sz w:val="20"/>
        </w:rPr>
        <w:t>現行業務では、営業部門と顧客対応部門が顧客情報を複数の管理手段から参照しているとRFPに記載されています。どの情報を正とするか、変更が後続システムへ反映されたか、誰が情報を出力したかを確認しづらい点を調査対象と捉えます。件数や発生頻度は確認できていないため、提案時点で効果の数量を約束しません。</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2"/>
        <w:gridCol w:w="3830"/>
        <w:gridCol w:w="4032"/>
      </w:tblGrid>
      <w:tr>
        <w:trPr>
          <w:tblHeader/>
        </w:trPr>
        <w:tc>
          <w:tcPr>
            <w:tcW w:type="dxa" w:w="2102"/>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目標</w:t>
            </w:r>
          </w:p>
        </w:tc>
        <w:tc>
          <w:tcPr>
            <w:tcW w:type="dxa" w:w="3830"/>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今回の提案で対応する範囲</w:t>
            </w:r>
          </w:p>
        </w:tc>
        <w:tc>
          <w:tcPr>
            <w:tcW w:type="dxa" w:w="4032"/>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要件定義で確かめること</w:t>
            </w:r>
          </w:p>
        </w:tc>
      </w:tr>
      <w:tr>
        <w:trPr>
          <w:cantSplit/>
        </w:trPr>
        <w:tc>
          <w:tcPr>
            <w:tcW w:type="dxa" w:w="210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顧客情報を探して扱う</w:t>
            </w:r>
          </w:p>
        </w:tc>
        <w:tc>
          <w:tcPr>
            <w:tcW w:type="dxa" w:w="383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検索、詳細、登録、更新、担当者向け出力を対象に設計・開発</w:t>
            </w:r>
          </w:p>
        </w:tc>
        <w:tc>
          <w:tcPr>
            <w:tcW w:type="dxa" w:w="403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現行業務の流れ、入力ルール、権限、出力項目</w:t>
            </w:r>
          </w:p>
        </w:tc>
      </w:tr>
      <w:tr>
        <w:trPr>
          <w:cantSplit/>
        </w:trPr>
        <w:tc>
          <w:tcPr>
            <w:tcW w:type="dxa" w:w="210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連携結果を追跡する</w:t>
            </w:r>
          </w:p>
        </w:tc>
        <w:tc>
          <w:tcPr>
            <w:tcW w:type="dxa" w:w="383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定期連携の取込み・加工・配布と失敗時の対処を検討</w:t>
            </w:r>
          </w:p>
        </w:tc>
        <w:tc>
          <w:tcPr>
            <w:tcW w:type="dxa" w:w="403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元データ、作成契機、配布先、再処理の判断者</w:t>
            </w:r>
          </w:p>
        </w:tc>
      </w:tr>
      <w:tr>
        <w:trPr>
          <w:cantSplit/>
        </w:trPr>
        <w:tc>
          <w:tcPr>
            <w:tcW w:type="dxa" w:w="210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安全に運用する</w:t>
            </w:r>
          </w:p>
        </w:tc>
        <w:tc>
          <w:tcPr>
            <w:tcW w:type="dxa" w:w="383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認証基盤との接続、監査、試験、障害対応を検討</w:t>
            </w:r>
          </w:p>
        </w:tc>
        <w:tc>
          <w:tcPr>
            <w:tcW w:type="dxa" w:w="403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既存基盤の仕様、情報保護、目標値と運用責任</w:t>
            </w:r>
          </w:p>
        </w:tc>
      </w:tr>
    </w:tbl>
    <w:p>
      <w:pPr>
        <w:spacing w:after="0"/>
      </w:pPr>
    </w:p>
    <w:p>
      <w:pPr>
        <w:pStyle w:val="Heading1"/>
      </w:pPr>
      <w:r>
        <w:t>2 提案範囲と構成の考え方</w:t>
      </w:r>
    </w:p>
    <w:p>
      <w:pPr>
        <w:pStyle w:val="Heading2"/>
      </w:pPr>
      <w:r>
        <w:t>2.1 基本案に含む作業</w:t>
      </w:r>
    </w:p>
    <w:p>
      <w:pPr>
        <w:keepLines/>
      </w:pPr>
      <w:r>
        <w:rPr>
          <w:rFonts w:ascii="Noto Sans CJK JP" w:hAnsi="Noto Sans CJK JP" w:eastAsia="Noto Sans CJK JP"/>
          <w:color w:val="000000"/>
          <w:sz w:val="20"/>
        </w:rPr>
        <w:t>現行調査、要件定義、画面と外部提供APIの設計・開発、定期連携の設計・開発、認証基盤と法人情報サービスの接続検討、単体・結合・総合試験、発注側受入試験の支援、移行要否の調査と切替計画、運用引継ぎを基本案に含めます。連携先システムの内部改修は含めません（質問回答Q-01）。</w:t>
      </w:r>
    </w:p>
    <w:p>
      <w:pPr>
        <w:pStyle w:val="Heading2"/>
      </w:pPr>
      <w:r>
        <w:t>2.2 提案時点の構成案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4810"/>
        <w:gridCol w:w="3226"/>
      </w:tblGrid>
      <w:tr>
        <w:trPr>
          <w:tblHeader/>
        </w:trPr>
        <w:tc>
          <w:tcPr>
            <w:tcW w:type="dxa" w:w="1930"/>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構成要素</w:t>
            </w:r>
          </w:p>
        </w:tc>
        <w:tc>
          <w:tcPr>
            <w:tcW w:type="dxa" w:w="4810"/>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役割と検討方針</w:t>
            </w:r>
          </w:p>
        </w:tc>
        <w:tc>
          <w:tcPr>
            <w:tcW w:type="dxa" w:w="3226"/>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確定の条件</w:t>
            </w:r>
          </w:p>
        </w:tc>
      </w:tr>
      <w:tr>
        <w:trPr>
          <w:cantSplit/>
        </w:trPr>
        <w:tc>
          <w:tcPr>
            <w:tcW w:type="dxa" w:w="193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社内利用画面</w:t>
            </w:r>
          </w:p>
        </w:tc>
        <w:tc>
          <w:tcPr>
            <w:tcW w:type="dxa" w:w="481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検索・参照・登録・更新・出力を支える。操作単位は業務ヒアリングで整理</w:t>
            </w:r>
          </w:p>
        </w:tc>
        <w:tc>
          <w:tcPr>
            <w:tcW w:type="dxa" w:w="3226"/>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利用者区分と画面数は未決 Q-02・Q-10</w:t>
            </w:r>
          </w:p>
        </w:tc>
      </w:tr>
      <w:tr>
        <w:trPr>
          <w:cantSplit/>
        </w:trPr>
        <w:tc>
          <w:tcPr>
            <w:tcW w:type="dxa" w:w="193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顧客情報を扱うAPI</w:t>
            </w:r>
          </w:p>
        </w:tc>
        <w:tc>
          <w:tcPr>
            <w:tcW w:type="dxa" w:w="481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画面と外部利用を想定した操作を提供し、認可・記録を共通化</w:t>
            </w:r>
          </w:p>
        </w:tc>
        <w:tc>
          <w:tcPr>
            <w:tcW w:type="dxa" w:w="3226"/>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公開範囲とAPI本数は未決 Q-02</w:t>
            </w:r>
          </w:p>
        </w:tc>
      </w:tr>
      <w:tr>
        <w:trPr>
          <w:cantSplit/>
        </w:trPr>
        <w:tc>
          <w:tcPr>
            <w:tcW w:type="dxa" w:w="193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定期連携処理</w:t>
            </w:r>
          </w:p>
        </w:tc>
        <w:tc>
          <w:tcPr>
            <w:tcW w:type="dxa" w:w="481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対象を取込み、必要な加工後に配布し、成否と再処理を追跡</w:t>
            </w:r>
          </w:p>
        </w:tc>
        <w:tc>
          <w:tcPr>
            <w:tcW w:type="dxa" w:w="3226"/>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入力元、出力方式は未決 Q-07・Q-08</w:t>
            </w:r>
          </w:p>
        </w:tc>
      </w:tr>
      <w:tr>
        <w:trPr>
          <w:cantSplit/>
        </w:trPr>
        <w:tc>
          <w:tcPr>
            <w:tcW w:type="dxa" w:w="193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外部接続と保管</w:t>
            </w:r>
          </w:p>
        </w:tc>
        <w:tc>
          <w:tcPr>
            <w:tcW w:type="dxa" w:w="481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認証基盤と法人情報サービスを利用し、顧客データと操作記録を管理</w:t>
            </w:r>
          </w:p>
        </w:tc>
        <w:tc>
          <w:tcPr>
            <w:tcW w:type="dxa" w:w="3226"/>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仕様・契約と既存環境の資料待ち Q-05・Q-06・Q-17</w:t>
            </w:r>
          </w:p>
        </w:tc>
      </w:tr>
    </w:tbl>
    <w:p>
      <w:pPr>
        <w:spacing w:after="0"/>
      </w:pPr>
    </w:p>
    <w:p>
      <w:pPr>
        <w:keepLines/>
      </w:pPr>
      <w:r>
        <w:rPr>
          <w:rFonts w:ascii="Noto Sans CJK JP" w:hAnsi="Noto Sans CJK JP" w:eastAsia="Noto Sans CJK JP"/>
          <w:color w:val="000000"/>
          <w:sz w:val="20"/>
        </w:rPr>
        <w:t>上記は方式検討を始めるための構成案です。製品、クラウド環境、画面数、API本数、物理テーブル、ファイル形式を発注側の確定条件として扱いません。既存環境や相手先仕様に適合しない場合は設計前に選択肢を提示します。</w:t>
      </w:r>
    </w:p>
    <w:p>
      <w:pPr>
        <w:pStyle w:val="Heading2"/>
      </w:pPr>
      <w:r>
        <w:t>2.3 基本案から除く費用</w:t>
      </w:r>
    </w:p>
    <w:p>
      <w:pPr>
        <w:keepLines/>
      </w:pPr>
      <w:r>
        <w:rPr>
          <w:rFonts w:ascii="Noto Sans CJK JP" w:hAnsi="Noto Sans CJK JP" w:eastAsia="Noto Sans CJK JP"/>
          <w:color w:val="000000"/>
          <w:sz w:val="20"/>
        </w:rPr>
        <w:t>既存データの移行実行、連携先システムの内部改修、外部サービスの利用料・ライセンス料、基盤使用料、恒常的な本番運用代行は基本案から除きます。移行の実行費だけは第8章の別案で参考額を示します。その他は提供資料がそろった時点で別途協議します。</w:t>
      </w:r>
    </w:p>
    <w:p>
      <w:pPr>
        <w:pStyle w:val="Heading1"/>
      </w:pPr>
      <w:r>
        <w:t>3 要件定義の進め方</w:t>
      </w:r>
    </w:p>
    <w:p>
      <w:pPr>
        <w:keepLines/>
      </w:pPr>
      <w:r>
        <w:rPr>
          <w:rFonts w:ascii="Noto Sans CJK JP" w:hAnsi="Noto Sans CJK JP" w:eastAsia="Noto Sans CJK JP"/>
          <w:color w:val="000000"/>
          <w:sz w:val="20"/>
        </w:rPr>
        <w:t>着手後約6週間を計画し、90分の打ち合わせを週2回、10～12回程度行う案です。打ち合わせ回数だけで工数を見積もらず、事前の現状資料確認、議事・課題記録、要件定義書の更新、発注側レビューと承認待ちの時間を含めます（質問回答Q-12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766"/>
        <w:gridCol w:w="3485"/>
      </w:tblGrid>
      <w:tr>
        <w:trPr>
          <w:tblHeader/>
        </w:trPr>
        <w:tc>
          <w:tcPr>
            <w:tcW w:type="dxa" w:w="1714"/>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段階</w:t>
            </w:r>
          </w:p>
        </w:tc>
        <w:tc>
          <w:tcPr>
            <w:tcW w:type="dxa" w:w="4766"/>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打ち合わせと調査</w:t>
            </w:r>
          </w:p>
        </w:tc>
        <w:tc>
          <w:tcPr>
            <w:tcW w:type="dxa" w:w="3485"/>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主な記録と確認者</w:t>
            </w:r>
          </w:p>
        </w:tc>
      </w:tr>
      <w:tr>
        <w:trPr>
          <w:cantSplit/>
        </w:trPr>
        <w:tc>
          <w:tcPr>
            <w:tcW w:type="dxa" w:w="171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開始・現状把握</w:t>
            </w:r>
          </w:p>
        </w:tc>
        <w:tc>
          <w:tcPr>
            <w:tcW w:type="dxa" w:w="4766"/>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目的と範囲を確認。営業・顧客対応の現行手順、既存システム、データを調査</w:t>
            </w:r>
          </w:p>
        </w:tc>
        <w:tc>
          <w:tcPr>
            <w:tcW w:type="dxa" w:w="3485"/>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現行業務フロー・課題一覧を業務責任者が確認</w:t>
            </w:r>
          </w:p>
        </w:tc>
      </w:tr>
      <w:tr>
        <w:trPr>
          <w:cantSplit/>
        </w:trPr>
        <w:tc>
          <w:tcPr>
            <w:tcW w:type="dxa" w:w="1714"/>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新しい業務の整理</w:t>
            </w:r>
          </w:p>
        </w:tc>
        <w:tc>
          <w:tcPr>
            <w:tcW w:type="dxa" w:w="4766"/>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検索・更新・連携・例外対応、利用者権限、外部接続と移行を検討</w:t>
            </w:r>
          </w:p>
        </w:tc>
        <w:tc>
          <w:tcPr>
            <w:tcW w:type="dxa" w:w="3485"/>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要件一覧と未決事項を担当部門ごとに確認</w:t>
            </w:r>
          </w:p>
        </w:tc>
      </w:tr>
      <w:tr>
        <w:trPr>
          <w:cantSplit/>
        </w:trPr>
        <w:tc>
          <w:tcPr>
            <w:tcW w:type="dxa" w:w="171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品質と受入の整理</w:t>
            </w:r>
          </w:p>
        </w:tc>
        <w:tc>
          <w:tcPr>
            <w:tcW w:type="dxa" w:w="4766"/>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件数・利用時間等を測定し、性能と運用の目標、受入場面を決める</w:t>
            </w:r>
          </w:p>
        </w:tc>
        <w:tc>
          <w:tcPr>
            <w:tcW w:type="dxa" w:w="3485"/>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測定条件と受入条件を発注側の判断者が確認</w:t>
            </w:r>
          </w:p>
        </w:tc>
      </w:tr>
      <w:tr>
        <w:trPr>
          <w:cantSplit/>
        </w:trPr>
        <w:tc>
          <w:tcPr>
            <w:tcW w:type="dxa" w:w="1714"/>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文書レビューと合意</w:t>
            </w:r>
          </w:p>
        </w:tc>
        <w:tc>
          <w:tcPr>
            <w:tcW w:type="dxa" w:w="4766"/>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抜け・矛盾を解消し、対象外と次工程への引継ぎ事項を示す</w:t>
            </w:r>
          </w:p>
        </w:tc>
        <w:tc>
          <w:tcPr>
            <w:tcW w:type="dxa" w:w="3485"/>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要件定義書・課題一覧・合意記録を確定</w:t>
            </w:r>
          </w:p>
        </w:tc>
      </w:tr>
    </w:tbl>
    <w:p>
      <w:pPr>
        <w:spacing w:after="0"/>
      </w:pPr>
    </w:p>
    <w:p>
      <w:pPr>
        <w:keepLines/>
      </w:pPr>
      <w:r>
        <w:rPr>
          <w:rFonts w:ascii="Noto Sans CJK JP" w:hAnsi="Noto Sans CJK JP" w:eastAsia="Noto Sans CJK JP"/>
          <w:color w:val="000000"/>
          <w:sz w:val="20"/>
        </w:rPr>
        <w:t>各回の終了時に決定事項、未決事項、決定者、期限を記録し、次回冒頭で前回の記録を確認します。未決事項を勝手に実装仕様へ置き換えず、影響を明記したうえで発注側の判断を求めます。</w:t>
      </w:r>
    </w:p>
    <w:p>
      <w:pPr>
        <w:pStyle w:val="Heading1"/>
      </w:pPr>
      <w:r>
        <w:t>4 設計、開発、品質の進め方</w:t>
      </w:r>
    </w:p>
    <w:p>
      <w:pPr>
        <w:pStyle w:val="Heading2"/>
      </w:pPr>
      <w:r>
        <w:t>4.1 設計と変更管理</w:t>
      </w:r>
    </w:p>
    <w:p>
      <w:pPr>
        <w:keepLines/>
      </w:pPr>
      <w:r>
        <w:rPr>
          <w:rFonts w:ascii="Noto Sans CJK JP" w:hAnsi="Noto Sans CJK JP" w:eastAsia="Noto Sans CJK JP"/>
          <w:color w:val="000000"/>
          <w:sz w:val="20"/>
        </w:rPr>
        <w:t>合意した業務要件から、画面、APIの外部契約、API内部処理、バッチ、外部連携、データ、共通処理の責任を分けて設計します。相互参照とレビュー担当を定め、要件に戻って説明できるよう要件IDと設計の対応を管理します。要件変更は内容、影響、発注側の判断、見積りと日程への影響を記録し、承認後に設計へ反映します。</w:t>
      </w:r>
    </w:p>
    <w:p>
      <w:pPr>
        <w:pStyle w:val="Heading2"/>
      </w:pPr>
      <w:r>
        <w:t>4.2 品質と受入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234"/>
        <w:gridCol w:w="4018"/>
      </w:tblGrid>
      <w:tr>
        <w:trPr>
          <w:tblHeader/>
        </w:trPr>
        <w:tc>
          <w:tcPr>
            <w:tcW w:type="dxa" w:w="1714"/>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段階</w:t>
            </w:r>
          </w:p>
        </w:tc>
        <w:tc>
          <w:tcPr>
            <w:tcW w:type="dxa" w:w="4234"/>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受注側の作業</w:t>
            </w:r>
          </w:p>
        </w:tc>
        <w:tc>
          <w:tcPr>
            <w:tcW w:type="dxa" w:w="4018"/>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発注側と確認する点</w:t>
            </w:r>
          </w:p>
        </w:tc>
      </w:tr>
      <w:tr>
        <w:trPr>
          <w:cantSplit/>
        </w:trPr>
        <w:tc>
          <w:tcPr>
            <w:tcW w:type="dxa" w:w="171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単体試験</w:t>
            </w:r>
          </w:p>
        </w:tc>
        <w:tc>
          <w:tcPr>
            <w:tcW w:type="dxa" w:w="423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入力検証、権限、分岐、異常、再処理の処理単位を確認</w:t>
            </w:r>
          </w:p>
        </w:tc>
        <w:tc>
          <w:tcPr>
            <w:tcW w:type="dxa" w:w="401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特に業務上重要な規則の抜け</w:t>
            </w:r>
          </w:p>
        </w:tc>
      </w:tr>
      <w:tr>
        <w:trPr>
          <w:cantSplit/>
        </w:trPr>
        <w:tc>
          <w:tcPr>
            <w:tcW w:type="dxa" w:w="1714"/>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結合・総合試験</w:t>
            </w:r>
          </w:p>
        </w:tc>
        <w:tc>
          <w:tcPr>
            <w:tcW w:type="dxa" w:w="4234"/>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画面・API・バッチ・連携先の接続と障害時の状態を確認</w:t>
            </w:r>
          </w:p>
        </w:tc>
        <w:tc>
          <w:tcPr>
            <w:tcW w:type="dxa" w:w="401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データ授受、権限、切替後の業務</w:t>
            </w:r>
          </w:p>
        </w:tc>
      </w:tr>
      <w:tr>
        <w:trPr>
          <w:cantSplit/>
        </w:trPr>
        <w:tc>
          <w:tcPr>
            <w:tcW w:type="dxa" w:w="171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受入試験支援</w:t>
            </w:r>
          </w:p>
        </w:tc>
        <w:tc>
          <w:tcPr>
            <w:tcW w:type="dxa" w:w="423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合意済み受入条件の場面・データ・結果記録を支援</w:t>
            </w:r>
          </w:p>
        </w:tc>
        <w:tc>
          <w:tcPr>
            <w:tcW w:type="dxa" w:w="401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業務責任者が可否を判定する条件</w:t>
            </w:r>
          </w:p>
        </w:tc>
      </w:tr>
    </w:tbl>
    <w:p>
      <w:pPr>
        <w:spacing w:after="0"/>
      </w:pPr>
    </w:p>
    <w:p>
      <w:pPr>
        <w:keepLines/>
      </w:pPr>
      <w:r>
        <w:rPr>
          <w:rFonts w:ascii="Noto Sans CJK JP" w:hAnsi="Noto Sans CJK JP" w:eastAsia="Noto Sans CJK JP"/>
          <w:color w:val="000000"/>
          <w:sz w:val="20"/>
        </w:rPr>
        <w:t>応答時間、稼働率、復旧目標などの数値は確定していません（Q-11）。現状の負荷と許容時間を調査し、測定点・件数・環境を決めてから試験に反映します。法人情報サービスが停止した場合や配布に失敗した場合の業務判断も要件定義で確認します。</w:t>
      </w:r>
    </w:p>
    <w:p>
      <w:pPr>
        <w:pStyle w:val="Heading1"/>
      </w:pPr>
      <w:r>
        <w:t>5 工程と発注側への依頼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4"/>
        <w:gridCol w:w="2592"/>
        <w:gridCol w:w="5198"/>
      </w:tblGrid>
      <w:tr>
        <w:trPr>
          <w:tblHeader/>
        </w:trPr>
        <w:tc>
          <w:tcPr>
            <w:tcW w:type="dxa" w:w="2174"/>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工程</w:t>
            </w:r>
          </w:p>
        </w:tc>
        <w:tc>
          <w:tcPr>
            <w:tcW w:type="dxa" w:w="2592"/>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提案する期間</w:t>
            </w:r>
          </w:p>
        </w:tc>
        <w:tc>
          <w:tcPr>
            <w:tcW w:type="dxa" w:w="5198"/>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完了を確認する主な事項</w:t>
            </w:r>
          </w:p>
        </w:tc>
      </w:tr>
      <w:tr>
        <w:trPr>
          <w:cantSplit/>
        </w:trPr>
        <w:tc>
          <w:tcPr>
            <w:tcW w:type="dxa" w:w="217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要件定義</w:t>
            </w:r>
          </w:p>
        </w:tc>
        <w:tc>
          <w:tcPr>
            <w:tcW w:type="dxa" w:w="259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2026年8月17日～9月25日</w:t>
            </w:r>
          </w:p>
        </w:tc>
        <w:tc>
          <w:tcPr>
            <w:tcW w:type="dxa" w:w="519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業務範囲・未決事項・受入条件の合意</w:t>
            </w:r>
          </w:p>
        </w:tc>
      </w:tr>
      <w:tr>
        <w:trPr>
          <w:cantSplit/>
        </w:trPr>
        <w:tc>
          <w:tcPr>
            <w:tcW w:type="dxa" w:w="2174"/>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設計</w:t>
            </w:r>
          </w:p>
        </w:tc>
        <w:tc>
          <w:tcPr>
            <w:tcW w:type="dxa" w:w="259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9月28日～11月6日</w:t>
            </w:r>
          </w:p>
        </w:tc>
        <w:tc>
          <w:tcPr>
            <w:tcW w:type="dxa" w:w="519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画面・API・バッチ・データと連携方式のレビュー</w:t>
            </w:r>
          </w:p>
        </w:tc>
      </w:tr>
      <w:tr>
        <w:trPr>
          <w:cantSplit/>
        </w:trPr>
        <w:tc>
          <w:tcPr>
            <w:tcW w:type="dxa" w:w="217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開発</w:t>
            </w:r>
          </w:p>
        </w:tc>
        <w:tc>
          <w:tcPr>
            <w:tcW w:type="dxa" w:w="259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11月9日～2027年1月8日</w:t>
            </w:r>
          </w:p>
        </w:tc>
        <w:tc>
          <w:tcPr>
            <w:tcW w:type="dxa" w:w="519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対象機能の実装と単体試験</w:t>
            </w:r>
          </w:p>
        </w:tc>
      </w:tr>
      <w:tr>
        <w:trPr>
          <w:cantSplit/>
        </w:trPr>
        <w:tc>
          <w:tcPr>
            <w:tcW w:type="dxa" w:w="2174"/>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結合・総合・受入支援</w:t>
            </w:r>
          </w:p>
        </w:tc>
        <w:tc>
          <w:tcPr>
            <w:tcW w:type="dxa" w:w="259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2027年1月11日～2月12日</w:t>
            </w:r>
          </w:p>
        </w:tc>
        <w:tc>
          <w:tcPr>
            <w:tcW w:type="dxa" w:w="519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連携・障害時・業務の試験と指摘是正</w:t>
            </w:r>
          </w:p>
        </w:tc>
      </w:tr>
      <w:tr>
        <w:trPr>
          <w:cantSplit/>
        </w:trPr>
        <w:tc>
          <w:tcPr>
            <w:tcW w:type="dxa" w:w="2174"/>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導入・運用引継ぎ</w:t>
            </w:r>
          </w:p>
        </w:tc>
        <w:tc>
          <w:tcPr>
            <w:tcW w:type="dxa" w:w="259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2月15日～2月26日</w:t>
            </w:r>
          </w:p>
        </w:tc>
        <w:tc>
          <w:tcPr>
            <w:tcW w:type="dxa" w:w="519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切替判定、運用手順と残課題の引継ぎ</w:t>
            </w:r>
          </w:p>
        </w:tc>
      </w:tr>
    </w:tbl>
    <w:p>
      <w:pPr>
        <w:spacing w:after="0"/>
      </w:pPr>
    </w:p>
    <w:p>
      <w:pPr>
        <w:keepLines/>
      </w:pPr>
      <w:r>
        <w:rPr>
          <w:rFonts w:ascii="Noto Sans CJK JP" w:hAnsi="Noto Sans CJK JP" w:eastAsia="Noto Sans CJK JP"/>
          <w:color w:val="000000"/>
          <w:sz w:val="20"/>
        </w:rPr>
        <w:t>これは要件と外部接続条件が確定することを前提にしたモデル日程です。本番稼働日はRFPで指定されていません（Q-15）。移行を実施する場合、データ品質、外部サービス資料の提供時期、連携先の試験環境を確認して日程を更新しま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61"/>
        <w:gridCol w:w="2275"/>
        <w:gridCol w:w="3629"/>
      </w:tblGrid>
      <w:tr>
        <w:trPr>
          <w:tblHeader/>
        </w:trPr>
        <w:tc>
          <w:tcPr>
            <w:tcW w:type="dxa" w:w="4061"/>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発注側にお願いすること</w:t>
            </w:r>
          </w:p>
        </w:tc>
        <w:tc>
          <w:tcPr>
            <w:tcW w:type="dxa" w:w="2275"/>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提案上の期限目安</w:t>
            </w:r>
          </w:p>
        </w:tc>
        <w:tc>
          <w:tcPr>
            <w:tcW w:type="dxa" w:w="3629"/>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遅れた場合の影響</w:t>
            </w:r>
          </w:p>
        </w:tc>
      </w:tr>
      <w:tr>
        <w:trPr>
          <w:cantSplit/>
        </w:trPr>
        <w:tc>
          <w:tcPr>
            <w:tcW w:type="dxa" w:w="4061"/>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業務担当と決定者の打ち合わせ参加</w:t>
            </w:r>
          </w:p>
        </w:tc>
        <w:tc>
          <w:tcPr>
            <w:tcW w:type="dxa" w:w="2275"/>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要件定義の各回まで</w:t>
            </w:r>
          </w:p>
        </w:tc>
        <w:tc>
          <w:tcPr>
            <w:tcW w:type="dxa" w:w="3629"/>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要件確定と設計着手の遅れ</w:t>
            </w:r>
          </w:p>
        </w:tc>
      </w:tr>
      <w:tr>
        <w:trPr>
          <w:cantSplit/>
        </w:trPr>
        <w:tc>
          <w:tcPr>
            <w:tcW w:type="dxa" w:w="4061"/>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既存認証・外部サービスの技術資料</w:t>
            </w:r>
          </w:p>
        </w:tc>
        <w:tc>
          <w:tcPr>
            <w:tcW w:type="dxa" w:w="2275"/>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要件定義前半まで</w:t>
            </w:r>
          </w:p>
        </w:tc>
        <w:tc>
          <w:tcPr>
            <w:tcW w:type="dxa" w:w="3629"/>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方式選定、接続試験の遅れ</w:t>
            </w:r>
          </w:p>
        </w:tc>
      </w:tr>
      <w:tr>
        <w:trPr>
          <w:cantSplit/>
        </w:trPr>
        <w:tc>
          <w:tcPr>
            <w:tcW w:type="dxa" w:w="4061"/>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連携先の担当者と試験環境</w:t>
            </w:r>
          </w:p>
        </w:tc>
        <w:tc>
          <w:tcPr>
            <w:tcW w:type="dxa" w:w="2275"/>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設計終了まで</w:t>
            </w:r>
          </w:p>
        </w:tc>
        <w:tc>
          <w:tcPr>
            <w:tcW w:type="dxa" w:w="3629"/>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配布方式と総合試験の遅れ</w:t>
            </w:r>
          </w:p>
        </w:tc>
      </w:tr>
      <w:tr>
        <w:trPr>
          <w:cantSplit/>
        </w:trPr>
        <w:tc>
          <w:tcPr>
            <w:tcW w:type="dxa" w:w="4061"/>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旧データの項目・件数・品質資料</w:t>
            </w:r>
          </w:p>
        </w:tc>
        <w:tc>
          <w:tcPr>
            <w:tcW w:type="dxa" w:w="2275"/>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移行要否の判断まで</w:t>
            </w:r>
          </w:p>
        </w:tc>
        <w:tc>
          <w:tcPr>
            <w:tcW w:type="dxa" w:w="3629"/>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移行別案の再見積り</w:t>
            </w:r>
          </w:p>
        </w:tc>
      </w:tr>
    </w:tbl>
    <w:p>
      <w:pPr>
        <w:spacing w:after="0"/>
      </w:pPr>
    </w:p>
    <w:p>
      <w:pPr>
        <w:pStyle w:val="Heading1"/>
      </w:pPr>
      <w:r>
        <w:t>6 体制と役割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4090"/>
        <w:gridCol w:w="3888"/>
      </w:tblGrid>
      <w:tr>
        <w:trPr>
          <w:tblHeader/>
        </w:trPr>
        <w:tc>
          <w:tcPr>
            <w:tcW w:type="dxa" w:w="1987"/>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役割</w:t>
            </w:r>
          </w:p>
        </w:tc>
        <w:tc>
          <w:tcPr>
            <w:tcW w:type="dxa" w:w="4090"/>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主な責任</w:t>
            </w:r>
          </w:p>
        </w:tc>
        <w:tc>
          <w:tcPr>
            <w:tcW w:type="dxa" w:w="3888"/>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投入の考え方</w:t>
            </w:r>
          </w:p>
        </w:tc>
      </w:tr>
      <w:tr>
        <w:trPr>
          <w:cantSplit/>
        </w:trPr>
        <w:tc>
          <w:tcPr>
            <w:tcW w:type="dxa" w:w="198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プロジェクト管理</w:t>
            </w:r>
          </w:p>
        </w:tc>
        <w:tc>
          <w:tcPr>
            <w:tcW w:type="dxa" w:w="409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計画、課題・変更管理、発注側報告</w:t>
            </w:r>
          </w:p>
        </w:tc>
        <w:tc>
          <w:tcPr>
            <w:tcW w:type="dxa" w:w="388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各工程を通じて必要な比率で参加</w:t>
            </w:r>
          </w:p>
        </w:tc>
      </w:tr>
      <w:tr>
        <w:trPr>
          <w:cantSplit/>
        </w:trPr>
        <w:tc>
          <w:tcPr>
            <w:tcW w:type="dxa" w:w="1987"/>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業務・要件担当</w:t>
            </w:r>
          </w:p>
        </w:tc>
        <w:tc>
          <w:tcPr>
            <w:tcW w:type="dxa" w:w="409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ヒアリング、要件定義書、業務確認</w:t>
            </w:r>
          </w:p>
        </w:tc>
        <w:tc>
          <w:tcPr>
            <w:tcW w:type="dxa" w:w="388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要件定義で中心。以降は受入確認を支援</w:t>
            </w:r>
          </w:p>
        </w:tc>
      </w:tr>
      <w:tr>
        <w:trPr>
          <w:cantSplit/>
        </w:trPr>
        <w:tc>
          <w:tcPr>
            <w:tcW w:type="dxa" w:w="198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設計・開発担当</w:t>
            </w:r>
          </w:p>
        </w:tc>
        <w:tc>
          <w:tcPr>
            <w:tcW w:type="dxa" w:w="4090"/>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API、画面、連携、データと共通処理</w:t>
            </w:r>
          </w:p>
        </w:tc>
        <w:tc>
          <w:tcPr>
            <w:tcW w:type="dxa" w:w="388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設計・開発時に増員。技能別に分担</w:t>
            </w:r>
          </w:p>
        </w:tc>
      </w:tr>
      <w:tr>
        <w:trPr>
          <w:cantSplit/>
        </w:trPr>
        <w:tc>
          <w:tcPr>
            <w:tcW w:type="dxa" w:w="1987"/>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試験・導入担当</w:t>
            </w:r>
          </w:p>
        </w:tc>
        <w:tc>
          <w:tcPr>
            <w:tcW w:type="dxa" w:w="4090"/>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試験設計・実施、切替・運用引継ぎ</w:t>
            </w:r>
          </w:p>
        </w:tc>
        <w:tc>
          <w:tcPr>
            <w:tcW w:type="dxa" w:w="388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試験・導入時に中心。設計レビューにも参加</w:t>
            </w:r>
          </w:p>
        </w:tc>
      </w:tr>
    </w:tbl>
    <w:p>
      <w:pPr>
        <w:spacing w:after="0"/>
      </w:pPr>
    </w:p>
    <w:p>
      <w:pPr>
        <w:keepLines/>
      </w:pPr>
      <w:r>
        <w:rPr>
          <w:rFonts w:ascii="Noto Sans CJK JP" w:hAnsi="Noto Sans CJK JP" w:eastAsia="Noto Sans CJK JP"/>
          <w:color w:val="000000"/>
          <w:sz w:val="20"/>
        </w:rPr>
        <w:t>上記は役割であり、常時4名が全期間フルタイムで従事するという意味ではありません。工程別工数は付属の概算見積書に示します。発注側は業務判断、連携先・契約の調整、受入判定を担当する前提です。</w:t>
      </w:r>
    </w:p>
    <w:p>
      <w:pPr>
        <w:pStyle w:val="Heading1"/>
      </w:pPr>
      <w:r>
        <w:t>7 成果物と完了確認</w:t>
      </w:r>
    </w:p>
    <w:p>
      <w:pPr>
        <w:keepLines/>
      </w:pPr>
      <w:r>
        <w:rPr>
          <w:rFonts w:ascii="Noto Sans CJK JP" w:hAnsi="Noto Sans CJK JP" w:eastAsia="Noto Sans CJK JP"/>
          <w:color w:val="000000"/>
          <w:sz w:val="20"/>
        </w:rPr>
        <w:t>要件定義書、業務フロー、課題一覧、設計書群、プログラム、試験仕様・結果、切替計画・結果、運用手順を成果物の候補とします。文書形式とレビュー回数は契約時・要件定義時に合意します（Q-14）。各工程の完了は、成果物の提出、指摘の記録と是正、残課題の判断者の明示を確認して決めます。</w:t>
      </w:r>
    </w:p>
    <w:p>
      <w:pPr>
        <w:keepLines/>
      </w:pPr>
      <w:r>
        <w:rPr>
          <w:rFonts w:ascii="Noto Sans CJK JP" w:hAnsi="Noto Sans CJK JP" w:eastAsia="Noto Sans CJK JP"/>
          <w:color w:val="000000"/>
          <w:sz w:val="20"/>
        </w:rPr>
        <w:t>顧客検索・登録・更新、担当者向け出力、定期連携の成功と失敗、利用者権限を受入試験の中心とし、具体的な期待結果は要件定義で発注側と合意します。要件定義前に詳細な受入値やテスト件数を確定済みとは扱いません。</w:t>
      </w:r>
    </w:p>
    <w:p>
      <w:pPr>
        <w:pStyle w:val="Heading1"/>
      </w:pPr>
      <w:r>
        <w:t>8 概算費用と見積前提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347"/>
        <w:gridCol w:w="4306"/>
      </w:tblGrid>
      <w:tr>
        <w:trPr>
          <w:tblHeader/>
        </w:trPr>
        <w:tc>
          <w:tcPr>
            <w:tcW w:type="dxa" w:w="3312"/>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区分</w:t>
            </w:r>
          </w:p>
        </w:tc>
        <w:tc>
          <w:tcPr>
            <w:tcW w:type="dxa" w:w="2347"/>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金額 税別</w:t>
            </w:r>
          </w:p>
        </w:tc>
        <w:tc>
          <w:tcPr>
            <w:tcW w:type="dxa" w:w="4306"/>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扱い</w:t>
            </w:r>
          </w:p>
        </w:tc>
      </w:tr>
      <w:tr>
        <w:trPr>
          <w:cantSplit/>
        </w:trPr>
        <w:tc>
          <w:tcPr>
            <w:tcW w:type="dxa" w:w="331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基本案</w:t>
            </w:r>
          </w:p>
        </w:tc>
        <w:tc>
          <w:tcPr>
            <w:tcW w:type="dxa" w:w="234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34,750,000円</w:t>
            </w:r>
          </w:p>
        </w:tc>
        <w:tc>
          <w:tcPr>
            <w:tcW w:type="dxa" w:w="4306"/>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工程別 370人日。内訳は概算見積書に記載</w:t>
            </w:r>
          </w:p>
        </w:tc>
      </w:tr>
      <w:tr>
        <w:trPr>
          <w:cantSplit/>
        </w:trPr>
        <w:tc>
          <w:tcPr>
            <w:tcW w:type="dxa" w:w="3312"/>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別案 旧データの移行実行</w:t>
            </w:r>
          </w:p>
        </w:tc>
        <w:tc>
          <w:tcPr>
            <w:tcW w:type="dxa" w:w="2347"/>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3,600,000円</w:t>
            </w:r>
          </w:p>
        </w:tc>
        <w:tc>
          <w:tcPr>
            <w:tcW w:type="dxa" w:w="4306"/>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40人日。要否・件数・品質確認後に再見積り</w:t>
            </w:r>
          </w:p>
        </w:tc>
      </w:tr>
      <w:tr>
        <w:trPr>
          <w:cantSplit/>
        </w:trPr>
        <w:tc>
          <w:tcPr>
            <w:tcW w:type="dxa" w:w="3312"/>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両方採用した場合の参考合計</w:t>
            </w:r>
          </w:p>
        </w:tc>
        <w:tc>
          <w:tcPr>
            <w:tcW w:type="dxa" w:w="234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38,350,000円</w:t>
            </w:r>
          </w:p>
        </w:tc>
        <w:tc>
          <w:tcPr>
            <w:tcW w:type="dxa" w:w="4306"/>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外部サービス料・基盤費用・連携先内部改修は含まない</w:t>
            </w:r>
          </w:p>
        </w:tc>
      </w:tr>
    </w:tbl>
    <w:p>
      <w:pPr>
        <w:spacing w:after="0"/>
      </w:pPr>
    </w:p>
    <w:p>
      <w:pPr>
        <w:keepLines/>
      </w:pPr>
      <w:r>
        <w:rPr>
          <w:rFonts w:ascii="Noto Sans CJK JP" w:hAnsi="Noto Sans CJK JP" w:eastAsia="Noto Sans CJK JP"/>
          <w:color w:val="000000"/>
          <w:sz w:val="20"/>
        </w:rPr>
        <w:t>工数と単価は本サンプルの教育用仮定であり、市場相場や実際の契約金額ではありません。基本案には移行の要否を判断する調査を含めます。提案時の不明点はRFP質問回答一覧に沿って前提化し、件数や範囲が変わる場合の再見積り条件は概算見積書に記載します。税額、第三者の料金、費用精算は契約時に協議します。</w:t>
      </w:r>
    </w:p>
    <w:p>
      <w:pPr>
        <w:keepLines/>
      </w:pPr>
      <w:r>
        <w:rPr>
          <w:rFonts w:ascii="Noto Sans CJK JP" w:hAnsi="Noto Sans CJK JP" w:eastAsia="Noto Sans CJK JP"/>
          <w:color w:val="000000"/>
          <w:sz w:val="20"/>
        </w:rPr>
        <w:t>概算見積の有効期限例は2026年8月14日です。日程と単価は説明用であり、発注側への実際の価格提示ではありません。</w:t>
      </w:r>
    </w:p>
    <w:p>
      <w:pPr>
        <w:pStyle w:val="Heading1"/>
      </w:pPr>
      <w:r>
        <w:t>9 主なリスクと意思決定</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3859"/>
        <w:gridCol w:w="3758"/>
      </w:tblGrid>
      <w:tr>
        <w:trPr>
          <w:tblHeader/>
        </w:trPr>
        <w:tc>
          <w:tcPr>
            <w:tcW w:type="dxa" w:w="2347"/>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論点と質問ID</w:t>
            </w:r>
          </w:p>
        </w:tc>
        <w:tc>
          <w:tcPr>
            <w:tcW w:type="dxa" w:w="3859"/>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本提案での扱い</w:t>
            </w:r>
          </w:p>
        </w:tc>
        <w:tc>
          <w:tcPr>
            <w:tcW w:type="dxa" w:w="3758"/>
            <w:shd w:fill="253A50"/>
            <w:tcMar>
              <w:top w:w="75" w:type="dxa"/>
              <w:start w:w="105" w:type="dxa"/>
              <w:bottom w:w="75" w:type="dxa"/>
              <w:end w:w="105" w:type="dxa"/>
            </w:tcMar>
            <w:vAlign w:val="center"/>
          </w:tcPr>
          <w:p>
            <w:pPr>
              <w:spacing w:after="0"/>
            </w:pPr>
            <w:r>
              <w:rPr>
                <w:rFonts w:ascii="Noto Sans CJK JP" w:hAnsi="Noto Sans CJK JP" w:eastAsia="Noto Sans CJK JP"/>
                <w:b/>
                <w:color w:val="FFFFFF"/>
                <w:sz w:val="18"/>
              </w:rPr>
              <w:t>要件定義時の確認</w:t>
            </w:r>
          </w:p>
        </w:tc>
      </w:tr>
      <w:tr>
        <w:trPr>
          <w:cantSplit/>
        </w:trPr>
        <w:tc>
          <w:tcPr>
            <w:tcW w:type="dxa" w:w="234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データ量・移行 Q-03、Q-04</w:t>
            </w:r>
          </w:p>
        </w:tc>
        <w:tc>
          <w:tcPr>
            <w:tcW w:type="dxa" w:w="3859"/>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移行調査を基本案、実行を別案に分離</w:t>
            </w:r>
          </w:p>
        </w:tc>
        <w:tc>
          <w:tcPr>
            <w:tcW w:type="dxa" w:w="375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件数・品質・実施の要否と照合方法</w:t>
            </w:r>
          </w:p>
        </w:tc>
      </w:tr>
      <w:tr>
        <w:trPr>
          <w:cantSplit/>
        </w:trPr>
        <w:tc>
          <w:tcPr>
            <w:tcW w:type="dxa" w:w="2347"/>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認証・法人情報 Q-05、Q-06、Q-17</w:t>
            </w:r>
          </w:p>
        </w:tc>
        <w:tc>
          <w:tcPr>
            <w:tcW w:type="dxa" w:w="3859"/>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資料提供と契約条件を依存関係として管理</w:t>
            </w:r>
          </w:p>
        </w:tc>
        <w:tc>
          <w:tcPr>
            <w:tcW w:type="dxa" w:w="375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仕様、利用可否、停止時の業務方針</w:t>
            </w:r>
          </w:p>
        </w:tc>
      </w:tr>
      <w:tr>
        <w:trPr>
          <w:cantSplit/>
        </w:trPr>
        <w:tc>
          <w:tcPr>
            <w:tcW w:type="dxa" w:w="234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連携の元・配布 Q-07、Q-08</w:t>
            </w:r>
          </w:p>
        </w:tc>
        <w:tc>
          <w:tcPr>
            <w:tcW w:type="dxa" w:w="3859"/>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方式選択肢と相手先責任を整理</w:t>
            </w:r>
          </w:p>
        </w:tc>
        <w:tc>
          <w:tcPr>
            <w:tcW w:type="dxa" w:w="375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入力元、対象種別、受取確認と再処理</w:t>
            </w:r>
          </w:p>
        </w:tc>
      </w:tr>
      <w:tr>
        <w:trPr>
          <w:cantSplit/>
        </w:trPr>
        <w:tc>
          <w:tcPr>
            <w:tcW w:type="dxa" w:w="2347"/>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権限・性能 Q-10、Q-11</w:t>
            </w:r>
          </w:p>
        </w:tc>
        <w:tc>
          <w:tcPr>
            <w:tcW w:type="dxa" w:w="3859"/>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権限表と測定計画を作成</w:t>
            </w:r>
          </w:p>
        </w:tc>
        <w:tc>
          <w:tcPr>
            <w:tcW w:type="dxa" w:w="3758"/>
            <w:tcMar>
              <w:top w:w="75" w:type="dxa"/>
              <w:start w:w="105" w:type="dxa"/>
              <w:bottom w:w="75" w:type="dxa"/>
              <w:end w:w="105" w:type="dxa"/>
            </w:tcMar>
            <w:vAlign w:val="center"/>
            <w:shd w:fill="F3F6F8"/>
          </w:tcPr>
          <w:p>
            <w:pPr>
              <w:spacing w:after="0" w:line="274" w:lineRule="auto"/>
            </w:pPr>
            <w:r>
              <w:rPr>
                <w:rFonts w:ascii="Noto Sans CJK JP" w:hAnsi="Noto Sans CJK JP" w:eastAsia="Noto Sans CJK JP"/>
                <w:color w:val="000000"/>
                <w:sz w:val="18"/>
              </w:rPr>
              <w:t>業務責任者の決定、目標値と測定条件</w:t>
            </w:r>
          </w:p>
        </w:tc>
      </w:tr>
      <w:tr>
        <w:trPr>
          <w:cantSplit/>
        </w:trPr>
        <w:tc>
          <w:tcPr>
            <w:tcW w:type="dxa" w:w="2347"/>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資料・日程 Q-15、Q-17</w:t>
            </w:r>
          </w:p>
        </w:tc>
        <w:tc>
          <w:tcPr>
            <w:tcW w:type="dxa" w:w="3859"/>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提供できない資料がある場合は調査を追加</w:t>
            </w:r>
          </w:p>
        </w:tc>
        <w:tc>
          <w:tcPr>
            <w:tcW w:type="dxa" w:w="3758"/>
            <w:tcMar>
              <w:top w:w="75" w:type="dxa"/>
              <w:start w:w="105" w:type="dxa"/>
              <w:bottom w:w="75" w:type="dxa"/>
              <w:end w:w="105" w:type="dxa"/>
            </w:tcMar>
            <w:vAlign w:val="center"/>
          </w:tcPr>
          <w:p>
            <w:pPr>
              <w:spacing w:after="0" w:line="274" w:lineRule="auto"/>
            </w:pPr>
            <w:r>
              <w:rPr>
                <w:rFonts w:ascii="Noto Sans CJK JP" w:hAnsi="Noto Sans CJK JP" w:eastAsia="Noto Sans CJK JP"/>
                <w:color w:val="000000"/>
                <w:sz w:val="18"/>
              </w:rPr>
              <w:t>切替判定と設計・試験への影響</w:t>
            </w:r>
          </w:p>
        </w:tc>
      </w:tr>
    </w:tbl>
    <w:p>
      <w:pPr>
        <w:spacing w:after="0"/>
      </w:pPr>
    </w:p>
    <w:sectPr w:rsidR="00FC693F" w:rsidRPr="0006063C" w:rsidSect="00034616">
      <w:headerReference w:type="default" r:id="rId9"/>
      <w:footerReference w:type="default" r:id="rId10"/>
      <w:pgSz w:w="12240" w:h="15840"/>
      <w:pgMar w:top="1008" w:right="1138" w:bottom="965" w:left="1138"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000000"/>
        <w:sz w:val="16"/>
      </w:rPr>
      <w:t xml:space="preserve">提案サンプル  PROP-2026-001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000000"/>
        <w:sz w:val="17"/>
      </w:rPr>
      <w:t>顧客管理システム刷新プロジェクト  提案書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4" w:lineRule="auto"/>
    </w:pPr>
    <w:rPr>
      <w:rFonts w:ascii="Noto Sans CJK JP" w:hAnsi="Noto Sans CJK JP" w:eastAsia="Noto Sans CJK JP"/>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4" w:lineRule="auto"/>
      <w:outlineLvl w:val="0"/>
    </w:pPr>
    <w:rPr>
      <w:rFonts w:asciiTheme="majorHAnsi" w:eastAsiaTheme="majorEastAsia" w:hAnsiTheme="majorHAnsi" w:cstheme="majorBidi" w:ascii="Noto Sans CJK JP" w:hAnsi="Noto Sans CJK JP" w:eastAsia="Noto Sans CJK JP"/>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274" w:lineRule="auto"/>
      <w:outlineLvl w:val="1"/>
    </w:pPr>
    <w:rPr>
      <w:rFonts w:asciiTheme="majorHAnsi" w:eastAsiaTheme="majorEastAsia" w:hAnsiTheme="majorHAnsi" w:cstheme="majorBidi" w:ascii="Noto Sans CJK JP" w:hAnsi="Noto Sans CJK JP" w:eastAsia="Noto Sans CJK JP"/>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74" w:lineRule="auto" w:before="0"/>
      <w:contextualSpacing/>
    </w:pPr>
    <w:rPr>
      <w:rFonts w:asciiTheme="majorHAnsi" w:eastAsiaTheme="majorEastAsia" w:hAnsiTheme="majorHAnsi" w:cstheme="majorBidi" w:ascii="Noto Sans CJK JP" w:hAnsi="Noto Sans CJK JP" w:eastAsia="Noto Sans CJK JP"/>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顧客管理システム刷新 提案書</dc:title>
  <dc:subject>RFPに対する架空の提案例</dc:subject>
  <dc:creator>提案事業者A（架空）</dc:creator>
  <cp:keywords/>
  <dc:description>generated by python-docx</dc:description>
  <cp:lastModifiedBy/>
  <cp:revision>1</cp:revision>
  <dcterms:created xsi:type="dcterms:W3CDTF">2013-12-23T23:15:00Z</dcterms:created>
  <dcterms:modified xsi:type="dcterms:W3CDTF">2013-12-23T23:15:00Z</dcterms:modified>
  <cp:category/>
</cp:coreProperties>
</file>