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METHODOLOGY FOR COMBAT ASSESSMENT</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CJCSI 3162.02</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Combat Assessment</w:t>
      </w:r>
    </w:p>
    <w:p w:rsidR="00000000" w:rsidDel="00000000" w:rsidP="00000000" w:rsidRDefault="00000000" w:rsidRPr="00000000" w14:paraId="00000005">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Combat assessment (CA) evaluates the effectiveness of military engagements and may lead to a re-attack recommendation. An engagement is assessed across three components: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Battle Damage Assessment (BDA) – J2. Assesses the effects of military force on the target element, target, and target system.</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Collateral Damage Assessment (CDA) – J2/J3/JFE. Assesses damage outside the target boundary.</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Munitions Effectiveness Assessment (MEA) – J3/JFE. Assess weapons system and munition performance relative to expected effects.</w:t>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three components provide a comprehensive understanding of what occurred, what unintended effects may have resulted, and how effectively the selected capability performed.</w:t>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Battle Damage Assessment</w:t>
      </w:r>
    </w:p>
    <w:p w:rsidR="00000000" w:rsidDel="00000000" w:rsidP="00000000" w:rsidRDefault="00000000" w:rsidRPr="00000000" w14:paraId="0000000C">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BDA is a component of CA that provides a timely and accurate estimate of damage resulting from the application of lethal and nonlethal military force. A BDA is composed of three phases: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1 BDA: Physical Damage / Change Assessment (PDA)</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BDA: Functional Damage / Change Assessment (FDA)</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3 BDA: Target System Damage Assessment (TSDA)</w:t>
      </w:r>
    </w:p>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and Phase 2 BDA may be conducted concurrently and reported within a single BDA product.</w:t>
      </w:r>
    </w:p>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1 BDA – Physical Damage / Change Assessment</w:t>
      </w:r>
    </w:p>
    <w:p w:rsidR="00000000" w:rsidDel="00000000" w:rsidP="00000000" w:rsidRDefault="00000000" w:rsidRPr="00000000" w14:paraId="00000013">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PDA quantifies physical damage to a target element. To determine physical damage, analysts examine each impact point to assess whether the weapon hit or missed, and then assess damage to the target element as a whole. PDAs are expressed as a combination of damage categories and confidence levels.</w:t>
      </w:r>
    </w:p>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PDA Damage Categories (Enclosure H):</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DAMAGE</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DAMAGED</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DESTROYED</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w:t>
      </w:r>
    </w:p>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PDA Confidence Levels: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CONFIRMED (95+ percent confidence)</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PROBABLE (50-94 percent confidence)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(&lt;50 percent confidence)</w:t>
      </w:r>
    </w:p>
    <w:p w:rsidR="00000000" w:rsidDel="00000000" w:rsidP="00000000" w:rsidRDefault="00000000" w:rsidRPr="00000000" w14:paraId="0000001D">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change assessment measures non-physical effects on a target element that does not create observable damage. Change assessments capture effects on a target’s condition, behavior, or degree of freedom, and are the non-physical equivalent of a PDA. Change assessments use the same damage categories and confidence levels as physical damage assessments.</w:t>
      </w:r>
    </w:p>
    <w:p w:rsidR="00000000" w:rsidDel="00000000" w:rsidP="00000000" w:rsidRDefault="00000000" w:rsidRPr="00000000" w14:paraId="0000001E">
      <w:pPr>
        <w:spacing w:after="0"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BDA – Functional Damage Assessment</w:t>
      </w:r>
    </w:p>
    <w:p w:rsidR="00000000" w:rsidDel="00000000" w:rsidP="00000000" w:rsidRDefault="00000000" w:rsidRPr="00000000" w14:paraId="00000020">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FDA estimates the effect of target engagement on the target’s ability to perform its intended mission. FDA assesses the remaining functional or operational capability of the target. Each FDA consists of three elements: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Damage Level</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Recuperation Time Estimate</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Assessment</w:t>
      </w:r>
    </w:p>
    <w:p w:rsidR="00000000" w:rsidDel="00000000" w:rsidP="00000000" w:rsidRDefault="00000000" w:rsidRPr="00000000" w14:paraId="00000024">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damage levels describe the effect on the target as a whole, based on cumulative damage at the target element level. Basic functional damage categories include (Enclosure H):</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FUNCTIONAL DAMAGE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 FUNCTIONAL DAMAGE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FUNCTIONAL DAMAGE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FUNCTIONAL DAMAGE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FUNCTIONALLY DESTROYED</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ABANDONED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FUNCTIONAL DAMAGE</w:t>
      </w:r>
    </w:p>
    <w:p w:rsidR="00000000" w:rsidDel="00000000" w:rsidP="00000000" w:rsidRDefault="00000000" w:rsidRPr="00000000" w14:paraId="0000002C">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recuperation assessment estimates the minimum and maximum time required to restore or replace the targeted function. Time is expressed in hours, days, or months, and is informed by target characteristics, observed damage, and assessed adversary capability.</w:t>
      </w:r>
    </w:p>
    <w:p w:rsidR="00000000" w:rsidDel="00000000" w:rsidP="00000000" w:rsidRDefault="00000000" w:rsidRPr="00000000" w14:paraId="0000002D">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assessment compares the assessed functional damage against the desired level of damage or effect established during targeting. Measures of performance developed during planning serve as the metric for this comparison. Task assessment categories are: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ACHIEVED</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w:t>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Limitation</w:t>
      </w:r>
    </w:p>
    <w:p w:rsidR="00000000" w:rsidDel="00000000" w:rsidP="00000000" w:rsidRDefault="00000000" w:rsidRPr="00000000" w14:paraId="00000033">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deliberately focuses only on BDA. While CA integrates BDA, CDA, and MEA, the data available for this effort is limited to post-strike imagery and observable target effects. The absence of collateral damage data, weapons performance data, and broader operational context precludes a complete CDA or MEA.</w:t>
      </w:r>
    </w:p>
    <w:p w:rsidR="00000000" w:rsidDel="00000000" w:rsidP="00000000" w:rsidRDefault="00000000" w:rsidRPr="00000000" w14:paraId="00000034">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this project focuses on Phase 1 and Phase 2 BDA only. Phase 3 (TSDA) requires system-level intelligence and campaign context that are beyond the scope of the available data. Additionally, Phase 1 change assessments will not be conducted, as physical imagery alone does not support reliable assessment of non-physical effects (e.g., cyber, electronic, or behavioral change). Phase 2 analysis will therefore focus on determining the functional damage level at the target level.</w:t>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37">
      <w:pPr>
        <w:spacing w:after="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example illustrates a BDA conducted within the scope of this project. A target consisting of three armored vehicles is assessed following a strike. During Phase 1 BDA, physical damage is assessed at the target element level. One vehicle is assessed as DESTROYED (CONFIRMED), one as DAMAGED (PROBABLE), and one as NO DAMAGE (CONFIRMED). During Phase 2 BDA, these element-level assessments are aggregated to evaluate the effect on the target as a whole. Based on the cumulative damage, the target is assessed as having SEVERE FUNCTIONAL DAMAGE, indicating a significant degradation in its ability to perform its intended mission.</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Enclosure H provides damage categories and change assessment definitions for specific targets.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Bridges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Bunkers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Dams and Locks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Distillation Towers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Data and Information Technology Systems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 Force Personnel – Military Units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 Force Personnel – Individuals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Military Equipment (Deployed and in Depots)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Petroleum, Oil, and Lubricants (POL) Storage Tanks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Plant Turbines and Generators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Rail Lines and Rail Yards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Runways and Taxiways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Satellite Dishes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Steel Towers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Tunnel Entrances or Portals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Tunnel Facility Air Vents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Personas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Acronyms</w:t>
      </w:r>
    </w:p>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 Combat Assessment</w:t>
      </w:r>
    </w:p>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BDA – Battle Damage Assessment</w:t>
      </w:r>
    </w:p>
    <w:p w:rsidR="00000000" w:rsidDel="00000000" w:rsidP="00000000" w:rsidRDefault="00000000" w:rsidRPr="00000000" w14:paraId="000000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CDA – Collateral Damage Assessment</w:t>
      </w:r>
    </w:p>
    <w:p w:rsidR="00000000" w:rsidDel="00000000" w:rsidP="00000000" w:rsidRDefault="00000000" w:rsidRPr="00000000" w14:paraId="000000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 – Munitions Effectiveness Assessment</w:t>
      </w:r>
    </w:p>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 – Re-Attack Recommendation</w:t>
      </w:r>
    </w:p>
    <w:p w:rsidR="00000000" w:rsidDel="00000000" w:rsidP="00000000" w:rsidRDefault="00000000" w:rsidRPr="00000000" w14:paraId="000000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PDA – Physical Damage Assessment</w:t>
      </w:r>
    </w:p>
    <w:p w:rsidR="00000000" w:rsidDel="00000000" w:rsidP="00000000" w:rsidRDefault="00000000" w:rsidRPr="00000000" w14:paraId="000000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 Functional Damage Assessment</w:t>
      </w:r>
    </w:p>
    <w:p w:rsidR="00000000" w:rsidDel="00000000" w:rsidP="00000000" w:rsidRDefault="00000000" w:rsidRPr="00000000" w14:paraId="000000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TSDA – Target System Damage Assessment</w:t>
      </w:r>
    </w:p>
    <w:p w:rsidR="00000000" w:rsidDel="00000000" w:rsidP="00000000" w:rsidRDefault="00000000" w:rsidRPr="00000000" w14:paraId="000000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J2 – Intelligence Directorate</w:t>
      </w:r>
    </w:p>
    <w:p w:rsidR="00000000" w:rsidDel="00000000" w:rsidP="00000000" w:rsidRDefault="00000000" w:rsidRPr="00000000" w14:paraId="000000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J3 – Operations Directorate</w:t>
      </w:r>
    </w:p>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JFE – Joint Fires Element</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9663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9663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9663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9663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9663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9663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9663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9663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9663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9663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9663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9663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966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966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966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9663A"/>
    <w:rPr>
      <w:i w:val="1"/>
      <w:iCs w:val="1"/>
      <w:color w:val="404040" w:themeColor="text1" w:themeTint="0000BF"/>
    </w:rPr>
  </w:style>
  <w:style w:type="paragraph" w:styleId="ListParagraph">
    <w:name w:val="List Paragraph"/>
    <w:basedOn w:val="Normal"/>
    <w:uiPriority w:val="34"/>
    <w:qFormat w:val="1"/>
    <w:rsid w:val="0049663A"/>
    <w:pPr>
      <w:ind w:left="720"/>
      <w:contextualSpacing w:val="1"/>
    </w:pPr>
  </w:style>
  <w:style w:type="character" w:styleId="IntenseEmphasis">
    <w:name w:val="Intense Emphasis"/>
    <w:basedOn w:val="DefaultParagraphFont"/>
    <w:uiPriority w:val="21"/>
    <w:qFormat w:val="1"/>
    <w:rsid w:val="0049663A"/>
    <w:rPr>
      <w:i w:val="1"/>
      <w:iCs w:val="1"/>
      <w:color w:val="0f4761" w:themeColor="accent1" w:themeShade="0000BF"/>
    </w:rPr>
  </w:style>
  <w:style w:type="paragraph" w:styleId="IntenseQuote">
    <w:name w:val="Intense Quote"/>
    <w:basedOn w:val="Normal"/>
    <w:next w:val="Normal"/>
    <w:link w:val="IntenseQuoteChar"/>
    <w:uiPriority w:val="30"/>
    <w:qFormat w:val="1"/>
    <w:rsid w:val="004966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9663A"/>
    <w:rPr>
      <w:i w:val="1"/>
      <w:iCs w:val="1"/>
      <w:color w:val="0f4761" w:themeColor="accent1" w:themeShade="0000BF"/>
    </w:rPr>
  </w:style>
  <w:style w:type="character" w:styleId="IntenseReference">
    <w:name w:val="Intense Reference"/>
    <w:basedOn w:val="DefaultParagraphFont"/>
    <w:uiPriority w:val="32"/>
    <w:qFormat w:val="1"/>
    <w:rsid w:val="0049663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GSGq0e/ilfYhW1DB8pN47OJWA==">CgMxLjA4AHIhMXJZWWdYd2RqRzhEc2NYUHlyOFBrcmlCZlc3clFZVVBy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2026-01-30T19:52:00Z</dcterms:created>
  <dc:creator>Iggy Siegel</dc:creator>
</cp:coreProperties>
</file>