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B2A4A"/>
          <w:sz w:val="34"/>
          <w:szCs w:val="34"/>
        </w:rPr>
        <w:t xml:space="preserve">SOLUTION DESIGN DOCUMENT</w:t>
      </w:r>
    </w:p>
    <w:p>
      <w:pPr>
        <w:spacing w:after="120"/>
        <w:jc w:val="center"/>
      </w:pPr>
      <w:r>
        <w:rPr>
          <w:b/>
          <w:bCs/>
          <w:color w:val="2E5AAC"/>
          <w:sz w:val="44"/>
          <w:szCs w:val="44"/>
        </w:rPr>
        <w:t xml:space="preserve">Partnership Pillar Platform</w:t>
      </w:r>
    </w:p>
    <w:p>
      <w:pPr>
        <w:spacing w:after="1200"/>
        <w:jc w:val="center"/>
      </w:pPr>
      <w:r>
        <w:rPr>
          <w:i/>
          <w:iCs/>
          <w:color w:val="5A6472"/>
          <w:sz w:val="24"/>
          <w:szCs w:val="24"/>
        </w:rPr>
        <w:t xml:space="preserve">Multi-Pillar Digital Ecosystem Programme</w:t>
      </w:r>
    </w:p>
    <w:p>
      <w:pPr>
        <w:spacing w:after="80"/>
        <w:jc w:val="center"/>
      </w:pPr>
      <w:r>
        <w:rPr>
          <w:color w:val="222222"/>
          <w:sz w:val="22"/>
          <w:szCs w:val="22"/>
        </w:rPr>
        <w:t xml:space="preserve">Prepared for: Architecture Review Board &amp; Head of IT</w:t>
      </w:r>
    </w:p>
    <w:p>
      <w:pPr>
        <w:spacing w:after="80"/>
        <w:jc w:val="center"/>
      </w:pPr>
      <w:r>
        <w:rPr>
          <w:color w:val="222222"/>
          <w:sz w:val="22"/>
          <w:szCs w:val="22"/>
        </w:rPr>
        <w:t xml:space="preserve">Prepared by: IT Architecture Office</w:t>
      </w:r>
    </w:p>
    <w:p>
      <w:pPr>
        <w:spacing w:after="80"/>
        <w:jc w:val="center"/>
      </w:pPr>
      <w:r>
        <w:rPr>
          <w:color w:val="222222"/>
          <w:sz w:val="22"/>
          <w:szCs w:val="22"/>
        </w:rPr>
        <w:t xml:space="preserve">Version 0.1 – Draft for Review</w:t>
      </w:r>
    </w:p>
    <w:p>
      <w:pPr>
        <w:spacing w:after="80"/>
        <w:jc w:val="center"/>
      </w:pPr>
      <w:r>
        <w:rPr>
          <w:color w:val="222222"/>
          <w:sz w:val="22"/>
          <w:szCs w:val="22"/>
        </w:rPr>
        <w:t xml:space="preserve">August 2026</w:t>
      </w:r>
    </w:p>
    <w:p>
      <w:r>
        <w:br w:type="page"/>
      </w:r>
    </w:p>
    <w:p>
      <w:pPr>
        <w:pStyle w:val="Heading1"/>
        <w:spacing w:after="200" w:before="400"/>
      </w:pPr>
      <w:r>
        <w:t xml:space="preserve">Document Control</w:t>
      </w:r>
    </w:p>
    <w:p>
      <w:pPr>
        <w:pStyle w:val="Heading2"/>
        <w:spacing w:after="150" w:before="300"/>
      </w:pPr>
      <w:r>
        <w:t xml:space="preserve">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shd w:fill="1B2A4A" w:val="clear"/>
            <w:tcMar>
              <w:top w:type="dxa" w:w="80"/>
              <w:left w:type="dxa" w:w="100"/>
              <w:bottom w:type="dxa" w:w="80"/>
              <w:right w:type="dxa" w:w="100"/>
            </w:tcMar>
            <w:vAlign w:val="center"/>
          </w:tcPr>
          <w:p>
            <w:r>
              <w:rPr>
                <w:b/>
                <w:bCs/>
                <w:color w:val="FFFFFF"/>
                <w:sz w:val="19"/>
                <w:szCs w:val="19"/>
              </w:rPr>
              <w:t xml:space="preserve">Version</w:t>
            </w:r>
          </w:p>
        </w:tc>
        <w:tc>
          <w:tcPr>
            <w:tcW w:type="pct" w:w="15%"/>
            <w:shd w:fill="1B2A4A" w:val="clear"/>
            <w:tcMar>
              <w:top w:type="dxa" w:w="80"/>
              <w:left w:type="dxa" w:w="100"/>
              <w:bottom w:type="dxa" w:w="80"/>
              <w:right w:type="dxa" w:w="100"/>
            </w:tcMar>
            <w:vAlign w:val="center"/>
          </w:tcPr>
          <w:p>
            <w:r>
              <w:rPr>
                <w:b/>
                <w:bCs/>
                <w:color w:val="FFFFFF"/>
                <w:sz w:val="19"/>
                <w:szCs w:val="19"/>
              </w:rPr>
              <w:t xml:space="preserve">Date</w:t>
            </w:r>
          </w:p>
        </w:tc>
        <w:tc>
          <w:tcPr>
            <w:tcW w:type="pct" w:w="33%"/>
            <w:shd w:fill="1B2A4A" w:val="clear"/>
            <w:tcMar>
              <w:top w:type="dxa" w:w="80"/>
              <w:left w:type="dxa" w:w="100"/>
              <w:bottom w:type="dxa" w:w="80"/>
              <w:right w:type="dxa" w:w="100"/>
            </w:tcMar>
            <w:vAlign w:val="center"/>
          </w:tcPr>
          <w:p>
            <w:r>
              <w:rPr>
                <w:b/>
                <w:bCs/>
                <w:color w:val="FFFFFF"/>
                <w:sz w:val="19"/>
                <w:szCs w:val="19"/>
              </w:rPr>
              <w:t xml:space="preserve">Author</w:t>
            </w:r>
          </w:p>
        </w:tc>
        <w:tc>
          <w:tcPr>
            <w:tcW w:type="pct" w:w="40%"/>
            <w:shd w:fill="1B2A4A" w:val="clear"/>
            <w:tcMar>
              <w:top w:type="dxa" w:w="80"/>
              <w:left w:type="dxa" w:w="100"/>
              <w:bottom w:type="dxa" w:w="80"/>
              <w:right w:type="dxa" w:w="100"/>
            </w:tcMar>
            <w:vAlign w:val="center"/>
          </w:tcPr>
          <w:p>
            <w:r>
              <w:rPr>
                <w:b/>
                <w:bCs/>
                <w:color w:val="FFFFFF"/>
                <w:sz w:val="19"/>
                <w:szCs w:val="19"/>
              </w:rPr>
              <w:t xml:space="preserve">Description</w:t>
            </w:r>
          </w:p>
        </w:tc>
      </w:tr>
      <w:tr>
        <w:tc>
          <w:tcPr>
            <w:tcW w:type="pct" w:w="12%"/>
            <w:tcMar>
              <w:top w:type="dxa" w:w="80"/>
              <w:left w:type="dxa" w:w="100"/>
              <w:bottom w:type="dxa" w:w="80"/>
              <w:right w:type="dxa" w:w="100"/>
            </w:tcMar>
            <w:vAlign w:val="center"/>
          </w:tcPr>
          <w:p>
            <w:pPr>
              <w:spacing w:after="40"/>
            </w:pPr>
            <w:r>
              <w:rPr>
                <w:b w:val="false"/>
                <w:bCs w:val="false"/>
                <w:color w:val="222222"/>
                <w:sz w:val="19"/>
                <w:szCs w:val="19"/>
              </w:rPr>
              <w:t xml:space="preserve">0.1</w:t>
            </w:r>
          </w:p>
        </w:tc>
        <w:tc>
          <w:tcPr>
            <w:tcW w:type="pct" w:w="15%"/>
            <w:tcMar>
              <w:top w:type="dxa" w:w="80"/>
              <w:left w:type="dxa" w:w="100"/>
              <w:bottom w:type="dxa" w:w="80"/>
              <w:right w:type="dxa" w:w="100"/>
            </w:tcMar>
            <w:vAlign w:val="center"/>
          </w:tcPr>
          <w:p>
            <w:pPr>
              <w:spacing w:after="40"/>
            </w:pPr>
            <w:r>
              <w:rPr>
                <w:b w:val="false"/>
                <w:bCs w:val="false"/>
                <w:color w:val="222222"/>
                <w:sz w:val="19"/>
                <w:szCs w:val="19"/>
              </w:rPr>
              <w:t xml:space="preserve">Aug 2026</w:t>
            </w:r>
          </w:p>
        </w:tc>
        <w:tc>
          <w:tcPr>
            <w:tcW w:type="pct" w:w="33%"/>
            <w:tcMar>
              <w:top w:type="dxa" w:w="80"/>
              <w:left w:type="dxa" w:w="100"/>
              <w:bottom w:type="dxa" w:w="80"/>
              <w:right w:type="dxa" w:w="100"/>
            </w:tcMar>
            <w:vAlign w:val="center"/>
          </w:tcPr>
          <w:p>
            <w:pPr>
              <w:spacing w:after="40"/>
            </w:pPr>
            <w:r>
              <w:rPr>
                <w:b w:val="false"/>
                <w:bCs w:val="false"/>
                <w:color w:val="222222"/>
                <w:sz w:val="19"/>
                <w:szCs w:val="19"/>
              </w:rPr>
              <w:t xml:space="preserve">IT Architecture Office</w:t>
            </w:r>
          </w:p>
        </w:tc>
        <w:tc>
          <w:tcPr>
            <w:tcW w:type="pct" w:w="40%"/>
            <w:tcMar>
              <w:top w:type="dxa" w:w="80"/>
              <w:left w:type="dxa" w:w="100"/>
              <w:bottom w:type="dxa" w:w="80"/>
              <w:right w:type="dxa" w:w="100"/>
            </w:tcMar>
            <w:vAlign w:val="center"/>
          </w:tcPr>
          <w:p>
            <w:pPr>
              <w:spacing w:after="40"/>
            </w:pPr>
            <w:r>
              <w:rPr>
                <w:b w:val="false"/>
                <w:bCs w:val="false"/>
                <w:color w:val="222222"/>
                <w:sz w:val="19"/>
                <w:szCs w:val="19"/>
              </w:rPr>
              <w:t xml:space="preserve">Initial draft for stakeholder review</w:t>
            </w:r>
          </w:p>
        </w:tc>
      </w:tr>
    </w:tbl>
    <w:p>
      <w:pPr>
        <w:spacing w:after="120"/>
      </w:pPr>
    </w:p>
    <w:p>
      <w:pPr>
        <w:pStyle w:val="Heading2"/>
        <w:spacing w:after="150" w:before="300"/>
      </w:pPr>
      <w:r>
        <w:t xml:space="preserve">Distribution /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1B2A4A" w:val="clear"/>
            <w:tcMar>
              <w:top w:type="dxa" w:w="80"/>
              <w:left w:type="dxa" w:w="100"/>
              <w:bottom w:type="dxa" w:w="80"/>
              <w:right w:type="dxa" w:w="100"/>
            </w:tcMar>
            <w:vAlign w:val="center"/>
          </w:tcPr>
          <w:p>
            <w:r>
              <w:rPr>
                <w:b/>
                <w:bCs/>
                <w:color w:val="FFFFFF"/>
                <w:sz w:val="19"/>
                <w:szCs w:val="19"/>
              </w:rPr>
              <w:t xml:space="preserve">Name / Role</w:t>
            </w:r>
          </w:p>
        </w:tc>
        <w:tc>
          <w:tcPr>
            <w:tcW w:type="pct" w:w="35%"/>
            <w:shd w:fill="1B2A4A" w:val="clear"/>
            <w:tcMar>
              <w:top w:type="dxa" w:w="80"/>
              <w:left w:type="dxa" w:w="100"/>
              <w:bottom w:type="dxa" w:w="80"/>
              <w:right w:type="dxa" w:w="100"/>
            </w:tcMar>
            <w:vAlign w:val="center"/>
          </w:tcPr>
          <w:p>
            <w:r>
              <w:rPr>
                <w:b/>
                <w:bCs/>
                <w:color w:val="FFFFFF"/>
                <w:sz w:val="19"/>
                <w:szCs w:val="19"/>
              </w:rPr>
              <w:t xml:space="preserve">Responsibility</w:t>
            </w:r>
          </w:p>
        </w:tc>
        <w:tc>
          <w:tcPr>
            <w:tcW w:type="pct" w:w="25%"/>
            <w:shd w:fill="1B2A4A" w:val="clear"/>
            <w:tcMar>
              <w:top w:type="dxa" w:w="80"/>
              <w:left w:type="dxa" w:w="100"/>
              <w:bottom w:type="dxa" w:w="80"/>
              <w:right w:type="dxa" w:w="100"/>
            </w:tcMar>
            <w:vAlign w:val="center"/>
          </w:tcPr>
          <w:p>
            <w:r>
              <w:rPr>
                <w:b/>
                <w:bCs/>
                <w:color w:val="FFFFFF"/>
                <w:sz w:val="19"/>
                <w:szCs w:val="19"/>
              </w:rPr>
              <w:t xml:space="preserve">Approval Status</w:t>
            </w:r>
          </w:p>
        </w:tc>
      </w:tr>
      <w:tr>
        <w:tc>
          <w:tcPr>
            <w:tcW w:type="pct" w:w="40%"/>
            <w:tcMar>
              <w:top w:type="dxa" w:w="80"/>
              <w:left w:type="dxa" w:w="100"/>
              <w:bottom w:type="dxa" w:w="80"/>
              <w:right w:type="dxa" w:w="100"/>
            </w:tcMar>
            <w:vAlign w:val="center"/>
          </w:tcPr>
          <w:p>
            <w:pPr>
              <w:spacing w:after="40"/>
            </w:pPr>
            <w:r>
              <w:rPr>
                <w:b w:val="false"/>
                <w:bCs w:val="false"/>
                <w:color w:val="222222"/>
                <w:sz w:val="19"/>
                <w:szCs w:val="19"/>
              </w:rPr>
              <w:t xml:space="preserve">Architecture Review Board</w:t>
            </w:r>
          </w:p>
        </w:tc>
        <w:tc>
          <w:tcPr>
            <w:tcW w:type="pct" w:w="35%"/>
            <w:tcMar>
              <w:top w:type="dxa" w:w="80"/>
              <w:left w:type="dxa" w:w="100"/>
              <w:bottom w:type="dxa" w:w="80"/>
              <w:right w:type="dxa" w:w="100"/>
            </w:tcMar>
            <w:vAlign w:val="center"/>
          </w:tcPr>
          <w:p>
            <w:pPr>
              <w:spacing w:after="40"/>
            </w:pPr>
            <w:r>
              <w:rPr>
                <w:b w:val="false"/>
                <w:bCs w:val="false"/>
                <w:color w:val="222222"/>
                <w:sz w:val="19"/>
                <w:szCs w:val="19"/>
              </w:rPr>
              <w:t xml:space="preserve">Design review &amp; sign-off</w:t>
            </w:r>
          </w:p>
        </w:tc>
        <w:tc>
          <w:tcPr>
            <w:tcW w:type="pct" w:w="25%"/>
            <w:tcMar>
              <w:top w:type="dxa" w:w="80"/>
              <w:left w:type="dxa" w:w="100"/>
              <w:bottom w:type="dxa" w:w="80"/>
              <w:right w:type="dxa" w:w="100"/>
            </w:tcMar>
            <w:vAlign w:val="center"/>
          </w:tcPr>
          <w:p>
            <w:pPr>
              <w:spacing w:after="40"/>
            </w:pPr>
            <w:r>
              <w:rPr>
                <w:b w:val="false"/>
                <w:bCs w:val="false"/>
                <w:color w:val="222222"/>
                <w:sz w:val="19"/>
                <w:szCs w:val="19"/>
              </w:rPr>
              <w:t xml:space="preserve">Pending</w:t>
            </w:r>
          </w:p>
        </w:tc>
      </w:tr>
      <w:tr>
        <w:tc>
          <w:tcPr>
            <w:tcW w:type="pct" w:w="4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Head of IT</w:t>
            </w:r>
          </w:p>
        </w:tc>
        <w:tc>
          <w:tcPr>
            <w:tcW w:type="pct" w:w="3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Technical governance</w:t>
            </w:r>
          </w:p>
        </w:tc>
        <w:tc>
          <w:tcPr>
            <w:tcW w:type="pct" w:w="2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Pending</w:t>
            </w:r>
          </w:p>
        </w:tc>
      </w:tr>
      <w:tr>
        <w:tc>
          <w:tcPr>
            <w:tcW w:type="pct" w:w="40%"/>
            <w:tcMar>
              <w:top w:type="dxa" w:w="80"/>
              <w:left w:type="dxa" w:w="100"/>
              <w:bottom w:type="dxa" w:w="80"/>
              <w:right w:type="dxa" w:w="100"/>
            </w:tcMar>
            <w:vAlign w:val="center"/>
          </w:tcPr>
          <w:p>
            <w:pPr>
              <w:spacing w:after="40"/>
            </w:pPr>
            <w:r>
              <w:rPr>
                <w:b w:val="false"/>
                <w:bCs w:val="false"/>
                <w:color w:val="222222"/>
                <w:sz w:val="19"/>
                <w:szCs w:val="19"/>
              </w:rPr>
              <w:t xml:space="preserve">Executive Sponsor – Partnership Pillar</w:t>
            </w:r>
          </w:p>
        </w:tc>
        <w:tc>
          <w:tcPr>
            <w:tcW w:type="pct" w:w="35%"/>
            <w:tcMar>
              <w:top w:type="dxa" w:w="80"/>
              <w:left w:type="dxa" w:w="100"/>
              <w:bottom w:type="dxa" w:w="80"/>
              <w:right w:type="dxa" w:w="100"/>
            </w:tcMar>
            <w:vAlign w:val="center"/>
          </w:tcPr>
          <w:p>
            <w:pPr>
              <w:spacing w:after="40"/>
            </w:pPr>
            <w:r>
              <w:rPr>
                <w:b w:val="false"/>
                <w:bCs w:val="false"/>
                <w:color w:val="222222"/>
                <w:sz w:val="19"/>
                <w:szCs w:val="19"/>
              </w:rPr>
              <w:t xml:space="preserve">Business owner</w:t>
            </w:r>
          </w:p>
        </w:tc>
        <w:tc>
          <w:tcPr>
            <w:tcW w:type="pct" w:w="25%"/>
            <w:tcMar>
              <w:top w:type="dxa" w:w="80"/>
              <w:left w:type="dxa" w:w="100"/>
              <w:bottom w:type="dxa" w:w="80"/>
              <w:right w:type="dxa" w:w="100"/>
            </w:tcMar>
            <w:vAlign w:val="center"/>
          </w:tcPr>
          <w:p>
            <w:pPr>
              <w:spacing w:after="40"/>
            </w:pPr>
            <w:r>
              <w:rPr>
                <w:b w:val="false"/>
                <w:bCs w:val="false"/>
                <w:color w:val="222222"/>
                <w:sz w:val="19"/>
                <w:szCs w:val="19"/>
              </w:rPr>
              <w:t xml:space="preserve">Pending</w:t>
            </w:r>
          </w:p>
        </w:tc>
      </w:tr>
    </w:tbl>
    <w:p>
      <w:pPr>
        <w:spacing w:after="120"/>
      </w:pPr>
    </w:p>
    <w:p>
      <w:pPr>
        <w:pStyle w:val="Heading2"/>
        <w:spacing w:after="150" w:before="300"/>
      </w:pPr>
      <w:r>
        <w:t xml:space="preserve">Related Documents</w:t>
      </w:r>
    </w:p>
    <w:p>
      <w:pPr>
        <w:pStyle w:val="ListParagraph"/>
        <w:numPr>
          <w:ilvl w:val="0"/>
          <w:numId w:val="1"/>
        </w:numPr>
        <w:spacing w:after="90" w:line="264"/>
      </w:pPr>
      <w:r>
        <w:rPr>
          <w:color w:val="222222"/>
          <w:sz w:val="21"/>
          <w:szCs w:val="21"/>
        </w:rPr>
        <w:t xml:space="preserve">Business Requirements Document – Partnership Pillar Platform (v0.1, approved baseline for this design)</w:t>
      </w:r>
    </w:p>
    <w:p>
      <w:pPr>
        <w:pStyle w:val="ListParagraph"/>
        <w:numPr>
          <w:ilvl w:val="0"/>
          <w:numId w:val="1"/>
        </w:numPr>
        <w:spacing w:after="90" w:line="264"/>
      </w:pPr>
      <w:r>
        <w:rPr>
          <w:color w:val="222222"/>
          <w:sz w:val="21"/>
          <w:szCs w:val="21"/>
        </w:rPr>
        <w:t xml:space="preserve">Technical Design Document – Partnership Pillar Platform (companion document, detailed technical architecture, network design and volumetrics)</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w:t>
      </w:r>
    </w:p>
    <w:p>
      <w:pPr>
        <w:pStyle w:val="Heading2"/>
        <w:spacing w:after="150" w:before="300"/>
      </w:pPr>
      <w:r>
        <w:t xml:space="preserve">1.1 Purpose</w:t>
      </w:r>
    </w:p>
    <w:p>
      <w:pPr>
        <w:spacing w:after="160" w:line="276"/>
      </w:pPr>
      <w:r>
        <w:rPr>
          <w:color w:val="222222"/>
          <w:sz w:val="21"/>
          <w:szCs w:val="21"/>
        </w:rPr>
        <w:t xml:space="preserve">This Solution Design Document (SDD) translates the approved Business Requirements Document (BRD) for the Partnership Pillar Platform into a logical solution design: the application architecture, key workflows, data model overview, integration approach, delivery methodology, team/skillset plan and timeline needed to deliver the MVP within 6 months.</w:t>
      </w:r>
    </w:p>
    <w:p>
      <w:pPr>
        <w:pStyle w:val="Heading2"/>
        <w:spacing w:after="150" w:before="300"/>
      </w:pPr>
      <w:r>
        <w:t xml:space="preserve">1.2 Scope &amp; Relationship to Other Documents</w:t>
      </w:r>
    </w:p>
    <w:p>
      <w:pPr>
        <w:spacing w:after="160" w:line="276"/>
      </w:pPr>
      <w:r>
        <w:rPr>
          <w:color w:val="222222"/>
          <w:sz w:val="21"/>
          <w:szCs w:val="21"/>
        </w:rPr>
        <w:t xml:space="preserve">This document assumes the business context, actors, domain model, commercial model and functional requirements defined in the BRD (v0.1) as its baseline and does not repeat them in full. Detailed technical architecture – AWS component selection, network/VPC design, security architecture, volumetrics and infrastructure implementation plan – is covered in the companion Technical Design Document (TDD).</w:t>
      </w:r>
    </w:p>
    <w:p>
      <w:pPr>
        <w:pStyle w:val="Heading2"/>
        <w:spacing w:after="150" w:before="300"/>
      </w:pPr>
      <w:r>
        <w:t xml:space="preserve">1.3 Audience</w:t>
      </w:r>
    </w:p>
    <w:p>
      <w:pPr>
        <w:spacing w:after="160" w:line="276"/>
      </w:pPr>
      <w:r>
        <w:rPr>
          <w:color w:val="222222"/>
          <w:sz w:val="21"/>
          <w:szCs w:val="21"/>
        </w:rPr>
        <w:t xml:space="preserve">This document is intended for the Architecture Review Board and Head of IT to review and approve the proposed solution approach before detailed technical design and build commence.</w:t>
      </w:r>
    </w:p>
    <w:p>
      <w:pPr>
        <w:pStyle w:val="Heading1"/>
        <w:spacing w:after="200" w:before="400"/>
      </w:pPr>
      <w:r>
        <w:t xml:space="preserve">2. Solution Overview</w:t>
      </w:r>
    </w:p>
    <w:p>
      <w:pPr>
        <w:pStyle w:val="Heading2"/>
        <w:spacing w:after="150" w:before="300"/>
      </w:pPr>
      <w:r>
        <w:t xml:space="preserve">2.1 Recap – Domain Model</w:t>
      </w:r>
    </w:p>
    <w:p>
      <w:pPr>
        <w:spacing w:after="160" w:line="276"/>
      </w:pPr>
      <w:r>
        <w:rPr>
          <w:color w:val="222222"/>
          <w:sz w:val="21"/>
          <w:szCs w:val="21"/>
        </w:rPr>
        <w:t xml:space="preserve">As defined in the BRD: Vendors offer Offerings (insurance or non-insurance, generic flow); Offerings are compiled into Eco-Systems; Eco-Systems are packaged into Bundles (fixed composition once offered); Partners subscribe to whole Bundles; Consumers access Bundle offerings through a Partner, enrolled primarily via the Store-Front pillar. A three-way profit share (Vendor / Company / Partner) is computed periodically from captured transactions.</w:t>
      </w:r>
    </w:p>
    <w:p>
      <w:pPr>
        <w:pStyle w:val="Heading2"/>
        <w:spacing w:after="150" w:before="300"/>
      </w:pPr>
      <w:r>
        <w:t xml:space="preserve">2.2 Solution Design Principles</w:t>
      </w:r>
    </w:p>
    <w:p>
      <w:pPr>
        <w:pStyle w:val="ListParagraph"/>
        <w:numPr>
          <w:ilvl w:val="0"/>
          <w:numId w:val="1"/>
        </w:numPr>
        <w:spacing w:after="90" w:line="264"/>
      </w:pPr>
      <w:r>
        <w:rPr>
          <w:color w:val="222222"/>
          <w:sz w:val="21"/>
          <w:szCs w:val="21"/>
        </w:rPr>
        <w:t xml:space="preserve">Contract-first integration – define API/event contracts to the other three pillars comprehensively now, even though live calls are deferred, so later integration requires minimal rework.</w:t>
      </w:r>
    </w:p>
    <w:p>
      <w:pPr>
        <w:pStyle w:val="ListParagraph"/>
        <w:numPr>
          <w:ilvl w:val="0"/>
          <w:numId w:val="1"/>
        </w:numPr>
        <w:spacing w:after="90" w:line="264"/>
      </w:pPr>
      <w:r>
        <w:rPr>
          <w:color w:val="222222"/>
          <w:sz w:val="21"/>
          <w:szCs w:val="21"/>
        </w:rPr>
        <w:t xml:space="preserve">Domain-oriented modularity – structure the solution around the bounded contexts identified in the BRD (Vendor/Offering, Eco-System/Bundle, Partner/Subscription, Transaction/Profit-Share) so that services can be split out independently as the platform scales.</w:t>
      </w:r>
    </w:p>
    <w:p>
      <w:pPr>
        <w:pStyle w:val="ListParagraph"/>
        <w:numPr>
          <w:ilvl w:val="0"/>
          <w:numId w:val="1"/>
        </w:numPr>
        <w:spacing w:after="90" w:line="264"/>
      </w:pPr>
      <w:r>
        <w:rPr>
          <w:color w:val="222222"/>
          <w:sz w:val="21"/>
          <w:szCs w:val="21"/>
        </w:rPr>
        <w:t xml:space="preserve">Cost-effective MVP, evolutionary architecture – favour managed AWS services and a lean footprint for MVP; document the scale-up path rather than over-building upfront (see TDD Section “Scalability &amp; Future Evolution”).</w:t>
      </w:r>
    </w:p>
    <w:p>
      <w:pPr>
        <w:pStyle w:val="ListParagraph"/>
        <w:numPr>
          <w:ilvl w:val="0"/>
          <w:numId w:val="1"/>
        </w:numPr>
        <w:spacing w:after="90" w:line="264"/>
      </w:pPr>
      <w:r>
        <w:rPr>
          <w:color w:val="222222"/>
          <w:sz w:val="21"/>
          <w:szCs w:val="21"/>
        </w:rPr>
        <w:t xml:space="preserve">Security and compliance by design – role-based access control for Admin/Sales/Partner personas, data residency in Malaysia, and auditability of transactions and profit-share calculations from day one.</w:t>
      </w:r>
    </w:p>
    <w:p>
      <w:pPr>
        <w:pStyle w:val="ListParagraph"/>
        <w:numPr>
          <w:ilvl w:val="0"/>
          <w:numId w:val="1"/>
        </w:numPr>
        <w:spacing w:after="90" w:line="264"/>
      </w:pPr>
      <w:r>
        <w:rPr>
          <w:color w:val="222222"/>
          <w:sz w:val="21"/>
          <w:szCs w:val="21"/>
        </w:rPr>
        <w:t xml:space="preserve">Configuration over code – eco-system, bundle and profit-share rule configuration is data-driven so business/product teams can compose new go-to-market offerings without engineering changes.</w:t>
      </w:r>
    </w:p>
    <w:p>
      <w:r>
        <w:br w:type="page"/>
      </w:r>
    </w:p>
    <w:p>
      <w:pPr>
        <w:pStyle w:val="Heading1"/>
        <w:spacing w:after="200" w:before="400"/>
      </w:pPr>
      <w:r>
        <w:t xml:space="preserve">3. Logical Solution Architecture</w:t>
      </w:r>
    </w:p>
    <w:p>
      <w:pPr>
        <w:spacing w:after="200" w:before="200"/>
        <w:jc w:val="center"/>
      </w:pPr>
      <w:r>
        <w:drawing>
          <wp:inline distT="0" distB="0" distL="0" distR="0">
            <wp:extent cx="5334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95700"/>
                    </a:xfrm>
                    <a:prstGeom prst="rect">
                      <a:avLst/>
                    </a:prstGeom>
                  </pic:spPr>
                </pic:pic>
              </a:graphicData>
            </a:graphic>
          </wp:inline>
        </w:drawing>
      </w:r>
    </w:p>
    <w:p>
      <w:pPr>
        <w:spacing w:after="260"/>
        <w:jc w:val="center"/>
      </w:pPr>
      <w:r>
        <w:rPr>
          <w:i/>
          <w:iCs/>
          <w:color w:val="5A6472"/>
          <w:sz w:val="18"/>
          <w:szCs w:val="18"/>
        </w:rPr>
        <w:t xml:space="preserve">Figure 1 – Partnership Pillar logical solution architecture: channel layer, API/BFF layer, core domain modules, integration &amp; event layer, and data store.</w:t>
      </w:r>
    </w:p>
    <w:p>
      <w:pPr>
        <w:pStyle w:val="Heading2"/>
        <w:spacing w:after="150" w:before="300"/>
      </w:pPr>
      <w:r>
        <w:t xml:space="preserve">3.1 Component Descriptions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2A4A" w:val="clear"/>
            <w:tcMar>
              <w:top w:type="dxa" w:w="80"/>
              <w:left w:type="dxa" w:w="100"/>
              <w:bottom w:type="dxa" w:w="80"/>
              <w:right w:type="dxa" w:w="100"/>
            </w:tcMar>
            <w:vAlign w:val="center"/>
          </w:tcPr>
          <w:p>
            <w:r>
              <w:rPr>
                <w:b/>
                <w:bCs/>
                <w:color w:val="FFFFFF"/>
                <w:sz w:val="19"/>
                <w:szCs w:val="19"/>
              </w:rPr>
              <w:t xml:space="preserve">Component</w:t>
            </w:r>
          </w:p>
        </w:tc>
        <w:tc>
          <w:tcPr>
            <w:tcW w:type="pct" w:w="70%"/>
            <w:shd w:fill="1B2A4A" w:val="clear"/>
            <w:tcMar>
              <w:top w:type="dxa" w:w="80"/>
              <w:left w:type="dxa" w:w="100"/>
              <w:bottom w:type="dxa" w:w="80"/>
              <w:right w:type="dxa" w:w="100"/>
            </w:tcMar>
            <w:vAlign w:val="center"/>
          </w:tcPr>
          <w:p>
            <w:r>
              <w:rPr>
                <w:b/>
                <w:bCs/>
                <w:color w:val="FFFFFF"/>
                <w:sz w:val="19"/>
                <w:szCs w:val="19"/>
              </w:rPr>
              <w:t xml:space="preserve">Responsibility</w:t>
            </w:r>
          </w:p>
        </w:tc>
      </w:tr>
      <w:tr>
        <w:tc>
          <w:tcPr>
            <w:tcW w:type="pct" w:w="30%"/>
            <w:tcMar>
              <w:top w:type="dxa" w:w="80"/>
              <w:left w:type="dxa" w:w="100"/>
              <w:bottom w:type="dxa" w:w="80"/>
              <w:right w:type="dxa" w:w="100"/>
            </w:tcMar>
            <w:vAlign w:val="center"/>
          </w:tcPr>
          <w:p>
            <w:pPr>
              <w:spacing w:after="40"/>
            </w:pPr>
            <w:r>
              <w:rPr>
                <w:b w:val="false"/>
                <w:bCs w:val="false"/>
                <w:color w:val="222222"/>
                <w:sz w:val="19"/>
                <w:szCs w:val="19"/>
              </w:rPr>
              <w:t xml:space="preserve">Partner Portal (Web)</w:t>
            </w:r>
          </w:p>
        </w:tc>
        <w:tc>
          <w:tcPr>
            <w:tcW w:type="pct" w:w="70%"/>
            <w:tcMar>
              <w:top w:type="dxa" w:w="80"/>
              <w:left w:type="dxa" w:w="100"/>
              <w:bottom w:type="dxa" w:w="80"/>
              <w:right w:type="dxa" w:w="100"/>
            </w:tcMar>
            <w:vAlign w:val="center"/>
          </w:tcPr>
          <w:p>
            <w:pPr>
              <w:spacing w:after="40"/>
            </w:pPr>
            <w:r>
              <w:rPr>
                <w:b w:val="false"/>
                <w:bCs w:val="false"/>
                <w:color w:val="222222"/>
                <w:sz w:val="19"/>
                <w:szCs w:val="19"/>
              </w:rPr>
              <w:t xml:space="preserve">Self-service channel for partners to view subscribed bundles, enrolled consumer summaries, and profit-share/transaction reports; handles bundle re-consent.</w:t>
            </w:r>
          </w:p>
        </w:tc>
      </w:tr>
      <w:tr>
        <w:tc>
          <w:tcPr>
            <w:tcW w:type="pct" w:w="3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Internal Admin &amp; Sales Console (Web)</w:t>
            </w:r>
          </w:p>
        </w:tc>
        <w:tc>
          <w:tcPr>
            <w:tcW w:type="pct" w:w="7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Admin: vendor/eco-system/bundle/partner configuration, profit-share rule setup, report viewing. Sales: read-only vendor and partner sign-up KPI dashboards.</w:t>
            </w:r>
          </w:p>
        </w:tc>
      </w:tr>
      <w:tr>
        <w:tc>
          <w:tcPr>
            <w:tcW w:type="pct" w:w="30%"/>
            <w:tcMar>
              <w:top w:type="dxa" w:w="80"/>
              <w:left w:type="dxa" w:w="100"/>
              <w:bottom w:type="dxa" w:w="80"/>
              <w:right w:type="dxa" w:w="100"/>
            </w:tcMar>
            <w:vAlign w:val="center"/>
          </w:tcPr>
          <w:p>
            <w:pPr>
              <w:spacing w:after="40"/>
            </w:pPr>
            <w:r>
              <w:rPr>
                <w:b w:val="false"/>
                <w:bCs w:val="false"/>
                <w:color w:val="222222"/>
                <w:sz w:val="19"/>
                <w:szCs w:val="19"/>
              </w:rPr>
              <w:t xml:space="preserve">API Gateway / BFF</w:t>
            </w:r>
          </w:p>
        </w:tc>
        <w:tc>
          <w:tcPr>
            <w:tcW w:type="pct" w:w="70%"/>
            <w:tcMar>
              <w:top w:type="dxa" w:w="80"/>
              <w:left w:type="dxa" w:w="100"/>
              <w:bottom w:type="dxa" w:w="80"/>
              <w:right w:type="dxa" w:w="100"/>
            </w:tcMar>
            <w:vAlign w:val="center"/>
          </w:tcPr>
          <w:p>
            <w:pPr>
              <w:spacing w:after="40"/>
            </w:pPr>
            <w:r>
              <w:rPr>
                <w:b w:val="false"/>
                <w:bCs w:val="false"/>
                <w:color w:val="222222"/>
                <w:sz w:val="19"/>
                <w:szCs w:val="19"/>
              </w:rPr>
              <w:t xml:space="preserve">Single entry point for both web channels; authentication/authorization, rate limiting, and request routing to backend modules.</w:t>
            </w:r>
          </w:p>
        </w:tc>
      </w:tr>
      <w:tr>
        <w:tc>
          <w:tcPr>
            <w:tcW w:type="pct" w:w="3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Vendor &amp; Offering Management</w:t>
            </w:r>
          </w:p>
        </w:tc>
        <w:tc>
          <w:tcPr>
            <w:tcW w:type="pct" w:w="7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CRUD for vendors and their offerings; supports offerings existing without eco-system/bundle assignment.</w:t>
            </w:r>
          </w:p>
        </w:tc>
      </w:tr>
      <w:tr>
        <w:tc>
          <w:tcPr>
            <w:tcW w:type="pct" w:w="30%"/>
            <w:tcMar>
              <w:top w:type="dxa" w:w="80"/>
              <w:left w:type="dxa" w:w="100"/>
              <w:bottom w:type="dxa" w:w="80"/>
              <w:right w:type="dxa" w:w="100"/>
            </w:tcMar>
            <w:vAlign w:val="center"/>
          </w:tcPr>
          <w:p>
            <w:pPr>
              <w:spacing w:after="40"/>
            </w:pPr>
            <w:r>
              <w:rPr>
                <w:b w:val="false"/>
                <w:bCs w:val="false"/>
                <w:color w:val="222222"/>
                <w:sz w:val="19"/>
                <w:szCs w:val="19"/>
              </w:rPr>
              <w:t xml:space="preserve">Eco-System &amp; Bundle Management</w:t>
            </w:r>
          </w:p>
        </w:tc>
        <w:tc>
          <w:tcPr>
            <w:tcW w:type="pct" w:w="70%"/>
            <w:tcMar>
              <w:top w:type="dxa" w:w="80"/>
              <w:left w:type="dxa" w:w="100"/>
              <w:bottom w:type="dxa" w:w="80"/>
              <w:right w:type="dxa" w:w="100"/>
            </w:tcMar>
            <w:vAlign w:val="center"/>
          </w:tcPr>
          <w:p>
            <w:pPr>
              <w:spacing w:after="40"/>
            </w:pPr>
            <w:r>
              <w:rPr>
                <w:b w:val="false"/>
                <w:bCs w:val="false"/>
                <w:color w:val="222222"/>
                <w:sz w:val="19"/>
                <w:szCs w:val="19"/>
              </w:rPr>
              <w:t xml:space="preserve">Eco-system creation; bundle composition (mix-and-match of offerings); bundle version locking and re-consent triggering.</w:t>
            </w:r>
          </w:p>
        </w:tc>
      </w:tr>
      <w:tr>
        <w:tc>
          <w:tcPr>
            <w:tcW w:type="pct" w:w="3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Partner &amp; Subscription Management</w:t>
            </w:r>
          </w:p>
        </w:tc>
        <w:tc>
          <w:tcPr>
            <w:tcW w:type="pct" w:w="7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Partner onboarding; whole-bundle subscription; subscription history; re-consent workflow orchestration.</w:t>
            </w:r>
          </w:p>
        </w:tc>
      </w:tr>
      <w:tr>
        <w:tc>
          <w:tcPr>
            <w:tcW w:type="pct" w:w="30%"/>
            <w:tcMar>
              <w:top w:type="dxa" w:w="80"/>
              <w:left w:type="dxa" w:w="100"/>
              <w:bottom w:type="dxa" w:w="80"/>
              <w:right w:type="dxa" w:w="100"/>
            </w:tcMar>
            <w:vAlign w:val="center"/>
          </w:tcPr>
          <w:p>
            <w:pPr>
              <w:spacing w:after="40"/>
            </w:pPr>
            <w:r>
              <w:rPr>
                <w:b w:val="false"/>
                <w:bCs w:val="false"/>
                <w:color w:val="222222"/>
                <w:sz w:val="19"/>
                <w:szCs w:val="19"/>
              </w:rPr>
              <w:t xml:space="preserve">Transaction Capture &amp; Profit-Share Engine</w:t>
            </w:r>
          </w:p>
        </w:tc>
        <w:tc>
          <w:tcPr>
            <w:tcW w:type="pct" w:w="70%"/>
            <w:tcMar>
              <w:top w:type="dxa" w:w="80"/>
              <w:left w:type="dxa" w:w="100"/>
              <w:bottom w:type="dxa" w:w="80"/>
              <w:right w:type="dxa" w:w="100"/>
            </w:tcMar>
            <w:vAlign w:val="center"/>
          </w:tcPr>
          <w:p>
            <w:pPr>
              <w:spacing w:after="40"/>
            </w:pPr>
            <w:r>
              <w:rPr>
                <w:b w:val="false"/>
                <w:bCs w:val="false"/>
                <w:color w:val="222222"/>
                <w:sz w:val="19"/>
                <w:szCs w:val="19"/>
              </w:rPr>
              <w:t xml:space="preserve">Captures offering redemption/purchase transactions (incl. insurance policy-level data); periodic batch calculation of profit-share splits.</w:t>
            </w:r>
          </w:p>
        </w:tc>
      </w:tr>
      <w:tr>
        <w:tc>
          <w:tcPr>
            <w:tcW w:type="pct" w:w="3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Consumer Enrolment API (stub)</w:t>
            </w:r>
          </w:p>
        </w:tc>
        <w:tc>
          <w:tcPr>
            <w:tcW w:type="pct" w:w="7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Contract-defined API for the Store-Front pillar to register consumers against a partner's bundle and query entitlements.</w:t>
            </w:r>
          </w:p>
        </w:tc>
      </w:tr>
      <w:tr>
        <w:tc>
          <w:tcPr>
            <w:tcW w:type="pct" w:w="30%"/>
            <w:tcMar>
              <w:top w:type="dxa" w:w="80"/>
              <w:left w:type="dxa" w:w="100"/>
              <w:bottom w:type="dxa" w:w="80"/>
              <w:right w:type="dxa" w:w="100"/>
            </w:tcMar>
            <w:vAlign w:val="center"/>
          </w:tcPr>
          <w:p>
            <w:pPr>
              <w:spacing w:after="40"/>
            </w:pPr>
            <w:r>
              <w:rPr>
                <w:b w:val="false"/>
                <w:bCs w:val="false"/>
                <w:color w:val="222222"/>
                <w:sz w:val="19"/>
                <w:szCs w:val="19"/>
              </w:rPr>
              <w:t xml:space="preserve">Reporting &amp; Export Service</w:t>
            </w:r>
          </w:p>
        </w:tc>
        <w:tc>
          <w:tcPr>
            <w:tcW w:type="pct" w:w="70%"/>
            <w:tcMar>
              <w:top w:type="dxa" w:w="80"/>
              <w:left w:type="dxa" w:w="100"/>
              <w:bottom w:type="dxa" w:w="80"/>
              <w:right w:type="dxa" w:w="100"/>
            </w:tcMar>
            <w:vAlign w:val="center"/>
          </w:tcPr>
          <w:p>
            <w:pPr>
              <w:spacing w:after="40"/>
            </w:pPr>
            <w:r>
              <w:rPr>
                <w:b w:val="false"/>
                <w:bCs w:val="false"/>
                <w:color w:val="222222"/>
                <w:sz w:val="19"/>
                <w:szCs w:val="19"/>
              </w:rPr>
              <w:t xml:space="preserve">Generates and exports periodic transaction listing and profit-share summary reports (e.g. CSV/PDF) for Admin and Partner consumption.</w:t>
            </w:r>
          </w:p>
        </w:tc>
      </w:tr>
      <w:tr>
        <w:tc>
          <w:tcPr>
            <w:tcW w:type="pct" w:w="3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Integration &amp; Event Layer</w:t>
            </w:r>
          </w:p>
        </w:tc>
        <w:tc>
          <w:tcPr>
            <w:tcW w:type="pct" w:w="7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Hosts outbound/inbound API contracts and domain events (stubs) for the Value-Added Services, Loyalty and Store-Front pillars.</w:t>
            </w:r>
          </w:p>
        </w:tc>
      </w:tr>
      <w:tr>
        <w:tc>
          <w:tcPr>
            <w:tcW w:type="pct" w:w="30%"/>
            <w:tcMar>
              <w:top w:type="dxa" w:w="80"/>
              <w:left w:type="dxa" w:w="100"/>
              <w:bottom w:type="dxa" w:w="80"/>
              <w:right w:type="dxa" w:w="100"/>
            </w:tcMar>
            <w:vAlign w:val="center"/>
          </w:tcPr>
          <w:p>
            <w:pPr>
              <w:spacing w:after="40"/>
            </w:pPr>
            <w:r>
              <w:rPr>
                <w:b w:val="false"/>
                <w:bCs w:val="false"/>
                <w:color w:val="222222"/>
                <w:sz w:val="19"/>
                <w:szCs w:val="19"/>
              </w:rPr>
              <w:t xml:space="preserve">Data Store</w:t>
            </w:r>
          </w:p>
        </w:tc>
        <w:tc>
          <w:tcPr>
            <w:tcW w:type="pct" w:w="70%"/>
            <w:tcMar>
              <w:top w:type="dxa" w:w="80"/>
              <w:left w:type="dxa" w:w="100"/>
              <w:bottom w:type="dxa" w:w="80"/>
              <w:right w:type="dxa" w:w="100"/>
            </w:tcMar>
            <w:vAlign w:val="center"/>
          </w:tcPr>
          <w:p>
            <w:pPr>
              <w:spacing w:after="40"/>
            </w:pPr>
            <w:r>
              <w:rPr>
                <w:b w:val="false"/>
                <w:bCs w:val="false"/>
                <w:color w:val="222222"/>
                <w:sz w:val="19"/>
                <w:szCs w:val="19"/>
              </w:rPr>
              <w:t xml:space="preserve">Persistent storage for core transactional/configuration data plus exported report artefacts.</w:t>
            </w:r>
          </w:p>
        </w:tc>
      </w:tr>
    </w:tbl>
    <w:p>
      <w:pPr>
        <w:pStyle w:val="Heading2"/>
        <w:spacing w:after="150" w:before="300"/>
      </w:pPr>
      <w:r>
        <w:t xml:space="preserve">3.2 Technology Direction (Indicative)</w:t>
      </w:r>
    </w:p>
    <w:p>
      <w:pPr>
        <w:spacing w:after="160" w:line="276"/>
      </w:pPr>
      <w:r>
        <w:rPr>
          <w:color w:val="222222"/>
          <w:sz w:val="21"/>
          <w:szCs w:val="21"/>
        </w:rPr>
        <w:t xml:space="preserve">The following technology direction is proposed to guide detailed technical design in the TDD; final selection, sizing and AWS service mapping are confirmed there:</w:t>
      </w:r>
    </w:p>
    <w:p>
      <w:pPr>
        <w:pStyle w:val="ListParagraph"/>
        <w:numPr>
          <w:ilvl w:val="0"/>
          <w:numId w:val="1"/>
        </w:numPr>
        <w:spacing w:after="90" w:line="264"/>
      </w:pPr>
      <w:r>
        <w:rPr>
          <w:color w:val="222222"/>
          <w:sz w:val="21"/>
          <w:szCs w:val="21"/>
        </w:rPr>
        <w:t xml:space="preserve">Containerized backend services, deployed on a managed container platform for operational simplicity at MVP scale.</w:t>
      </w:r>
    </w:p>
    <w:p>
      <w:pPr>
        <w:pStyle w:val="ListParagraph"/>
        <w:numPr>
          <w:ilvl w:val="0"/>
          <w:numId w:val="1"/>
        </w:numPr>
        <w:spacing w:after="90" w:line="264"/>
      </w:pPr>
      <w:r>
        <w:rPr>
          <w:color w:val="222222"/>
          <w:sz w:val="21"/>
          <w:szCs w:val="21"/>
        </w:rPr>
        <w:t xml:space="preserve">A relational database as the system of record, given the structured, relationship-heavy nature of the Vendor/Eco-System/Bundle/Partner/Transaction model.</w:t>
      </w:r>
    </w:p>
    <w:p>
      <w:pPr>
        <w:pStyle w:val="ListParagraph"/>
        <w:numPr>
          <w:ilvl w:val="0"/>
          <w:numId w:val="1"/>
        </w:numPr>
        <w:spacing w:after="90" w:line="264"/>
      </w:pPr>
      <w:r>
        <w:rPr>
          <w:color w:val="222222"/>
          <w:sz w:val="21"/>
          <w:szCs w:val="21"/>
        </w:rPr>
        <w:t xml:space="preserve">A responsive web front-end for both the Partner Portal and the Internal Admin &amp; Sales Console (two applications or a role-gated single application – confirmed in TDD).</w:t>
      </w:r>
    </w:p>
    <w:p>
      <w:pPr>
        <w:pStyle w:val="ListParagraph"/>
        <w:numPr>
          <w:ilvl w:val="0"/>
          <w:numId w:val="1"/>
        </w:numPr>
        <w:spacing w:after="90" w:line="264"/>
      </w:pPr>
      <w:r>
        <w:rPr>
          <w:color w:val="222222"/>
          <w:sz w:val="21"/>
          <w:szCs w:val="21"/>
        </w:rPr>
        <w:t xml:space="preserve">REST APIs for synchronous interactions; an event-based mechanism for asynchronous domain events and cross-pillar integration stubs.</w:t>
      </w:r>
    </w:p>
    <w:p>
      <w:pPr>
        <w:pStyle w:val="ListParagraph"/>
        <w:numPr>
          <w:ilvl w:val="0"/>
          <w:numId w:val="1"/>
        </w:numPr>
        <w:spacing w:after="90" w:line="264"/>
      </w:pPr>
      <w:r>
        <w:rPr>
          <w:color w:val="222222"/>
          <w:sz w:val="21"/>
          <w:szCs w:val="21"/>
        </w:rPr>
        <w:t xml:space="preserve">Scheduled batch processing for the periodic profit-share calculation job.</w:t>
      </w:r>
    </w:p>
    <w:p>
      <w:r>
        <w:br w:type="page"/>
      </w:r>
    </w:p>
    <w:p>
      <w:pPr>
        <w:pStyle w:val="Heading1"/>
        <w:spacing w:after="200" w:before="400"/>
      </w:pPr>
      <w:r>
        <w:t xml:space="preserve">4. Key Solution Workflows</w:t>
      </w:r>
    </w:p>
    <w:p>
      <w:pPr>
        <w:pStyle w:val="Heading2"/>
        <w:spacing w:after="150" w:before="300"/>
      </w:pPr>
      <w:r>
        <w:t xml:space="preserve">4.1 Vendor &amp; Bundle Configuration</w:t>
      </w:r>
    </w:p>
    <w:p>
      <w:pPr>
        <w:pStyle w:val="ListParagraph"/>
        <w:numPr>
          <w:ilvl w:val="0"/>
          <w:numId w:val="2"/>
        </w:numPr>
        <w:spacing w:after="90" w:line="264"/>
      </w:pPr>
      <w:r>
        <w:rPr>
          <w:color w:val="222222"/>
          <w:sz w:val="21"/>
          <w:szCs w:val="21"/>
        </w:rPr>
        <w:t xml:space="preserve">Admin onboards a vendor and captures its offering(s), tagging each as insurance or non-insurance (informational only).</w:t>
      </w:r>
    </w:p>
    <w:p>
      <w:pPr>
        <w:pStyle w:val="ListParagraph"/>
        <w:numPr>
          <w:ilvl w:val="0"/>
          <w:numId w:val="2"/>
        </w:numPr>
        <w:spacing w:after="90" w:line="264"/>
      </w:pPr>
      <w:r>
        <w:rPr>
          <w:color w:val="222222"/>
          <w:sz w:val="21"/>
          <w:szCs w:val="21"/>
        </w:rPr>
        <w:t xml:space="preserve">Admin creates or selects an eco-system (e.g. “Education”) and assigns the vendor's offerings to it. The eco-system may hold unpackaged offerings indefinitely.</w:t>
      </w:r>
    </w:p>
    <w:p>
      <w:pPr>
        <w:pStyle w:val="ListParagraph"/>
        <w:numPr>
          <w:ilvl w:val="0"/>
          <w:numId w:val="2"/>
        </w:numPr>
        <w:spacing w:after="90" w:line="264"/>
      </w:pPr>
      <w:r>
        <w:rPr>
          <w:color w:val="222222"/>
          <w:sz w:val="21"/>
          <w:szCs w:val="21"/>
        </w:rPr>
        <w:t xml:space="preserve">Admin creates a bundle within the eco-system by selecting a mix-and-match set of offerings from any of its vendors.</w:t>
      </w:r>
    </w:p>
    <w:p>
      <w:pPr>
        <w:pStyle w:val="ListParagraph"/>
        <w:numPr>
          <w:ilvl w:val="0"/>
          <w:numId w:val="2"/>
        </w:numPr>
        <w:spacing w:after="90" w:line="264"/>
      </w:pPr>
      <w:r>
        <w:rPr>
          <w:color w:val="222222"/>
          <w:sz w:val="21"/>
          <w:szCs w:val="21"/>
        </w:rPr>
        <w:t xml:space="preserve">Once the bundle is published/offered, its composition is locked. Any future change to the vendor/offering mix requires Admin to create a new bundle version.</w:t>
      </w:r>
    </w:p>
    <w:p>
      <w:pPr>
        <w:pStyle w:val="Heading2"/>
        <w:spacing w:after="150" w:before="300"/>
      </w:pPr>
      <w:r>
        <w:t xml:space="preserve">4.2 Partner Subscription &amp; Re-consent</w:t>
      </w:r>
    </w:p>
    <w:p>
      <w:pPr>
        <w:pStyle w:val="ListParagraph"/>
        <w:numPr>
          <w:ilvl w:val="0"/>
          <w:numId w:val="2"/>
        </w:numPr>
        <w:spacing w:after="90" w:line="264"/>
      </w:pPr>
      <w:r>
        <w:rPr>
          <w:color w:val="222222"/>
          <w:sz w:val="21"/>
          <w:szCs w:val="21"/>
        </w:rPr>
        <w:t xml:space="preserve">Admin (or Sales-assisted sign-up, recorded by Admin) onboards a partner and captures commercial terms.</w:t>
      </w:r>
    </w:p>
    <w:p>
      <w:pPr>
        <w:pStyle w:val="ListParagraph"/>
        <w:numPr>
          <w:ilvl w:val="0"/>
          <w:numId w:val="2"/>
        </w:numPr>
        <w:spacing w:after="90" w:line="264"/>
      </w:pPr>
      <w:r>
        <w:rPr>
          <w:color w:val="222222"/>
          <w:sz w:val="21"/>
          <w:szCs w:val="21"/>
        </w:rPr>
        <w:t xml:space="preserve">Partner (via Admin, or self-service in the Partner Portal) subscribes to a whole bundle. Partial/offering-level subscription is not permitted.</w:t>
      </w:r>
    </w:p>
    <w:p>
      <w:pPr>
        <w:pStyle w:val="ListParagraph"/>
        <w:numPr>
          <w:ilvl w:val="0"/>
          <w:numId w:val="2"/>
        </w:numPr>
        <w:spacing w:after="90" w:line="264"/>
      </w:pPr>
      <w:r>
        <w:rPr>
          <w:color w:val="222222"/>
          <w:sz w:val="21"/>
          <w:szCs w:val="21"/>
        </w:rPr>
        <w:t xml:space="preserve">If Admin creates a new version of a bundle the partner is subscribed to, the platform flags the partner's subscription as pending re-consent and notifies the partner.</w:t>
      </w:r>
    </w:p>
    <w:p>
      <w:pPr>
        <w:pStyle w:val="ListParagraph"/>
        <w:numPr>
          <w:ilvl w:val="0"/>
          <w:numId w:val="2"/>
        </w:numPr>
        <w:spacing w:after="90" w:line="264"/>
      </w:pPr>
      <w:r>
        <w:rPr>
          <w:color w:val="222222"/>
          <w:sz w:val="21"/>
          <w:szCs w:val="21"/>
        </w:rPr>
        <w:t xml:space="preserve">The partner reviews and re-consents to the new bundle version via the Partner Portal; until re-consent, the partner's consumers continue on the prior (locked) bundle version.</w:t>
      </w:r>
    </w:p>
    <w:p>
      <w:pPr>
        <w:pStyle w:val="Heading2"/>
        <w:spacing w:after="150" w:before="300"/>
      </w:pPr>
      <w:r>
        <w:t xml:space="preserve">4.3 Transaction Capture &amp; Profit-Share (MVP: Periodic, Reporting-Only)</w:t>
      </w:r>
    </w:p>
    <w:p>
      <w:pPr>
        <w:spacing w:after="160" w:line="276"/>
      </w:pPr>
      <w:r>
        <w:rPr>
          <w:color w:val="222222"/>
          <w:sz w:val="21"/>
          <w:szCs w:val="21"/>
        </w:rPr>
        <w:t xml:space="preserve">This workflow follows the profit-share flow defined in the BRD (Figure 2): a transaction is captured against a subscribed bundle's offering (with policy-level data for insurance offerings), a scheduled batch job periodically calculates the profit-share split per the configured rules, and a transaction/profit-share report is exported. No payment execution occurs within the platform in MVP.</w:t>
      </w:r>
    </w:p>
    <w:p>
      <w:pPr>
        <w:pStyle w:val="Heading2"/>
        <w:spacing w:after="150" w:before="300"/>
      </w:pPr>
      <w:r>
        <w:t xml:space="preserve">4.4 Consumer Enrolment (API Contract)</w:t>
      </w:r>
    </w:p>
    <w:p>
      <w:pPr>
        <w:pStyle w:val="ListParagraph"/>
        <w:numPr>
          <w:ilvl w:val="0"/>
          <w:numId w:val="2"/>
        </w:numPr>
        <w:spacing w:after="90" w:line="264"/>
      </w:pPr>
      <w:r>
        <w:rPr>
          <w:color w:val="222222"/>
          <w:sz w:val="21"/>
          <w:szCs w:val="21"/>
        </w:rPr>
        <w:t xml:space="preserve">The Store-Front pillar calls the Consumer Enrolment API to register a consumer against a partner's active bundle subscription.</w:t>
      </w:r>
    </w:p>
    <w:p>
      <w:pPr>
        <w:pStyle w:val="ListParagraph"/>
        <w:numPr>
          <w:ilvl w:val="0"/>
          <w:numId w:val="2"/>
        </w:numPr>
        <w:spacing w:after="90" w:line="264"/>
      </w:pPr>
      <w:r>
        <w:rPr>
          <w:color w:val="222222"/>
          <w:sz w:val="21"/>
          <w:szCs w:val="21"/>
        </w:rPr>
        <w:t xml:space="preserve">The Partnership Platform validates the partner's subscription is active (not pending re-consent / not superseded) before accepting the enrolment.</w:t>
      </w:r>
    </w:p>
    <w:p>
      <w:pPr>
        <w:pStyle w:val="ListParagraph"/>
        <w:numPr>
          <w:ilvl w:val="0"/>
          <w:numId w:val="2"/>
        </w:numPr>
        <w:spacing w:after="90" w:line="264"/>
      </w:pPr>
      <w:r>
        <w:rPr>
          <w:color w:val="222222"/>
          <w:sz w:val="21"/>
          <w:szCs w:val="21"/>
        </w:rPr>
        <w:t xml:space="preserve">The platform maintains an enrolment/usage record for the consumer, sufficient for profit-share attribution, without owning full consumer profile management.</w:t>
      </w:r>
    </w:p>
    <w:p>
      <w:pPr>
        <w:pStyle w:val="ListParagraph"/>
        <w:numPr>
          <w:ilvl w:val="0"/>
          <w:numId w:val="2"/>
        </w:numPr>
        <w:spacing w:after="90" w:line="264"/>
      </w:pPr>
      <w:r>
        <w:rPr>
          <w:color w:val="222222"/>
          <w:sz w:val="21"/>
          <w:szCs w:val="21"/>
        </w:rPr>
        <w:t xml:space="preserve">Other pillars (e.g. Loyalty) may query the consumer's active bundle entitlements via a companion read API (contract defined, live call deferred).</w:t>
      </w:r>
    </w:p>
    <w:p>
      <w:r>
        <w:br w:type="page"/>
      </w:r>
    </w:p>
    <w:p>
      <w:pPr>
        <w:pStyle w:val="Heading1"/>
        <w:spacing w:after="200" w:before="400"/>
      </w:pPr>
      <w:r>
        <w:t xml:space="preserve">5. Data Model Overview</w:t>
      </w:r>
    </w:p>
    <w:p>
      <w:pPr>
        <w:spacing w:after="160" w:line="276"/>
      </w:pPr>
      <w:r>
        <w:rPr>
          <w:color w:val="222222"/>
          <w:sz w:val="21"/>
          <w:szCs w:val="21"/>
        </w:rPr>
        <w:t xml:space="preserve">The following is a conceptual entity list; the full logical/physical data model, storage engine and schema are detailed in the TDD.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shd w:fill="1B2A4A" w:val="clear"/>
            <w:tcMar>
              <w:top w:type="dxa" w:w="80"/>
              <w:left w:type="dxa" w:w="100"/>
              <w:bottom w:type="dxa" w:w="80"/>
              <w:right w:type="dxa" w:w="100"/>
            </w:tcMar>
            <w:vAlign w:val="center"/>
          </w:tcPr>
          <w:p>
            <w:r>
              <w:rPr>
                <w:b/>
                <w:bCs/>
                <w:color w:val="FFFFFF"/>
                <w:sz w:val="19"/>
                <w:szCs w:val="19"/>
              </w:rPr>
              <w:t xml:space="preserve">Entity</w:t>
            </w:r>
          </w:p>
        </w:tc>
        <w:tc>
          <w:tcPr>
            <w:tcW w:type="pct" w:w="45%"/>
            <w:shd w:fill="1B2A4A" w:val="clear"/>
            <w:tcMar>
              <w:top w:type="dxa" w:w="80"/>
              <w:left w:type="dxa" w:w="100"/>
              <w:bottom w:type="dxa" w:w="80"/>
              <w:right w:type="dxa" w:w="100"/>
            </w:tcMar>
            <w:vAlign w:val="center"/>
          </w:tcPr>
          <w:p>
            <w:r>
              <w:rPr>
                <w:b/>
                <w:bCs/>
                <w:color w:val="FFFFFF"/>
                <w:sz w:val="19"/>
                <w:szCs w:val="19"/>
              </w:rPr>
              <w:t xml:space="preserve">Key Attributes (Indicative)</w:t>
            </w:r>
          </w:p>
        </w:tc>
        <w:tc>
          <w:tcPr>
            <w:tcW w:type="pct" w:w="37%"/>
            <w:shd w:fill="1B2A4A" w:val="clear"/>
            <w:tcMar>
              <w:top w:type="dxa" w:w="80"/>
              <w:left w:type="dxa" w:w="100"/>
              <w:bottom w:type="dxa" w:w="80"/>
              <w:right w:type="dxa" w:w="100"/>
            </w:tcMar>
            <w:vAlign w:val="center"/>
          </w:tcPr>
          <w:p>
            <w:r>
              <w:rPr>
                <w:b/>
                <w:bCs/>
                <w:color w:val="FFFFFF"/>
                <w:sz w:val="19"/>
                <w:szCs w:val="19"/>
              </w:rPr>
              <w:t xml:space="preserve">Relationships</w:t>
            </w:r>
          </w:p>
        </w:tc>
      </w:tr>
      <w:tr>
        <w:tc>
          <w:tcPr>
            <w:tcW w:type="pct" w:w="18%"/>
            <w:tcMar>
              <w:top w:type="dxa" w:w="80"/>
              <w:left w:type="dxa" w:w="100"/>
              <w:bottom w:type="dxa" w:w="80"/>
              <w:right w:type="dxa" w:w="100"/>
            </w:tcMar>
            <w:vAlign w:val="center"/>
          </w:tcPr>
          <w:p>
            <w:pPr>
              <w:spacing w:after="40"/>
            </w:pPr>
            <w:r>
              <w:rPr>
                <w:b w:val="false"/>
                <w:bCs w:val="false"/>
                <w:color w:val="222222"/>
                <w:sz w:val="19"/>
                <w:szCs w:val="19"/>
              </w:rPr>
              <w:t xml:space="preserve">Vendor</w:t>
            </w:r>
          </w:p>
        </w:tc>
        <w:tc>
          <w:tcPr>
            <w:tcW w:type="pct" w:w="45%"/>
            <w:tcMar>
              <w:top w:type="dxa" w:w="80"/>
              <w:left w:type="dxa" w:w="100"/>
              <w:bottom w:type="dxa" w:w="80"/>
              <w:right w:type="dxa" w:w="100"/>
            </w:tcMar>
            <w:vAlign w:val="center"/>
          </w:tcPr>
          <w:p>
            <w:pPr>
              <w:spacing w:after="40"/>
            </w:pPr>
            <w:r>
              <w:rPr>
                <w:b w:val="false"/>
                <w:bCs w:val="false"/>
                <w:color w:val="222222"/>
                <w:sz w:val="19"/>
                <w:szCs w:val="19"/>
              </w:rPr>
              <w:t xml:space="preserve">Vendor ID, name, contact, commercial terms, status</w:t>
            </w:r>
          </w:p>
        </w:tc>
        <w:tc>
          <w:tcPr>
            <w:tcW w:type="pct" w:w="37%"/>
            <w:tcMar>
              <w:top w:type="dxa" w:w="80"/>
              <w:left w:type="dxa" w:w="100"/>
              <w:bottom w:type="dxa" w:w="80"/>
              <w:right w:type="dxa" w:w="100"/>
            </w:tcMar>
            <w:vAlign w:val="center"/>
          </w:tcPr>
          <w:p>
            <w:pPr>
              <w:spacing w:after="40"/>
            </w:pPr>
            <w:r>
              <w:rPr>
                <w:b w:val="false"/>
                <w:bCs w:val="false"/>
                <w:color w:val="222222"/>
                <w:sz w:val="19"/>
                <w:szCs w:val="19"/>
              </w:rPr>
              <w:t xml:space="preserve">1 Vendor → many Offerings</w:t>
            </w:r>
          </w:p>
        </w:tc>
      </w:tr>
      <w:tr>
        <w:tc>
          <w:tcPr>
            <w:tcW w:type="pct" w:w="18%"/>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Offering</w:t>
            </w:r>
          </w:p>
        </w:tc>
        <w:tc>
          <w:tcPr>
            <w:tcW w:type="pct" w:w="4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Offering ID, vendor ref, type tag (insurance/non-insurance), description, status</w:t>
            </w:r>
          </w:p>
        </w:tc>
        <w:tc>
          <w:tcPr>
            <w:tcW w:type="pct" w:w="37%"/>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Many Offerings ↔ many Bundles (via BundleOffering)</w:t>
            </w:r>
          </w:p>
        </w:tc>
      </w:tr>
      <w:tr>
        <w:tc>
          <w:tcPr>
            <w:tcW w:type="pct" w:w="18%"/>
            <w:tcMar>
              <w:top w:type="dxa" w:w="80"/>
              <w:left w:type="dxa" w:w="100"/>
              <w:bottom w:type="dxa" w:w="80"/>
              <w:right w:type="dxa" w:w="100"/>
            </w:tcMar>
            <w:vAlign w:val="center"/>
          </w:tcPr>
          <w:p>
            <w:pPr>
              <w:spacing w:after="40"/>
            </w:pPr>
            <w:r>
              <w:rPr>
                <w:b w:val="false"/>
                <w:bCs w:val="false"/>
                <w:color w:val="222222"/>
                <w:sz w:val="19"/>
                <w:szCs w:val="19"/>
              </w:rPr>
              <w:t xml:space="preserve">EcoSystem</w:t>
            </w:r>
          </w:p>
        </w:tc>
        <w:tc>
          <w:tcPr>
            <w:tcW w:type="pct" w:w="45%"/>
            <w:tcMar>
              <w:top w:type="dxa" w:w="80"/>
              <w:left w:type="dxa" w:w="100"/>
              <w:bottom w:type="dxa" w:w="80"/>
              <w:right w:type="dxa" w:w="100"/>
            </w:tcMar>
            <w:vAlign w:val="center"/>
          </w:tcPr>
          <w:p>
            <w:pPr>
              <w:spacing w:after="40"/>
            </w:pPr>
            <w:r>
              <w:rPr>
                <w:b w:val="false"/>
                <w:bCs w:val="false"/>
                <w:color w:val="222222"/>
                <w:sz w:val="19"/>
                <w:szCs w:val="19"/>
              </w:rPr>
              <w:t xml:space="preserve">Eco-System ID, name, theme, status</w:t>
            </w:r>
          </w:p>
        </w:tc>
        <w:tc>
          <w:tcPr>
            <w:tcW w:type="pct" w:w="37%"/>
            <w:tcMar>
              <w:top w:type="dxa" w:w="80"/>
              <w:left w:type="dxa" w:w="100"/>
              <w:bottom w:type="dxa" w:w="80"/>
              <w:right w:type="dxa" w:w="100"/>
            </w:tcMar>
            <w:vAlign w:val="center"/>
          </w:tcPr>
          <w:p>
            <w:pPr>
              <w:spacing w:after="40"/>
            </w:pPr>
            <w:r>
              <w:rPr>
                <w:b w:val="false"/>
                <w:bCs w:val="false"/>
                <w:color w:val="222222"/>
                <w:sz w:val="19"/>
                <w:szCs w:val="19"/>
              </w:rPr>
              <w:t xml:space="preserve">1 Eco-System → many Bundles; 1 Eco-System ↔ many Offerings (assigned, pre-bundle)</w:t>
            </w:r>
          </w:p>
        </w:tc>
      </w:tr>
      <w:tr>
        <w:tc>
          <w:tcPr>
            <w:tcW w:type="pct" w:w="18%"/>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Bundle</w:t>
            </w:r>
          </w:p>
        </w:tc>
        <w:tc>
          <w:tcPr>
            <w:tcW w:type="pct" w:w="4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Bundle ID, eco-system ref, version, status (draft/active/superseded), effective dates</w:t>
            </w:r>
          </w:p>
        </w:tc>
        <w:tc>
          <w:tcPr>
            <w:tcW w:type="pct" w:w="37%"/>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1 Bundle → many BundleOffering; 1 Bundle → many PartnerSubscription</w:t>
            </w:r>
          </w:p>
        </w:tc>
      </w:tr>
      <w:tr>
        <w:tc>
          <w:tcPr>
            <w:tcW w:type="pct" w:w="18%"/>
            <w:tcMar>
              <w:top w:type="dxa" w:w="80"/>
              <w:left w:type="dxa" w:w="100"/>
              <w:bottom w:type="dxa" w:w="80"/>
              <w:right w:type="dxa" w:w="100"/>
            </w:tcMar>
            <w:vAlign w:val="center"/>
          </w:tcPr>
          <w:p>
            <w:pPr>
              <w:spacing w:after="40"/>
            </w:pPr>
            <w:r>
              <w:rPr>
                <w:b w:val="false"/>
                <w:bCs w:val="false"/>
                <w:color w:val="222222"/>
                <w:sz w:val="19"/>
                <w:szCs w:val="19"/>
              </w:rPr>
              <w:t xml:space="preserve">BundleOffering</w:t>
            </w:r>
          </w:p>
        </w:tc>
        <w:tc>
          <w:tcPr>
            <w:tcW w:type="pct" w:w="45%"/>
            <w:tcMar>
              <w:top w:type="dxa" w:w="80"/>
              <w:left w:type="dxa" w:w="100"/>
              <w:bottom w:type="dxa" w:w="80"/>
              <w:right w:type="dxa" w:w="100"/>
            </w:tcMar>
            <w:vAlign w:val="center"/>
          </w:tcPr>
          <w:p>
            <w:pPr>
              <w:spacing w:after="40"/>
            </w:pPr>
            <w:r>
              <w:rPr>
                <w:b w:val="false"/>
                <w:bCs w:val="false"/>
                <w:color w:val="222222"/>
                <w:sz w:val="19"/>
                <w:szCs w:val="19"/>
              </w:rPr>
              <w:t xml:space="preserve">Bundle ref, offering ref</w:t>
            </w:r>
          </w:p>
        </w:tc>
        <w:tc>
          <w:tcPr>
            <w:tcW w:type="pct" w:w="37%"/>
            <w:tcMar>
              <w:top w:type="dxa" w:w="80"/>
              <w:left w:type="dxa" w:w="100"/>
              <w:bottom w:type="dxa" w:w="80"/>
              <w:right w:type="dxa" w:w="100"/>
            </w:tcMar>
            <w:vAlign w:val="center"/>
          </w:tcPr>
          <w:p>
            <w:pPr>
              <w:spacing w:after="40"/>
            </w:pPr>
            <w:r>
              <w:rPr>
                <w:b w:val="false"/>
                <w:bCs w:val="false"/>
                <w:color w:val="222222"/>
                <w:sz w:val="19"/>
                <w:szCs w:val="19"/>
              </w:rPr>
              <w:t xml:space="preserve">Junction: locks the offering mix per bundle version</w:t>
            </w:r>
          </w:p>
        </w:tc>
      </w:tr>
      <w:tr>
        <w:tc>
          <w:tcPr>
            <w:tcW w:type="pct" w:w="18%"/>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Partner</w:t>
            </w:r>
          </w:p>
        </w:tc>
        <w:tc>
          <w:tcPr>
            <w:tcW w:type="pct" w:w="4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Partner ID, name, contact, commercial terms, onboarded-by (Admin/Sales), status</w:t>
            </w:r>
          </w:p>
        </w:tc>
        <w:tc>
          <w:tcPr>
            <w:tcW w:type="pct" w:w="37%"/>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1 Partner → many PartnerSubscription</w:t>
            </w:r>
          </w:p>
        </w:tc>
      </w:tr>
      <w:tr>
        <w:tc>
          <w:tcPr>
            <w:tcW w:type="pct" w:w="18%"/>
            <w:tcMar>
              <w:top w:type="dxa" w:w="80"/>
              <w:left w:type="dxa" w:w="100"/>
              <w:bottom w:type="dxa" w:w="80"/>
              <w:right w:type="dxa" w:w="100"/>
            </w:tcMar>
            <w:vAlign w:val="center"/>
          </w:tcPr>
          <w:p>
            <w:pPr>
              <w:spacing w:after="40"/>
            </w:pPr>
            <w:r>
              <w:rPr>
                <w:b w:val="false"/>
                <w:bCs w:val="false"/>
                <w:color w:val="222222"/>
                <w:sz w:val="19"/>
                <w:szCs w:val="19"/>
              </w:rPr>
              <w:t xml:space="preserve">PartnerSubscription</w:t>
            </w:r>
          </w:p>
        </w:tc>
        <w:tc>
          <w:tcPr>
            <w:tcW w:type="pct" w:w="45%"/>
            <w:tcMar>
              <w:top w:type="dxa" w:w="80"/>
              <w:left w:type="dxa" w:w="100"/>
              <w:bottom w:type="dxa" w:w="80"/>
              <w:right w:type="dxa" w:w="100"/>
            </w:tcMar>
            <w:vAlign w:val="center"/>
          </w:tcPr>
          <w:p>
            <w:pPr>
              <w:spacing w:after="40"/>
            </w:pPr>
            <w:r>
              <w:rPr>
                <w:b w:val="false"/>
                <w:bCs w:val="false"/>
                <w:color w:val="222222"/>
                <w:sz w:val="19"/>
                <w:szCs w:val="19"/>
              </w:rPr>
              <w:t xml:space="preserve">Partner ref, bundle ref, status (active/pending re-consent/superseded), consent timestamp</w:t>
            </w:r>
          </w:p>
        </w:tc>
        <w:tc>
          <w:tcPr>
            <w:tcW w:type="pct" w:w="37%"/>
            <w:tcMar>
              <w:top w:type="dxa" w:w="80"/>
              <w:left w:type="dxa" w:w="100"/>
              <w:bottom w:type="dxa" w:w="80"/>
              <w:right w:type="dxa" w:w="100"/>
            </w:tcMar>
            <w:vAlign w:val="center"/>
          </w:tcPr>
          <w:p>
            <w:pPr>
              <w:spacing w:after="40"/>
            </w:pPr>
            <w:r>
              <w:rPr>
                <w:b w:val="false"/>
                <w:bCs w:val="false"/>
                <w:color w:val="222222"/>
                <w:sz w:val="19"/>
                <w:szCs w:val="19"/>
              </w:rPr>
              <w:t xml:space="preserve">Links Partner to a specific Bundle version</w:t>
            </w:r>
          </w:p>
        </w:tc>
      </w:tr>
      <w:tr>
        <w:tc>
          <w:tcPr>
            <w:tcW w:type="pct" w:w="18%"/>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ConsumerEnrolment</w:t>
            </w:r>
          </w:p>
        </w:tc>
        <w:tc>
          <w:tcPr>
            <w:tcW w:type="pct" w:w="4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Consumer reference (external ID from Store-Front), partner subscription ref, enrolment date, status</w:t>
            </w:r>
          </w:p>
        </w:tc>
        <w:tc>
          <w:tcPr>
            <w:tcW w:type="pct" w:w="37%"/>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Many ConsumerEnrolment → 1 PartnerSubscription</w:t>
            </w:r>
          </w:p>
        </w:tc>
      </w:tr>
      <w:tr>
        <w:tc>
          <w:tcPr>
            <w:tcW w:type="pct" w:w="18%"/>
            <w:tcMar>
              <w:top w:type="dxa" w:w="80"/>
              <w:left w:type="dxa" w:w="100"/>
              <w:bottom w:type="dxa" w:w="80"/>
              <w:right w:type="dxa" w:w="100"/>
            </w:tcMar>
            <w:vAlign w:val="center"/>
          </w:tcPr>
          <w:p>
            <w:pPr>
              <w:spacing w:after="40"/>
            </w:pPr>
            <w:r>
              <w:rPr>
                <w:b w:val="false"/>
                <w:bCs w:val="false"/>
                <w:color w:val="222222"/>
                <w:sz w:val="19"/>
                <w:szCs w:val="19"/>
              </w:rPr>
              <w:t xml:space="preserve">Transaction</w:t>
            </w:r>
          </w:p>
        </w:tc>
        <w:tc>
          <w:tcPr>
            <w:tcW w:type="pct" w:w="45%"/>
            <w:tcMar>
              <w:top w:type="dxa" w:w="80"/>
              <w:left w:type="dxa" w:w="100"/>
              <w:bottom w:type="dxa" w:w="80"/>
              <w:right w:type="dxa" w:w="100"/>
            </w:tcMar>
            <w:vAlign w:val="center"/>
          </w:tcPr>
          <w:p>
            <w:pPr>
              <w:spacing w:after="40"/>
            </w:pPr>
            <w:r>
              <w:rPr>
                <w:b w:val="false"/>
                <w:bCs w:val="false"/>
                <w:color w:val="222222"/>
                <w:sz w:val="19"/>
                <w:szCs w:val="19"/>
              </w:rPr>
              <w:t xml:space="preserve">Transaction ID, enrolment ref, offering ref, amount, timestamp, policy data (if insurance): premium, sum insured, policy number</w:t>
            </w:r>
          </w:p>
        </w:tc>
        <w:tc>
          <w:tcPr>
            <w:tcW w:type="pct" w:w="37%"/>
            <w:tcMar>
              <w:top w:type="dxa" w:w="80"/>
              <w:left w:type="dxa" w:w="100"/>
              <w:bottom w:type="dxa" w:w="80"/>
              <w:right w:type="dxa" w:w="100"/>
            </w:tcMar>
            <w:vAlign w:val="center"/>
          </w:tcPr>
          <w:p>
            <w:pPr>
              <w:spacing w:after="40"/>
            </w:pPr>
            <w:r>
              <w:rPr>
                <w:b w:val="false"/>
                <w:bCs w:val="false"/>
                <w:color w:val="222222"/>
                <w:sz w:val="19"/>
                <w:szCs w:val="19"/>
              </w:rPr>
              <w:t xml:space="preserve">Many Transactions → 1 ConsumerEnrolment</w:t>
            </w:r>
          </w:p>
        </w:tc>
      </w:tr>
      <w:tr>
        <w:tc>
          <w:tcPr>
            <w:tcW w:type="pct" w:w="18%"/>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ProfitShareRule</w:t>
            </w:r>
          </w:p>
        </w:tc>
        <w:tc>
          <w:tcPr>
            <w:tcW w:type="pct" w:w="4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Rule ID, scope (vendor/eco-system/bundle/partner), split percentages</w:t>
            </w:r>
          </w:p>
        </w:tc>
        <w:tc>
          <w:tcPr>
            <w:tcW w:type="pct" w:w="37%"/>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Applied to Transactions during batch calculation</w:t>
            </w:r>
          </w:p>
        </w:tc>
      </w:tr>
      <w:tr>
        <w:tc>
          <w:tcPr>
            <w:tcW w:type="pct" w:w="18%"/>
            <w:tcMar>
              <w:top w:type="dxa" w:w="80"/>
              <w:left w:type="dxa" w:w="100"/>
              <w:bottom w:type="dxa" w:w="80"/>
              <w:right w:type="dxa" w:w="100"/>
            </w:tcMar>
            <w:vAlign w:val="center"/>
          </w:tcPr>
          <w:p>
            <w:pPr>
              <w:spacing w:after="40"/>
            </w:pPr>
            <w:r>
              <w:rPr>
                <w:b w:val="false"/>
                <w:bCs w:val="false"/>
                <w:color w:val="222222"/>
                <w:sz w:val="19"/>
                <w:szCs w:val="19"/>
              </w:rPr>
              <w:t xml:space="preserve">ProfitShareReport</w:t>
            </w:r>
          </w:p>
        </w:tc>
        <w:tc>
          <w:tcPr>
            <w:tcW w:type="pct" w:w="45%"/>
            <w:tcMar>
              <w:top w:type="dxa" w:w="80"/>
              <w:left w:type="dxa" w:w="100"/>
              <w:bottom w:type="dxa" w:w="80"/>
              <w:right w:type="dxa" w:w="100"/>
            </w:tcMar>
            <w:vAlign w:val="center"/>
          </w:tcPr>
          <w:p>
            <w:pPr>
              <w:spacing w:after="40"/>
            </w:pPr>
            <w:r>
              <w:rPr>
                <w:b w:val="false"/>
                <w:bCs w:val="false"/>
                <w:color w:val="222222"/>
                <w:sz w:val="19"/>
                <w:szCs w:val="19"/>
              </w:rPr>
              <w:t xml:space="preserve">Report ID, period, generated date, export file reference</w:t>
            </w:r>
          </w:p>
        </w:tc>
        <w:tc>
          <w:tcPr>
            <w:tcW w:type="pct" w:w="37%"/>
            <w:tcMar>
              <w:top w:type="dxa" w:w="80"/>
              <w:left w:type="dxa" w:w="100"/>
              <w:bottom w:type="dxa" w:w="80"/>
              <w:right w:type="dxa" w:w="100"/>
            </w:tcMar>
            <w:vAlign w:val="center"/>
          </w:tcPr>
          <w:p>
            <w:pPr>
              <w:spacing w:after="40"/>
            </w:pPr>
            <w:r>
              <w:rPr>
                <w:b w:val="false"/>
                <w:bCs w:val="false"/>
                <w:color w:val="222222"/>
                <w:sz w:val="19"/>
                <w:szCs w:val="19"/>
              </w:rPr>
              <w:t xml:space="preserve">1 Report → many summarised Transactions</w:t>
            </w:r>
          </w:p>
        </w:tc>
      </w:tr>
    </w:tbl>
    <w:p>
      <w:r>
        <w:br w:type="page"/>
      </w:r>
    </w:p>
    <w:p>
      <w:pPr>
        <w:pStyle w:val="Heading1"/>
        <w:spacing w:after="200" w:before="400"/>
      </w:pPr>
      <w:r>
        <w:t xml:space="preserve">6. Integration Approach</w:t>
      </w:r>
    </w:p>
    <w:p>
      <w:pPr>
        <w:spacing w:after="160" w:line="276"/>
      </w:pPr>
      <w:r>
        <w:rPr>
          <w:color w:val="222222"/>
          <w:sz w:val="21"/>
          <w:szCs w:val="21"/>
        </w:rPr>
        <w:t xml:space="preserve">The Partnership Platform adopts a contract-first integration approach with the other three pillars: API and event contracts are defined and published now, even though live implementation is deferred until the counterpart platforms exist. This lets each pillar team build and test independently against agreed contracts (using mocks/stubs) and reduces integration risk once platforms are ready to connect.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shd w:fill="1B2A4A" w:val="clear"/>
            <w:tcMar>
              <w:top w:type="dxa" w:w="80"/>
              <w:left w:type="dxa" w:w="100"/>
              <w:bottom w:type="dxa" w:w="80"/>
              <w:right w:type="dxa" w:w="100"/>
            </w:tcMar>
            <w:vAlign w:val="center"/>
          </w:tcPr>
          <w:p>
            <w:r>
              <w:rPr>
                <w:b/>
                <w:bCs/>
                <w:color w:val="FFFFFF"/>
                <w:sz w:val="19"/>
                <w:szCs w:val="19"/>
              </w:rPr>
              <w:t xml:space="preserve">Contract</w:t>
            </w:r>
          </w:p>
        </w:tc>
        <w:tc>
          <w:tcPr>
            <w:tcW w:type="pct" w:w="12%"/>
            <w:shd w:fill="1B2A4A" w:val="clear"/>
            <w:tcMar>
              <w:top w:type="dxa" w:w="80"/>
              <w:left w:type="dxa" w:w="100"/>
              <w:bottom w:type="dxa" w:w="80"/>
              <w:right w:type="dxa" w:w="100"/>
            </w:tcMar>
            <w:vAlign w:val="center"/>
          </w:tcPr>
          <w:p>
            <w:r>
              <w:rPr>
                <w:b/>
                <w:bCs/>
                <w:color w:val="FFFFFF"/>
                <w:sz w:val="19"/>
                <w:szCs w:val="19"/>
              </w:rPr>
              <w:t xml:space="preserve">Type</w:t>
            </w:r>
          </w:p>
        </w:tc>
        <w:tc>
          <w:tcPr>
            <w:tcW w:type="pct" w:w="18%"/>
            <w:shd w:fill="1B2A4A" w:val="clear"/>
            <w:tcMar>
              <w:top w:type="dxa" w:w="80"/>
              <w:left w:type="dxa" w:w="100"/>
              <w:bottom w:type="dxa" w:w="80"/>
              <w:right w:type="dxa" w:w="100"/>
            </w:tcMar>
            <w:vAlign w:val="center"/>
          </w:tcPr>
          <w:p>
            <w:r>
              <w:rPr>
                <w:b/>
                <w:bCs/>
                <w:color w:val="FFFFFF"/>
                <w:sz w:val="19"/>
                <w:szCs w:val="19"/>
              </w:rPr>
              <w:t xml:space="preserve">Direction</w:t>
            </w:r>
          </w:p>
        </w:tc>
        <w:tc>
          <w:tcPr>
            <w:tcW w:type="pct" w:w="30%"/>
            <w:shd w:fill="1B2A4A" w:val="clear"/>
            <w:tcMar>
              <w:top w:type="dxa" w:w="80"/>
              <w:left w:type="dxa" w:w="100"/>
              <w:bottom w:type="dxa" w:w="80"/>
              <w:right w:type="dxa" w:w="100"/>
            </w:tcMar>
            <w:vAlign w:val="center"/>
          </w:tcPr>
          <w:p>
            <w:r>
              <w:rPr>
                <w:b/>
                <w:bCs/>
                <w:color w:val="FFFFFF"/>
                <w:sz w:val="19"/>
                <w:szCs w:val="19"/>
              </w:rPr>
              <w:t xml:space="preserve">Purpose</w:t>
            </w:r>
          </w:p>
        </w:tc>
        <w:tc>
          <w:tcPr>
            <w:tcW w:type="pct" w:w="18%"/>
            <w:shd w:fill="1B2A4A" w:val="clear"/>
            <w:tcMar>
              <w:top w:type="dxa" w:w="80"/>
              <w:left w:type="dxa" w:w="100"/>
              <w:bottom w:type="dxa" w:w="80"/>
              <w:right w:type="dxa" w:w="100"/>
            </w:tcMar>
            <w:vAlign w:val="center"/>
          </w:tcPr>
          <w:p>
            <w:r>
              <w:rPr>
                <w:b/>
                <w:bCs/>
                <w:color w:val="FFFFFF"/>
                <w:sz w:val="19"/>
                <w:szCs w:val="19"/>
              </w:rPr>
              <w:t xml:space="preserve">MVP Status</w:t>
            </w:r>
          </w:p>
        </w:tc>
      </w:tr>
      <w:tr>
        <w:tc>
          <w:tcPr>
            <w:tcW w:type="pct" w:w="22%"/>
            <w:tcMar>
              <w:top w:type="dxa" w:w="80"/>
              <w:left w:type="dxa" w:w="100"/>
              <w:bottom w:type="dxa" w:w="80"/>
              <w:right w:type="dxa" w:w="100"/>
            </w:tcMar>
            <w:vAlign w:val="center"/>
          </w:tcPr>
          <w:p>
            <w:pPr>
              <w:spacing w:after="40"/>
            </w:pPr>
            <w:r>
              <w:rPr>
                <w:b w:val="false"/>
                <w:bCs w:val="false"/>
                <w:color w:val="222222"/>
                <w:sz w:val="19"/>
                <w:szCs w:val="19"/>
              </w:rPr>
              <w:t xml:space="preserve">Consumer Enrolment API</w:t>
            </w:r>
          </w:p>
        </w:tc>
        <w:tc>
          <w:tcPr>
            <w:tcW w:type="pct" w:w="12%"/>
            <w:tcMar>
              <w:top w:type="dxa" w:w="80"/>
              <w:left w:type="dxa" w:w="100"/>
              <w:bottom w:type="dxa" w:w="80"/>
              <w:right w:type="dxa" w:w="100"/>
            </w:tcMar>
            <w:vAlign w:val="center"/>
          </w:tcPr>
          <w:p>
            <w:pPr>
              <w:spacing w:after="40"/>
            </w:pPr>
            <w:r>
              <w:rPr>
                <w:b w:val="false"/>
                <w:bCs w:val="false"/>
                <w:color w:val="222222"/>
                <w:sz w:val="19"/>
                <w:szCs w:val="19"/>
              </w:rPr>
              <w:t xml:space="preserve">REST (sync)</w:t>
            </w:r>
          </w:p>
        </w:tc>
        <w:tc>
          <w:tcPr>
            <w:tcW w:type="pct" w:w="18%"/>
            <w:tcMar>
              <w:top w:type="dxa" w:w="80"/>
              <w:left w:type="dxa" w:w="100"/>
              <w:bottom w:type="dxa" w:w="80"/>
              <w:right w:type="dxa" w:w="100"/>
            </w:tcMar>
            <w:vAlign w:val="center"/>
          </w:tcPr>
          <w:p>
            <w:pPr>
              <w:spacing w:after="40"/>
            </w:pPr>
            <w:r>
              <w:rPr>
                <w:b w:val="false"/>
                <w:bCs w:val="false"/>
                <w:color w:val="222222"/>
                <w:sz w:val="19"/>
                <w:szCs w:val="19"/>
              </w:rPr>
              <w:t xml:space="preserve">Store-Front → Partnership</w:t>
            </w:r>
          </w:p>
        </w:tc>
        <w:tc>
          <w:tcPr>
            <w:tcW w:type="pct" w:w="30%"/>
            <w:tcMar>
              <w:top w:type="dxa" w:w="80"/>
              <w:left w:type="dxa" w:w="100"/>
              <w:bottom w:type="dxa" w:w="80"/>
              <w:right w:type="dxa" w:w="100"/>
            </w:tcMar>
            <w:vAlign w:val="center"/>
          </w:tcPr>
          <w:p>
            <w:pPr>
              <w:spacing w:after="40"/>
            </w:pPr>
            <w:r>
              <w:rPr>
                <w:b w:val="false"/>
                <w:bCs w:val="false"/>
                <w:color w:val="222222"/>
                <w:sz w:val="19"/>
                <w:szCs w:val="19"/>
              </w:rPr>
              <w:t xml:space="preserve">Register a consumer against a partner's active bundle subscription</w:t>
            </w:r>
          </w:p>
        </w:tc>
        <w:tc>
          <w:tcPr>
            <w:tcW w:type="pct" w:w="18%"/>
            <w:tcMar>
              <w:top w:type="dxa" w:w="80"/>
              <w:left w:type="dxa" w:w="100"/>
              <w:bottom w:type="dxa" w:w="80"/>
              <w:right w:type="dxa" w:w="100"/>
            </w:tcMar>
            <w:vAlign w:val="center"/>
          </w:tcPr>
          <w:p>
            <w:pPr>
              <w:spacing w:after="40"/>
            </w:pPr>
            <w:r>
              <w:rPr>
                <w:b w:val="false"/>
                <w:bCs w:val="false"/>
                <w:color w:val="222222"/>
                <w:sz w:val="19"/>
                <w:szCs w:val="19"/>
              </w:rPr>
              <w:t xml:space="preserve">Contract published; stub/mock implementation for testing</w:t>
            </w:r>
          </w:p>
        </w:tc>
      </w:tr>
      <w:tr>
        <w:tc>
          <w:tcPr>
            <w:tcW w:type="pct" w:w="22%"/>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Consumer Entitlement Query API</w:t>
            </w:r>
          </w:p>
        </w:tc>
        <w:tc>
          <w:tcPr>
            <w:tcW w:type="pct" w:w="12%"/>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REST (sync)</w:t>
            </w:r>
          </w:p>
        </w:tc>
        <w:tc>
          <w:tcPr>
            <w:tcW w:type="pct" w:w="18%"/>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Store-Front / Loyalty → Partnership</w:t>
            </w:r>
          </w:p>
        </w:tc>
        <w:tc>
          <w:tcPr>
            <w:tcW w:type="pct" w:w="3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Retrieve a consumer's active bundle entitlements</w:t>
            </w:r>
          </w:p>
        </w:tc>
        <w:tc>
          <w:tcPr>
            <w:tcW w:type="pct" w:w="18%"/>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Contract published; stub/mock implementation</w:t>
            </w:r>
          </w:p>
        </w:tc>
      </w:tr>
      <w:tr>
        <w:tc>
          <w:tcPr>
            <w:tcW w:type="pct" w:w="22%"/>
            <w:tcMar>
              <w:top w:type="dxa" w:w="80"/>
              <w:left w:type="dxa" w:w="100"/>
              <w:bottom w:type="dxa" w:w="80"/>
              <w:right w:type="dxa" w:w="100"/>
            </w:tcMar>
            <w:vAlign w:val="center"/>
          </w:tcPr>
          <w:p>
            <w:pPr>
              <w:spacing w:after="40"/>
            </w:pPr>
            <w:r>
              <w:rPr>
                <w:b w:val="false"/>
                <w:bCs w:val="false"/>
                <w:color w:val="222222"/>
                <w:sz w:val="19"/>
                <w:szCs w:val="19"/>
              </w:rPr>
              <w:t xml:space="preserve">Transaction Event</w:t>
            </w:r>
          </w:p>
        </w:tc>
        <w:tc>
          <w:tcPr>
            <w:tcW w:type="pct" w:w="12%"/>
            <w:tcMar>
              <w:top w:type="dxa" w:w="80"/>
              <w:left w:type="dxa" w:w="100"/>
              <w:bottom w:type="dxa" w:w="80"/>
              <w:right w:type="dxa" w:w="100"/>
            </w:tcMar>
            <w:vAlign w:val="center"/>
          </w:tcPr>
          <w:p>
            <w:pPr>
              <w:spacing w:after="40"/>
            </w:pPr>
            <w:r>
              <w:rPr>
                <w:b w:val="false"/>
                <w:bCs w:val="false"/>
                <w:color w:val="222222"/>
                <w:sz w:val="19"/>
                <w:szCs w:val="19"/>
              </w:rPr>
              <w:t xml:space="preserve">Event (async)</w:t>
            </w:r>
          </w:p>
        </w:tc>
        <w:tc>
          <w:tcPr>
            <w:tcW w:type="pct" w:w="18%"/>
            <w:tcMar>
              <w:top w:type="dxa" w:w="80"/>
              <w:left w:type="dxa" w:w="100"/>
              <w:bottom w:type="dxa" w:w="80"/>
              <w:right w:type="dxa" w:w="100"/>
            </w:tcMar>
            <w:vAlign w:val="center"/>
          </w:tcPr>
          <w:p>
            <w:pPr>
              <w:spacing w:after="40"/>
            </w:pPr>
            <w:r>
              <w:rPr>
                <w:b w:val="false"/>
                <w:bCs w:val="false"/>
                <w:color w:val="222222"/>
                <w:sz w:val="19"/>
                <w:szCs w:val="19"/>
              </w:rPr>
              <w:t xml:space="preserve">Partnership → Loyalty</w:t>
            </w:r>
          </w:p>
        </w:tc>
        <w:tc>
          <w:tcPr>
            <w:tcW w:type="pct" w:w="30%"/>
            <w:tcMar>
              <w:top w:type="dxa" w:w="80"/>
              <w:left w:type="dxa" w:w="100"/>
              <w:bottom w:type="dxa" w:w="80"/>
              <w:right w:type="dxa" w:w="100"/>
            </w:tcMar>
            <w:vAlign w:val="center"/>
          </w:tcPr>
          <w:p>
            <w:pPr>
              <w:spacing w:after="40"/>
            </w:pPr>
            <w:r>
              <w:rPr>
                <w:b w:val="false"/>
                <w:bCs w:val="false"/>
                <w:color w:val="222222"/>
                <w:sz w:val="19"/>
                <w:szCs w:val="19"/>
              </w:rPr>
              <w:t xml:space="preserve">Notify qualifying transactions for loyalty point accrual</w:t>
            </w:r>
          </w:p>
        </w:tc>
        <w:tc>
          <w:tcPr>
            <w:tcW w:type="pct" w:w="18%"/>
            <w:tcMar>
              <w:top w:type="dxa" w:w="80"/>
              <w:left w:type="dxa" w:w="100"/>
              <w:bottom w:type="dxa" w:w="80"/>
              <w:right w:type="dxa" w:w="100"/>
            </w:tcMar>
            <w:vAlign w:val="center"/>
          </w:tcPr>
          <w:p>
            <w:pPr>
              <w:spacing w:after="40"/>
            </w:pPr>
            <w:r>
              <w:rPr>
                <w:b w:val="false"/>
                <w:bCs w:val="false"/>
                <w:color w:val="222222"/>
                <w:sz w:val="19"/>
                <w:szCs w:val="19"/>
              </w:rPr>
              <w:t xml:space="preserve">Event schema published; not yet emitted to a live consumer</w:t>
            </w:r>
          </w:p>
        </w:tc>
      </w:tr>
      <w:tr>
        <w:tc>
          <w:tcPr>
            <w:tcW w:type="pct" w:w="22%"/>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Vendor/Offering Catalogue Sync (future)</w:t>
            </w:r>
          </w:p>
        </w:tc>
        <w:tc>
          <w:tcPr>
            <w:tcW w:type="pct" w:w="12%"/>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REST or event</w:t>
            </w:r>
          </w:p>
        </w:tc>
        <w:tc>
          <w:tcPr>
            <w:tcW w:type="pct" w:w="18%"/>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Partnership ↔ Value-Added Services</w:t>
            </w:r>
          </w:p>
        </w:tc>
        <w:tc>
          <w:tcPr>
            <w:tcW w:type="pct" w:w="3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Potential shared catalogue or cross-sell in future phase</w:t>
            </w:r>
          </w:p>
        </w:tc>
        <w:tc>
          <w:tcPr>
            <w:tcW w:type="pct" w:w="18%"/>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Contract sketched at a high level only; not prioritised for MVP</w:t>
            </w:r>
          </w:p>
        </w:tc>
      </w:tr>
    </w:tbl>
    <w:p>
      <w:pPr>
        <w:spacing w:after="120"/>
      </w:pPr>
    </w:p>
    <w:p>
      <w:pPr>
        <w:pStyle w:val="Heading2"/>
        <w:spacing w:after="150" w:before="300"/>
      </w:pPr>
      <w:r>
        <w:t xml:space="preserve">6.1 Versioning &amp; Governance</w:t>
      </w:r>
    </w:p>
    <w:p>
      <w:pPr>
        <w:pStyle w:val="ListParagraph"/>
        <w:numPr>
          <w:ilvl w:val="0"/>
          <w:numId w:val="1"/>
        </w:numPr>
        <w:spacing w:after="90" w:line="264"/>
      </w:pPr>
      <w:r>
        <w:rPr>
          <w:color w:val="222222"/>
          <w:sz w:val="21"/>
          <w:szCs w:val="21"/>
        </w:rPr>
        <w:t xml:space="preserve">All published contracts are versioned (e.g. semantic versioning) so downstream pillar teams can build against a stable interface.</w:t>
      </w:r>
    </w:p>
    <w:p>
      <w:pPr>
        <w:pStyle w:val="ListParagraph"/>
        <w:numPr>
          <w:ilvl w:val="0"/>
          <w:numId w:val="1"/>
        </w:numPr>
        <w:spacing w:after="90" w:line="264"/>
      </w:pPr>
      <w:r>
        <w:rPr>
          <w:color w:val="222222"/>
          <w:sz w:val="21"/>
          <w:szCs w:val="21"/>
        </w:rPr>
        <w:t xml:space="preserve">Breaking changes to a published contract require Architecture Review Board notification, consistent with governance for a shared, multi-pillar programme.</w:t>
      </w:r>
    </w:p>
    <w:p>
      <w:pPr>
        <w:pStyle w:val="Heading1"/>
        <w:spacing w:after="200" w:before="400"/>
      </w:pPr>
      <w:r>
        <w:t xml:space="preserve">7. Non-Functional Design Considerations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shd w:fill="1B2A4A" w:val="clear"/>
            <w:tcMar>
              <w:top w:type="dxa" w:w="80"/>
              <w:left w:type="dxa" w:w="100"/>
              <w:bottom w:type="dxa" w:w="80"/>
              <w:right w:type="dxa" w:w="100"/>
            </w:tcMar>
            <w:vAlign w:val="center"/>
          </w:tcPr>
          <w:p>
            <w:r>
              <w:rPr>
                <w:b/>
                <w:bCs/>
                <w:color w:val="FFFFFF"/>
                <w:sz w:val="19"/>
                <w:szCs w:val="19"/>
              </w:rPr>
              <w:t xml:space="preserve">Area</w:t>
            </w:r>
          </w:p>
        </w:tc>
        <w:tc>
          <w:tcPr>
            <w:tcW w:type="pct" w:w="78%"/>
            <w:shd w:fill="1B2A4A" w:val="clear"/>
            <w:tcMar>
              <w:top w:type="dxa" w:w="80"/>
              <w:left w:type="dxa" w:w="100"/>
              <w:bottom w:type="dxa" w:w="80"/>
              <w:right w:type="dxa" w:w="100"/>
            </w:tcMar>
            <w:vAlign w:val="center"/>
          </w:tcPr>
          <w:p>
            <w:r>
              <w:rPr>
                <w:b/>
                <w:bCs/>
                <w:color w:val="FFFFFF"/>
                <w:sz w:val="19"/>
                <w:szCs w:val="19"/>
              </w:rPr>
              <w:t xml:space="preserve">MVP Design Consideration</w:t>
            </w:r>
          </w:p>
        </w:tc>
      </w:tr>
      <w:tr>
        <w:tc>
          <w:tcPr>
            <w:tcW w:type="pct" w:w="22%"/>
            <w:tcMar>
              <w:top w:type="dxa" w:w="80"/>
              <w:left w:type="dxa" w:w="100"/>
              <w:bottom w:type="dxa" w:w="80"/>
              <w:right w:type="dxa" w:w="100"/>
            </w:tcMar>
            <w:vAlign w:val="center"/>
          </w:tcPr>
          <w:p>
            <w:pPr>
              <w:spacing w:after="40"/>
            </w:pPr>
            <w:r>
              <w:rPr>
                <w:b w:val="false"/>
                <w:bCs w:val="false"/>
                <w:color w:val="222222"/>
                <w:sz w:val="19"/>
                <w:szCs w:val="19"/>
              </w:rPr>
              <w:t xml:space="preserve">Availability</w:t>
            </w:r>
          </w:p>
        </w:tc>
        <w:tc>
          <w:tcPr>
            <w:tcW w:type="pct" w:w="78%"/>
            <w:tcMar>
              <w:top w:type="dxa" w:w="80"/>
              <w:left w:type="dxa" w:w="100"/>
              <w:bottom w:type="dxa" w:w="80"/>
              <w:right w:type="dxa" w:w="100"/>
            </w:tcMar>
            <w:vAlign w:val="center"/>
          </w:tcPr>
          <w:p>
            <w:pPr>
              <w:spacing w:after="40"/>
            </w:pPr>
            <w:r>
              <w:rPr>
                <w:b w:val="false"/>
                <w:bCs w:val="false"/>
                <w:color w:val="222222"/>
                <w:sz w:val="19"/>
                <w:szCs w:val="19"/>
              </w:rPr>
              <w:t xml:space="preserve">Target ~99.5% during business hours plus buffer for MVP; multi-AZ deployment for resilience (detailed in TDD).</w:t>
            </w:r>
          </w:p>
        </w:tc>
      </w:tr>
      <w:tr>
        <w:tc>
          <w:tcPr>
            <w:tcW w:type="pct" w:w="22%"/>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Performance</w:t>
            </w:r>
          </w:p>
        </w:tc>
        <w:tc>
          <w:tcPr>
            <w:tcW w:type="pct" w:w="78%"/>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Partner Portal and Admin Console interactions should respond within ~2 seconds for typical operations at MVP volumes; batch profit-share job completes within an overnight window.</w:t>
            </w:r>
          </w:p>
        </w:tc>
      </w:tr>
      <w:tr>
        <w:tc>
          <w:tcPr>
            <w:tcW w:type="pct" w:w="22%"/>
            <w:tcMar>
              <w:top w:type="dxa" w:w="80"/>
              <w:left w:type="dxa" w:w="100"/>
              <w:bottom w:type="dxa" w:w="80"/>
              <w:right w:type="dxa" w:w="100"/>
            </w:tcMar>
            <w:vAlign w:val="center"/>
          </w:tcPr>
          <w:p>
            <w:pPr>
              <w:spacing w:after="40"/>
            </w:pPr>
            <w:r>
              <w:rPr>
                <w:b w:val="false"/>
                <w:bCs w:val="false"/>
                <w:color w:val="222222"/>
                <w:sz w:val="19"/>
                <w:szCs w:val="19"/>
              </w:rPr>
              <w:t xml:space="preserve">Scalability</w:t>
            </w:r>
          </w:p>
        </w:tc>
        <w:tc>
          <w:tcPr>
            <w:tcW w:type="pct" w:w="78%"/>
            <w:tcMar>
              <w:top w:type="dxa" w:w="80"/>
              <w:left w:type="dxa" w:w="100"/>
              <w:bottom w:type="dxa" w:w="80"/>
              <w:right w:type="dxa" w:w="100"/>
            </w:tcMar>
            <w:vAlign w:val="center"/>
          </w:tcPr>
          <w:p>
            <w:pPr>
              <w:spacing w:after="40"/>
            </w:pPr>
            <w:r>
              <w:rPr>
                <w:b w:val="false"/>
                <w:bCs w:val="false"/>
                <w:color w:val="222222"/>
                <w:sz w:val="19"/>
                <w:szCs w:val="19"/>
              </w:rPr>
              <w:t xml:space="preserve">Domain-oriented module boundaries allow independent scaling or future extraction into separate services as eco-system/partner/consumer volumes grow 50% YoY.</w:t>
            </w:r>
          </w:p>
        </w:tc>
      </w:tr>
      <w:tr>
        <w:tc>
          <w:tcPr>
            <w:tcW w:type="pct" w:w="22%"/>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Security</w:t>
            </w:r>
          </w:p>
        </w:tc>
        <w:tc>
          <w:tcPr>
            <w:tcW w:type="pct" w:w="78%"/>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Role-based access control per persona (Admin, Sales, Partner); encrypted data at rest and in transit; least-privilege access to configuration and reporting functions.</w:t>
            </w:r>
          </w:p>
        </w:tc>
      </w:tr>
      <w:tr>
        <w:tc>
          <w:tcPr>
            <w:tcW w:type="pct" w:w="22%"/>
            <w:tcMar>
              <w:top w:type="dxa" w:w="80"/>
              <w:left w:type="dxa" w:w="100"/>
              <w:bottom w:type="dxa" w:w="80"/>
              <w:right w:type="dxa" w:w="100"/>
            </w:tcMar>
            <w:vAlign w:val="center"/>
          </w:tcPr>
          <w:p>
            <w:pPr>
              <w:spacing w:after="40"/>
            </w:pPr>
            <w:r>
              <w:rPr>
                <w:b w:val="false"/>
                <w:bCs w:val="false"/>
                <w:color w:val="222222"/>
                <w:sz w:val="19"/>
                <w:szCs w:val="19"/>
              </w:rPr>
              <w:t xml:space="preserve">Compliance</w:t>
            </w:r>
          </w:p>
        </w:tc>
        <w:tc>
          <w:tcPr>
            <w:tcW w:type="pct" w:w="78%"/>
            <w:tcMar>
              <w:top w:type="dxa" w:w="80"/>
              <w:left w:type="dxa" w:w="100"/>
              <w:bottom w:type="dxa" w:w="80"/>
              <w:right w:type="dxa" w:w="100"/>
            </w:tcMar>
            <w:vAlign w:val="center"/>
          </w:tcPr>
          <w:p>
            <w:pPr>
              <w:spacing w:after="40"/>
            </w:pPr>
            <w:r>
              <w:rPr>
                <w:b w:val="false"/>
                <w:bCs w:val="false"/>
                <w:color w:val="222222"/>
                <w:sz w:val="19"/>
                <w:szCs w:val="19"/>
              </w:rPr>
              <w:t xml:space="preserve">Data residency in Malaysia; audit trail for transactions and profit-share calculations to support BNM/FSA/IFSA/PDPA obligations.</w:t>
            </w:r>
          </w:p>
        </w:tc>
      </w:tr>
      <w:tr>
        <w:tc>
          <w:tcPr>
            <w:tcW w:type="pct" w:w="22%"/>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Auditability</w:t>
            </w:r>
          </w:p>
        </w:tc>
        <w:tc>
          <w:tcPr>
            <w:tcW w:type="pct" w:w="78%"/>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All configuration changes (bundle versions, profit-share rules) and transaction/report generation are logged with actor and timestamp.</w:t>
            </w:r>
          </w:p>
        </w:tc>
      </w:tr>
      <w:tr>
        <w:tc>
          <w:tcPr>
            <w:tcW w:type="pct" w:w="22%"/>
            <w:tcMar>
              <w:top w:type="dxa" w:w="80"/>
              <w:left w:type="dxa" w:w="100"/>
              <w:bottom w:type="dxa" w:w="80"/>
              <w:right w:type="dxa" w:w="100"/>
            </w:tcMar>
            <w:vAlign w:val="center"/>
          </w:tcPr>
          <w:p>
            <w:pPr>
              <w:spacing w:after="40"/>
            </w:pPr>
            <w:r>
              <w:rPr>
                <w:b w:val="false"/>
                <w:bCs w:val="false"/>
                <w:color w:val="222222"/>
                <w:sz w:val="19"/>
                <w:szCs w:val="19"/>
              </w:rPr>
              <w:t xml:space="preserve">Cost-effectiveness</w:t>
            </w:r>
          </w:p>
        </w:tc>
        <w:tc>
          <w:tcPr>
            <w:tcW w:type="pct" w:w="78%"/>
            <w:tcMar>
              <w:top w:type="dxa" w:w="80"/>
              <w:left w:type="dxa" w:w="100"/>
              <w:bottom w:type="dxa" w:w="80"/>
              <w:right w:type="dxa" w:w="100"/>
            </w:tcMar>
            <w:vAlign w:val="center"/>
          </w:tcPr>
          <w:p>
            <w:pPr>
              <w:spacing w:after="40"/>
            </w:pPr>
            <w:r>
              <w:rPr>
                <w:b w:val="false"/>
                <w:bCs w:val="false"/>
                <w:color w:val="222222"/>
                <w:sz w:val="19"/>
                <w:szCs w:val="19"/>
              </w:rPr>
              <w:t xml:space="preserve">MVP architecture favours managed, consumption-based AWS services over always-on infrastructure sized for future scale (see TDD).</w:t>
            </w:r>
          </w:p>
        </w:tc>
      </w:tr>
    </w:tbl>
    <w:p>
      <w:r>
        <w:br w:type="page"/>
      </w:r>
    </w:p>
    <w:p>
      <w:pPr>
        <w:pStyle w:val="Heading1"/>
        <w:spacing w:after="200" w:before="400"/>
      </w:pPr>
      <w:r>
        <w:t xml:space="preserve">8. Delivery Approach</w:t>
      </w:r>
    </w:p>
    <w:p>
      <w:pPr>
        <w:pStyle w:val="Heading2"/>
        <w:spacing w:after="150" w:before="300"/>
      </w:pPr>
      <w:r>
        <w:t xml:space="preserve">8.1 Methodology</w:t>
      </w:r>
    </w:p>
    <w:p>
      <w:pPr>
        <w:spacing w:after="160" w:line="276"/>
      </w:pPr>
      <w:r>
        <w:rPr>
          <w:color w:val="222222"/>
          <w:sz w:val="21"/>
          <w:szCs w:val="21"/>
        </w:rPr>
        <w:t xml:space="preserve">Delivery follows an Agile Scrum approach with 2-week sprints, a single cross-functional delivery team, and a working increment demoed at the end of each sprint to the business/product stakeholder. Sprint 0 is reserved for environment setup and backlog grooming; the final sprint is reserved for hardening, UAT and go-live readiness.</w:t>
      </w:r>
    </w:p>
    <w:p>
      <w:pPr>
        <w:pStyle w:val="Heading2"/>
        <w:spacing w:after="150" w:before="300"/>
      </w:pPr>
      <w:r>
        <w:t xml:space="preserve">8.2 Team Structure &amp; Skillsets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1B2A4A" w:val="clear"/>
            <w:tcMar>
              <w:top w:type="dxa" w:w="80"/>
              <w:left w:type="dxa" w:w="100"/>
              <w:bottom w:type="dxa" w:w="80"/>
              <w:right w:type="dxa" w:w="100"/>
            </w:tcMar>
            <w:vAlign w:val="center"/>
          </w:tcPr>
          <w:p>
            <w:r>
              <w:rPr>
                <w:b/>
                <w:bCs/>
                <w:color w:val="FFFFFF"/>
                <w:sz w:val="19"/>
                <w:szCs w:val="19"/>
              </w:rPr>
              <w:t xml:space="preserve">Role</w:t>
            </w:r>
          </w:p>
        </w:tc>
        <w:tc>
          <w:tcPr>
            <w:tcW w:type="pct" w:w="16%"/>
            <w:shd w:fill="1B2A4A" w:val="clear"/>
            <w:tcMar>
              <w:top w:type="dxa" w:w="80"/>
              <w:left w:type="dxa" w:w="100"/>
              <w:bottom w:type="dxa" w:w="80"/>
              <w:right w:type="dxa" w:w="100"/>
            </w:tcMar>
            <w:vAlign w:val="center"/>
          </w:tcPr>
          <w:p>
            <w:r>
              <w:rPr>
                <w:b/>
                <w:bCs/>
                <w:color w:val="FFFFFF"/>
                <w:sz w:val="19"/>
                <w:szCs w:val="19"/>
              </w:rPr>
              <w:t xml:space="preserve">Indicative Count</w:t>
            </w:r>
          </w:p>
        </w:tc>
        <w:tc>
          <w:tcPr>
            <w:tcW w:type="pct" w:w="58%"/>
            <w:shd w:fill="1B2A4A" w:val="clear"/>
            <w:tcMar>
              <w:top w:type="dxa" w:w="80"/>
              <w:left w:type="dxa" w:w="100"/>
              <w:bottom w:type="dxa" w:w="80"/>
              <w:right w:type="dxa" w:w="100"/>
            </w:tcMar>
            <w:vAlign w:val="center"/>
          </w:tcPr>
          <w:p>
            <w:r>
              <w:rPr>
                <w:b/>
                <w:bCs/>
                <w:color w:val="FFFFFF"/>
                <w:sz w:val="19"/>
                <w:szCs w:val="19"/>
              </w:rPr>
              <w:t xml:space="preserve">Responsibility</w:t>
            </w:r>
          </w:p>
        </w:tc>
      </w:tr>
      <w:tr>
        <w:tc>
          <w:tcPr>
            <w:tcW w:type="pct" w:w="26%"/>
            <w:tcMar>
              <w:top w:type="dxa" w:w="80"/>
              <w:left w:type="dxa" w:w="100"/>
              <w:bottom w:type="dxa" w:w="80"/>
              <w:right w:type="dxa" w:w="100"/>
            </w:tcMar>
            <w:vAlign w:val="center"/>
          </w:tcPr>
          <w:p>
            <w:pPr>
              <w:spacing w:after="40"/>
            </w:pPr>
            <w:r>
              <w:rPr>
                <w:b w:val="false"/>
                <w:bCs w:val="false"/>
                <w:color w:val="222222"/>
                <w:sz w:val="19"/>
                <w:szCs w:val="19"/>
              </w:rPr>
              <w:t xml:space="preserve">Delivery Lead / Scrum Master</w:t>
            </w:r>
          </w:p>
        </w:tc>
        <w:tc>
          <w:tcPr>
            <w:tcW w:type="pct" w:w="16%"/>
            <w:tcMar>
              <w:top w:type="dxa" w:w="80"/>
              <w:left w:type="dxa" w:w="100"/>
              <w:bottom w:type="dxa" w:w="80"/>
              <w:right w:type="dxa" w:w="100"/>
            </w:tcMar>
            <w:vAlign w:val="center"/>
          </w:tcPr>
          <w:p>
            <w:pPr>
              <w:spacing w:after="40"/>
            </w:pPr>
            <w:r>
              <w:rPr>
                <w:b w:val="false"/>
                <w:bCs w:val="false"/>
                <w:color w:val="222222"/>
                <w:sz w:val="19"/>
                <w:szCs w:val="19"/>
              </w:rPr>
              <w:t xml:space="preserve">1</w:t>
            </w:r>
          </w:p>
        </w:tc>
        <w:tc>
          <w:tcPr>
            <w:tcW w:type="pct" w:w="58%"/>
            <w:tcMar>
              <w:top w:type="dxa" w:w="80"/>
              <w:left w:type="dxa" w:w="100"/>
              <w:bottom w:type="dxa" w:w="80"/>
              <w:right w:type="dxa" w:w="100"/>
            </w:tcMar>
            <w:vAlign w:val="center"/>
          </w:tcPr>
          <w:p>
            <w:pPr>
              <w:spacing w:after="40"/>
            </w:pPr>
            <w:r>
              <w:rPr>
                <w:b w:val="false"/>
                <w:bCs w:val="false"/>
                <w:color w:val="222222"/>
                <w:sz w:val="19"/>
                <w:szCs w:val="19"/>
              </w:rPr>
              <w:t xml:space="preserve">Sprint planning, delivery tracking, stakeholder communication, risk/impediment management.</w:t>
            </w:r>
          </w:p>
        </w:tc>
      </w:tr>
      <w:tr>
        <w:tc>
          <w:tcPr>
            <w:tcW w:type="pct" w:w="26%"/>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Solution / Technical Architect</w:t>
            </w:r>
          </w:p>
        </w:tc>
        <w:tc>
          <w:tcPr>
            <w:tcW w:type="pct" w:w="16%"/>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1</w:t>
            </w:r>
          </w:p>
        </w:tc>
        <w:tc>
          <w:tcPr>
            <w:tcW w:type="pct" w:w="58%"/>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Owns solution and technical design, API contracts, architecture governance (this document + TDD).</w:t>
            </w:r>
          </w:p>
        </w:tc>
      </w:tr>
      <w:tr>
        <w:tc>
          <w:tcPr>
            <w:tcW w:type="pct" w:w="26%"/>
            <w:tcMar>
              <w:top w:type="dxa" w:w="80"/>
              <w:left w:type="dxa" w:w="100"/>
              <w:bottom w:type="dxa" w:w="80"/>
              <w:right w:type="dxa" w:w="100"/>
            </w:tcMar>
            <w:vAlign w:val="center"/>
          </w:tcPr>
          <w:p>
            <w:pPr>
              <w:spacing w:after="40"/>
            </w:pPr>
            <w:r>
              <w:rPr>
                <w:b w:val="false"/>
                <w:bCs w:val="false"/>
                <w:color w:val="222222"/>
                <w:sz w:val="19"/>
                <w:szCs w:val="19"/>
              </w:rPr>
              <w:t xml:space="preserve">Backend Engineers</w:t>
            </w:r>
          </w:p>
        </w:tc>
        <w:tc>
          <w:tcPr>
            <w:tcW w:type="pct" w:w="16%"/>
            <w:tcMar>
              <w:top w:type="dxa" w:w="80"/>
              <w:left w:type="dxa" w:w="100"/>
              <w:bottom w:type="dxa" w:w="80"/>
              <w:right w:type="dxa" w:w="100"/>
            </w:tcMar>
            <w:vAlign w:val="center"/>
          </w:tcPr>
          <w:p>
            <w:pPr>
              <w:spacing w:after="40"/>
            </w:pPr>
            <w:r>
              <w:rPr>
                <w:b w:val="false"/>
                <w:bCs w:val="false"/>
                <w:color w:val="222222"/>
                <w:sz w:val="19"/>
                <w:szCs w:val="19"/>
              </w:rPr>
              <w:t xml:space="preserve">3–4</w:t>
            </w:r>
          </w:p>
        </w:tc>
        <w:tc>
          <w:tcPr>
            <w:tcW w:type="pct" w:w="58%"/>
            <w:tcMar>
              <w:top w:type="dxa" w:w="80"/>
              <w:left w:type="dxa" w:w="100"/>
              <w:bottom w:type="dxa" w:w="80"/>
              <w:right w:type="dxa" w:w="100"/>
            </w:tcMar>
            <w:vAlign w:val="center"/>
          </w:tcPr>
          <w:p>
            <w:pPr>
              <w:spacing w:after="40"/>
            </w:pPr>
            <w:r>
              <w:rPr>
                <w:b w:val="false"/>
                <w:bCs w:val="false"/>
                <w:color w:val="222222"/>
                <w:sz w:val="19"/>
                <w:szCs w:val="19"/>
              </w:rPr>
              <w:t xml:space="preserve">Build domain modules (Vendor/Offering, Eco-System/Bundle, Partner/Subscription, Transaction/Profit-Share), APIs, batch jobs.</w:t>
            </w:r>
          </w:p>
        </w:tc>
      </w:tr>
      <w:tr>
        <w:tc>
          <w:tcPr>
            <w:tcW w:type="pct" w:w="26%"/>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Frontend Engineer(s)</w:t>
            </w:r>
          </w:p>
        </w:tc>
        <w:tc>
          <w:tcPr>
            <w:tcW w:type="pct" w:w="16%"/>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2</w:t>
            </w:r>
          </w:p>
        </w:tc>
        <w:tc>
          <w:tcPr>
            <w:tcW w:type="pct" w:w="58%"/>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Build Partner Portal and Internal Admin &amp; Sales Console.</w:t>
            </w:r>
          </w:p>
        </w:tc>
      </w:tr>
      <w:tr>
        <w:tc>
          <w:tcPr>
            <w:tcW w:type="pct" w:w="26%"/>
            <w:tcMar>
              <w:top w:type="dxa" w:w="80"/>
              <w:left w:type="dxa" w:w="100"/>
              <w:bottom w:type="dxa" w:w="80"/>
              <w:right w:type="dxa" w:w="100"/>
            </w:tcMar>
            <w:vAlign w:val="center"/>
          </w:tcPr>
          <w:p>
            <w:pPr>
              <w:spacing w:after="40"/>
            </w:pPr>
            <w:r>
              <w:rPr>
                <w:b w:val="false"/>
                <w:bCs w:val="false"/>
                <w:color w:val="222222"/>
                <w:sz w:val="19"/>
                <w:szCs w:val="19"/>
              </w:rPr>
              <w:t xml:space="preserve">Cloud / DevOps Engineer</w:t>
            </w:r>
          </w:p>
        </w:tc>
        <w:tc>
          <w:tcPr>
            <w:tcW w:type="pct" w:w="16%"/>
            <w:tcMar>
              <w:top w:type="dxa" w:w="80"/>
              <w:left w:type="dxa" w:w="100"/>
              <w:bottom w:type="dxa" w:w="80"/>
              <w:right w:type="dxa" w:w="100"/>
            </w:tcMar>
            <w:vAlign w:val="center"/>
          </w:tcPr>
          <w:p>
            <w:pPr>
              <w:spacing w:after="40"/>
            </w:pPr>
            <w:r>
              <w:rPr>
                <w:b w:val="false"/>
                <w:bCs w:val="false"/>
                <w:color w:val="222222"/>
                <w:sz w:val="19"/>
                <w:szCs w:val="19"/>
              </w:rPr>
              <w:t xml:space="preserve">1</w:t>
            </w:r>
          </w:p>
        </w:tc>
        <w:tc>
          <w:tcPr>
            <w:tcW w:type="pct" w:w="58%"/>
            <w:tcMar>
              <w:top w:type="dxa" w:w="80"/>
              <w:left w:type="dxa" w:w="100"/>
              <w:bottom w:type="dxa" w:w="80"/>
              <w:right w:type="dxa" w:w="100"/>
            </w:tcMar>
            <w:vAlign w:val="center"/>
          </w:tcPr>
          <w:p>
            <w:pPr>
              <w:spacing w:after="40"/>
            </w:pPr>
            <w:r>
              <w:rPr>
                <w:b w:val="false"/>
                <w:bCs w:val="false"/>
                <w:color w:val="222222"/>
                <w:sz w:val="19"/>
                <w:szCs w:val="19"/>
              </w:rPr>
              <w:t xml:space="preserve">AWS account setup, network/security foundation, CI/CD pipeline, environment management (with TDD as blueprint).</w:t>
            </w:r>
          </w:p>
        </w:tc>
      </w:tr>
      <w:tr>
        <w:tc>
          <w:tcPr>
            <w:tcW w:type="pct" w:w="26%"/>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QA / Test Engineer</w:t>
            </w:r>
          </w:p>
        </w:tc>
        <w:tc>
          <w:tcPr>
            <w:tcW w:type="pct" w:w="16%"/>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1–2</w:t>
            </w:r>
          </w:p>
        </w:tc>
        <w:tc>
          <w:tcPr>
            <w:tcW w:type="pct" w:w="58%"/>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Test strategy, functional/regression testing, UAT support, integration contract test harnesses.</w:t>
            </w:r>
          </w:p>
        </w:tc>
      </w:tr>
      <w:tr>
        <w:tc>
          <w:tcPr>
            <w:tcW w:type="pct" w:w="26%"/>
            <w:tcMar>
              <w:top w:type="dxa" w:w="80"/>
              <w:left w:type="dxa" w:w="100"/>
              <w:bottom w:type="dxa" w:w="80"/>
              <w:right w:type="dxa" w:w="100"/>
            </w:tcMar>
            <w:vAlign w:val="center"/>
          </w:tcPr>
          <w:p>
            <w:pPr>
              <w:spacing w:after="40"/>
            </w:pPr>
            <w:r>
              <w:rPr>
                <w:b w:val="false"/>
                <w:bCs w:val="false"/>
                <w:color w:val="222222"/>
                <w:sz w:val="19"/>
                <w:szCs w:val="19"/>
              </w:rPr>
              <w:t xml:space="preserve">Business Analyst</w:t>
            </w:r>
          </w:p>
        </w:tc>
        <w:tc>
          <w:tcPr>
            <w:tcW w:type="pct" w:w="16%"/>
            <w:tcMar>
              <w:top w:type="dxa" w:w="80"/>
              <w:left w:type="dxa" w:w="100"/>
              <w:bottom w:type="dxa" w:w="80"/>
              <w:right w:type="dxa" w:w="100"/>
            </w:tcMar>
            <w:vAlign w:val="center"/>
          </w:tcPr>
          <w:p>
            <w:pPr>
              <w:spacing w:after="40"/>
            </w:pPr>
            <w:r>
              <w:rPr>
                <w:b w:val="false"/>
                <w:bCs w:val="false"/>
                <w:color w:val="222222"/>
                <w:sz w:val="19"/>
                <w:szCs w:val="19"/>
              </w:rPr>
              <w:t xml:space="preserve">1</w:t>
            </w:r>
          </w:p>
        </w:tc>
        <w:tc>
          <w:tcPr>
            <w:tcW w:type="pct" w:w="58%"/>
            <w:tcMar>
              <w:top w:type="dxa" w:w="80"/>
              <w:left w:type="dxa" w:w="100"/>
              <w:bottom w:type="dxa" w:w="80"/>
              <w:right w:type="dxa" w:w="100"/>
            </w:tcMar>
            <w:vAlign w:val="center"/>
          </w:tcPr>
          <w:p>
            <w:pPr>
              <w:spacing w:after="40"/>
            </w:pPr>
            <w:r>
              <w:rPr>
                <w:b w:val="false"/>
                <w:bCs w:val="false"/>
                <w:color w:val="222222"/>
                <w:sz w:val="19"/>
                <w:szCs w:val="19"/>
              </w:rPr>
              <w:t xml:space="preserve">Refines BRD requirements into user stories/acceptance criteria; liaises with business/product stakeholders.</w:t>
            </w:r>
          </w:p>
        </w:tc>
      </w:tr>
      <w:tr>
        <w:tc>
          <w:tcPr>
            <w:tcW w:type="pct" w:w="26%"/>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Product Owner (Business)</w:t>
            </w:r>
          </w:p>
        </w:tc>
        <w:tc>
          <w:tcPr>
            <w:tcW w:type="pct" w:w="16%"/>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1 (part-time)</w:t>
            </w:r>
          </w:p>
        </w:tc>
        <w:tc>
          <w:tcPr>
            <w:tcW w:type="pct" w:w="58%"/>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Prioritises backlog, accepts stories, represents partner/vendor/commercial stakeholders.</w:t>
            </w:r>
          </w:p>
        </w:tc>
      </w:tr>
    </w:tbl>
    <w:p>
      <w:pPr>
        <w:spacing w:after="160" w:line="276"/>
      </w:pPr>
      <w:r>
        <w:rPr>
          <w:color w:val="222222"/>
          <w:sz w:val="21"/>
          <w:szCs w:val="21"/>
        </w:rPr>
        <w:t xml:space="preserve">Indicative core team size: 10–12 people. Actual staffing is subject to organisational resourcing and may combine roles (e.g. Architect also acting as a Backend Engineer) for a team of this scale.</w:t>
      </w:r>
    </w:p>
    <w:p>
      <w:pPr>
        <w:pStyle w:val="Heading2"/>
        <w:spacing w:after="150" w:before="300"/>
      </w:pPr>
      <w:r>
        <w:t xml:space="preserve">8.3 Indicative Delivery Timeline (6-Month MVP)</w:t>
      </w:r>
    </w:p>
    <w:p>
      <w:pPr>
        <w:spacing w:after="200" w:before="200"/>
        <w:jc w:val="center"/>
      </w:pPr>
      <w:r>
        <w:drawing>
          <wp:inline distT="0" distB="0" distL="0" distR="0">
            <wp:extent cx="5334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95550"/>
                    </a:xfrm>
                    <a:prstGeom prst="rect">
                      <a:avLst/>
                    </a:prstGeom>
                  </pic:spPr>
                </pic:pic>
              </a:graphicData>
            </a:graphic>
          </wp:inline>
        </w:drawing>
      </w:r>
    </w:p>
    <w:p>
      <w:pPr>
        <w:spacing w:after="260"/>
        <w:jc w:val="center"/>
      </w:pPr>
      <w:r>
        <w:rPr>
          <w:i/>
          <w:iCs/>
          <w:color w:val="5A6472"/>
          <w:sz w:val="18"/>
          <w:szCs w:val="18"/>
        </w:rPr>
        <w:t xml:space="preserve">Figure 2 – Indicative MVP delivery timeline across eleven 2-week sprints (Sprint 0–10) plus go-live.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6%"/>
            <w:shd w:fill="1B2A4A" w:val="clear"/>
            <w:tcMar>
              <w:top w:type="dxa" w:w="80"/>
              <w:left w:type="dxa" w:w="100"/>
              <w:bottom w:type="dxa" w:w="80"/>
              <w:right w:type="dxa" w:w="100"/>
            </w:tcMar>
            <w:vAlign w:val="center"/>
          </w:tcPr>
          <w:p>
            <w:r>
              <w:rPr>
                <w:b/>
                <w:bCs/>
                <w:color w:val="FFFFFF"/>
                <w:sz w:val="19"/>
                <w:szCs w:val="19"/>
              </w:rPr>
              <w:t xml:space="preserve">Phase</w:t>
            </w:r>
          </w:p>
        </w:tc>
        <w:tc>
          <w:tcPr>
            <w:tcW w:type="pct" w:w="18%"/>
            <w:shd w:fill="1B2A4A" w:val="clear"/>
            <w:tcMar>
              <w:top w:type="dxa" w:w="80"/>
              <w:left w:type="dxa" w:w="100"/>
              <w:bottom w:type="dxa" w:w="80"/>
              <w:right w:type="dxa" w:w="100"/>
            </w:tcMar>
            <w:vAlign w:val="center"/>
          </w:tcPr>
          <w:p>
            <w:r>
              <w:rPr>
                <w:b/>
                <w:bCs/>
                <w:color w:val="FFFFFF"/>
                <w:sz w:val="19"/>
                <w:szCs w:val="19"/>
              </w:rPr>
              <w:t xml:space="preserve">Approx. Timing</w:t>
            </w:r>
          </w:p>
        </w:tc>
        <w:tc>
          <w:tcPr>
            <w:tcW w:type="pct" w:w="66%"/>
            <w:shd w:fill="1B2A4A" w:val="clear"/>
            <w:tcMar>
              <w:top w:type="dxa" w:w="80"/>
              <w:left w:type="dxa" w:w="100"/>
              <w:bottom w:type="dxa" w:w="80"/>
              <w:right w:type="dxa" w:w="100"/>
            </w:tcMar>
            <w:vAlign w:val="center"/>
          </w:tcPr>
          <w:p>
            <w:r>
              <w:rPr>
                <w:b/>
                <w:bCs/>
                <w:color w:val="FFFFFF"/>
                <w:sz w:val="19"/>
                <w:szCs w:val="19"/>
              </w:rPr>
              <w:t xml:space="preserve">Key Deliverables</w:t>
            </w:r>
          </w:p>
        </w:tc>
      </w:tr>
      <w:tr>
        <w:tc>
          <w:tcPr>
            <w:tcW w:type="pct" w:w="16%"/>
            <w:tcMar>
              <w:top w:type="dxa" w:w="80"/>
              <w:left w:type="dxa" w:w="100"/>
              <w:bottom w:type="dxa" w:w="80"/>
              <w:right w:type="dxa" w:w="100"/>
            </w:tcMar>
            <w:vAlign w:val="center"/>
          </w:tcPr>
          <w:p>
            <w:pPr>
              <w:spacing w:after="40"/>
            </w:pPr>
            <w:r>
              <w:rPr>
                <w:b w:val="false"/>
                <w:bCs w:val="false"/>
                <w:color w:val="222222"/>
                <w:sz w:val="19"/>
                <w:szCs w:val="19"/>
              </w:rPr>
              <w:t xml:space="preserve">Sprint 0</w:t>
            </w:r>
          </w:p>
        </w:tc>
        <w:tc>
          <w:tcPr>
            <w:tcW w:type="pct" w:w="18%"/>
            <w:tcMar>
              <w:top w:type="dxa" w:w="80"/>
              <w:left w:type="dxa" w:w="100"/>
              <w:bottom w:type="dxa" w:w="80"/>
              <w:right w:type="dxa" w:w="100"/>
            </w:tcMar>
            <w:vAlign w:val="center"/>
          </w:tcPr>
          <w:p>
            <w:pPr>
              <w:spacing w:after="40"/>
            </w:pPr>
            <w:r>
              <w:rPr>
                <w:b w:val="false"/>
                <w:bCs w:val="false"/>
                <w:color w:val="222222"/>
                <w:sz w:val="19"/>
                <w:szCs w:val="19"/>
              </w:rPr>
              <w:t xml:space="preserve">Weeks 1–2</w:t>
            </w:r>
          </w:p>
        </w:tc>
        <w:tc>
          <w:tcPr>
            <w:tcW w:type="pct" w:w="66%"/>
            <w:tcMar>
              <w:top w:type="dxa" w:w="80"/>
              <w:left w:type="dxa" w:w="100"/>
              <w:bottom w:type="dxa" w:w="80"/>
              <w:right w:type="dxa" w:w="100"/>
            </w:tcMar>
            <w:vAlign w:val="center"/>
          </w:tcPr>
          <w:p>
            <w:pPr>
              <w:spacing w:after="40"/>
            </w:pPr>
            <w:r>
              <w:rPr>
                <w:b w:val="false"/>
                <w:bCs w:val="false"/>
                <w:color w:val="222222"/>
                <w:sz w:val="19"/>
                <w:szCs w:val="19"/>
              </w:rPr>
              <w:t xml:space="preserve">AWS account &amp; landing zone, CI/CD pipeline, backlog groomed, team onboarded.</w:t>
            </w:r>
          </w:p>
        </w:tc>
      </w:tr>
      <w:tr>
        <w:tc>
          <w:tcPr>
            <w:tcW w:type="pct" w:w="16%"/>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Sprint 1–2</w:t>
            </w:r>
          </w:p>
        </w:tc>
        <w:tc>
          <w:tcPr>
            <w:tcW w:type="pct" w:w="18%"/>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Weeks 3–6</w:t>
            </w:r>
          </w:p>
        </w:tc>
        <w:tc>
          <w:tcPr>
            <w:tcW w:type="pct" w:w="66%"/>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Vendor &amp; Offering Mgmt, Eco-System &amp; Bundle Mgmt (incl. version locking).</w:t>
            </w:r>
          </w:p>
        </w:tc>
      </w:tr>
      <w:tr>
        <w:tc>
          <w:tcPr>
            <w:tcW w:type="pct" w:w="16%"/>
            <w:tcMar>
              <w:top w:type="dxa" w:w="80"/>
              <w:left w:type="dxa" w:w="100"/>
              <w:bottom w:type="dxa" w:w="80"/>
              <w:right w:type="dxa" w:w="100"/>
            </w:tcMar>
            <w:vAlign w:val="center"/>
          </w:tcPr>
          <w:p>
            <w:pPr>
              <w:spacing w:after="40"/>
            </w:pPr>
            <w:r>
              <w:rPr>
                <w:b w:val="false"/>
                <w:bCs w:val="false"/>
                <w:color w:val="222222"/>
                <w:sz w:val="19"/>
                <w:szCs w:val="19"/>
              </w:rPr>
              <w:t xml:space="preserve">Sprint 3–4</w:t>
            </w:r>
          </w:p>
        </w:tc>
        <w:tc>
          <w:tcPr>
            <w:tcW w:type="pct" w:w="18%"/>
            <w:tcMar>
              <w:top w:type="dxa" w:w="80"/>
              <w:left w:type="dxa" w:w="100"/>
              <w:bottom w:type="dxa" w:w="80"/>
              <w:right w:type="dxa" w:w="100"/>
            </w:tcMar>
            <w:vAlign w:val="center"/>
          </w:tcPr>
          <w:p>
            <w:pPr>
              <w:spacing w:after="40"/>
            </w:pPr>
            <w:r>
              <w:rPr>
                <w:b w:val="false"/>
                <w:bCs w:val="false"/>
                <w:color w:val="222222"/>
                <w:sz w:val="19"/>
                <w:szCs w:val="19"/>
              </w:rPr>
              <w:t xml:space="preserve">Weeks 7–10</w:t>
            </w:r>
          </w:p>
        </w:tc>
        <w:tc>
          <w:tcPr>
            <w:tcW w:type="pct" w:w="66%"/>
            <w:tcMar>
              <w:top w:type="dxa" w:w="80"/>
              <w:left w:type="dxa" w:w="100"/>
              <w:bottom w:type="dxa" w:w="80"/>
              <w:right w:type="dxa" w:w="100"/>
            </w:tcMar>
            <w:vAlign w:val="center"/>
          </w:tcPr>
          <w:p>
            <w:pPr>
              <w:spacing w:after="40"/>
            </w:pPr>
            <w:r>
              <w:rPr>
                <w:b w:val="false"/>
                <w:bCs w:val="false"/>
                <w:color w:val="222222"/>
                <w:sz w:val="19"/>
                <w:szCs w:val="19"/>
              </w:rPr>
              <w:t xml:space="preserve">Partner Mgmt, whole-bundle subscription, re-consent workflow.</w:t>
            </w:r>
          </w:p>
        </w:tc>
      </w:tr>
      <w:tr>
        <w:tc>
          <w:tcPr>
            <w:tcW w:type="pct" w:w="16%"/>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Sprint 5–6</w:t>
            </w:r>
          </w:p>
        </w:tc>
        <w:tc>
          <w:tcPr>
            <w:tcW w:type="pct" w:w="18%"/>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Weeks 11–14</w:t>
            </w:r>
          </w:p>
        </w:tc>
        <w:tc>
          <w:tcPr>
            <w:tcW w:type="pct" w:w="66%"/>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Consumer Enrolment API (contract + stub), Transaction capture (incl. insurance policy data).</w:t>
            </w:r>
          </w:p>
        </w:tc>
      </w:tr>
      <w:tr>
        <w:tc>
          <w:tcPr>
            <w:tcW w:type="pct" w:w="16%"/>
            <w:tcMar>
              <w:top w:type="dxa" w:w="80"/>
              <w:left w:type="dxa" w:w="100"/>
              <w:bottom w:type="dxa" w:w="80"/>
              <w:right w:type="dxa" w:w="100"/>
            </w:tcMar>
            <w:vAlign w:val="center"/>
          </w:tcPr>
          <w:p>
            <w:pPr>
              <w:spacing w:after="40"/>
            </w:pPr>
            <w:r>
              <w:rPr>
                <w:b w:val="false"/>
                <w:bCs w:val="false"/>
                <w:color w:val="222222"/>
                <w:sz w:val="19"/>
                <w:szCs w:val="19"/>
              </w:rPr>
              <w:t xml:space="preserve">Sprint 7–8</w:t>
            </w:r>
          </w:p>
        </w:tc>
        <w:tc>
          <w:tcPr>
            <w:tcW w:type="pct" w:w="18%"/>
            <w:tcMar>
              <w:top w:type="dxa" w:w="80"/>
              <w:left w:type="dxa" w:w="100"/>
              <w:bottom w:type="dxa" w:w="80"/>
              <w:right w:type="dxa" w:w="100"/>
            </w:tcMar>
            <w:vAlign w:val="center"/>
          </w:tcPr>
          <w:p>
            <w:pPr>
              <w:spacing w:after="40"/>
            </w:pPr>
            <w:r>
              <w:rPr>
                <w:b w:val="false"/>
                <w:bCs w:val="false"/>
                <w:color w:val="222222"/>
                <w:sz w:val="19"/>
                <w:szCs w:val="19"/>
              </w:rPr>
              <w:t xml:space="preserve">Weeks 15–18</w:t>
            </w:r>
          </w:p>
        </w:tc>
        <w:tc>
          <w:tcPr>
            <w:tcW w:type="pct" w:w="66%"/>
            <w:tcMar>
              <w:top w:type="dxa" w:w="80"/>
              <w:left w:type="dxa" w:w="100"/>
              <w:bottom w:type="dxa" w:w="80"/>
              <w:right w:type="dxa" w:w="100"/>
            </w:tcMar>
            <w:vAlign w:val="center"/>
          </w:tcPr>
          <w:p>
            <w:pPr>
              <w:spacing w:after="40"/>
            </w:pPr>
            <w:r>
              <w:rPr>
                <w:b w:val="false"/>
                <w:bCs w:val="false"/>
                <w:color w:val="222222"/>
                <w:sz w:val="19"/>
                <w:szCs w:val="19"/>
              </w:rPr>
              <w:t xml:space="preserve">Profit-share calculation engine (batch), transaction/profit-share reporting &amp; export.</w:t>
            </w:r>
          </w:p>
        </w:tc>
      </w:tr>
      <w:tr>
        <w:tc>
          <w:tcPr>
            <w:tcW w:type="pct" w:w="16%"/>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Sprint 9</w:t>
            </w:r>
          </w:p>
        </w:tc>
        <w:tc>
          <w:tcPr>
            <w:tcW w:type="pct" w:w="18%"/>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Weeks 19–20</w:t>
            </w:r>
          </w:p>
        </w:tc>
        <w:tc>
          <w:tcPr>
            <w:tcW w:type="pct" w:w="66%"/>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Partner Portal and Admin/Sales Console feature completion and UX polish.</w:t>
            </w:r>
          </w:p>
        </w:tc>
      </w:tr>
      <w:tr>
        <w:tc>
          <w:tcPr>
            <w:tcW w:type="pct" w:w="16%"/>
            <w:tcMar>
              <w:top w:type="dxa" w:w="80"/>
              <w:left w:type="dxa" w:w="100"/>
              <w:bottom w:type="dxa" w:w="80"/>
              <w:right w:type="dxa" w:w="100"/>
            </w:tcMar>
            <w:vAlign w:val="center"/>
          </w:tcPr>
          <w:p>
            <w:pPr>
              <w:spacing w:after="40"/>
            </w:pPr>
            <w:r>
              <w:rPr>
                <w:b w:val="false"/>
                <w:bCs w:val="false"/>
                <w:color w:val="222222"/>
                <w:sz w:val="19"/>
                <w:szCs w:val="19"/>
              </w:rPr>
              <w:t xml:space="preserve">Sprint 10</w:t>
            </w:r>
          </w:p>
        </w:tc>
        <w:tc>
          <w:tcPr>
            <w:tcW w:type="pct" w:w="18%"/>
            <w:tcMar>
              <w:top w:type="dxa" w:w="80"/>
              <w:left w:type="dxa" w:w="100"/>
              <w:bottom w:type="dxa" w:w="80"/>
              <w:right w:type="dxa" w:w="100"/>
            </w:tcMar>
            <w:vAlign w:val="center"/>
          </w:tcPr>
          <w:p>
            <w:pPr>
              <w:spacing w:after="40"/>
            </w:pPr>
            <w:r>
              <w:rPr>
                <w:b w:val="false"/>
                <w:bCs w:val="false"/>
                <w:color w:val="222222"/>
                <w:sz w:val="19"/>
                <w:szCs w:val="19"/>
              </w:rPr>
              <w:t xml:space="preserve">Weeks 21–24</w:t>
            </w:r>
          </w:p>
        </w:tc>
        <w:tc>
          <w:tcPr>
            <w:tcW w:type="pct" w:w="66%"/>
            <w:tcMar>
              <w:top w:type="dxa" w:w="80"/>
              <w:left w:type="dxa" w:w="100"/>
              <w:bottom w:type="dxa" w:w="80"/>
              <w:right w:type="dxa" w:w="100"/>
            </w:tcMar>
            <w:vAlign w:val="center"/>
          </w:tcPr>
          <w:p>
            <w:pPr>
              <w:spacing w:after="40"/>
            </w:pPr>
            <w:r>
              <w:rPr>
                <w:b w:val="false"/>
                <w:bCs w:val="false"/>
                <w:color w:val="222222"/>
                <w:sz w:val="19"/>
                <w:szCs w:val="19"/>
              </w:rPr>
              <w:t xml:space="preserve">Cross-pillar integration contract finalisation, end-to-end UAT, security/performance hardening.</w:t>
            </w:r>
          </w:p>
        </w:tc>
      </w:tr>
      <w:tr>
        <w:tc>
          <w:tcPr>
            <w:tcW w:type="pct" w:w="16%"/>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Go-Live</w:t>
            </w:r>
          </w:p>
        </w:tc>
        <w:tc>
          <w:tcPr>
            <w:tcW w:type="pct" w:w="18%"/>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End of Month 6–7</w:t>
            </w:r>
          </w:p>
        </w:tc>
        <w:tc>
          <w:tcPr>
            <w:tcW w:type="pct" w:w="66%"/>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MVP production release and hypercare support period.</w:t>
            </w:r>
          </w:p>
        </w:tc>
      </w:tr>
    </w:tbl>
    <w:p>
      <w:pPr>
        <w:pStyle w:val="Heading2"/>
        <w:spacing w:after="150" w:before="300"/>
      </w:pPr>
      <w:r>
        <w:t xml:space="preserve">8.4 Environments</w:t>
      </w:r>
    </w:p>
    <w:p>
      <w:pPr>
        <w:pStyle w:val="ListParagraph"/>
        <w:numPr>
          <w:ilvl w:val="0"/>
          <w:numId w:val="1"/>
        </w:numPr>
        <w:spacing w:after="90" w:line="264"/>
      </w:pPr>
      <w:r>
        <w:rPr>
          <w:color w:val="222222"/>
          <w:sz w:val="21"/>
          <w:szCs w:val="21"/>
        </w:rPr>
        <w:t xml:space="preserve">Development – continuous integration target for feature branches.</w:t>
      </w:r>
    </w:p>
    <w:p>
      <w:pPr>
        <w:pStyle w:val="ListParagraph"/>
        <w:numPr>
          <w:ilvl w:val="0"/>
          <w:numId w:val="1"/>
        </w:numPr>
        <w:spacing w:after="90" w:line="264"/>
      </w:pPr>
      <w:r>
        <w:rPr>
          <w:color w:val="222222"/>
          <w:sz w:val="21"/>
          <w:szCs w:val="21"/>
        </w:rPr>
        <w:t xml:space="preserve">SIT (System Integration Testing) – integrated backend/frontend testing, including contract/stub validation.</w:t>
      </w:r>
    </w:p>
    <w:p>
      <w:pPr>
        <w:pStyle w:val="ListParagraph"/>
        <w:numPr>
          <w:ilvl w:val="0"/>
          <w:numId w:val="1"/>
        </w:numPr>
        <w:spacing w:after="90" w:line="264"/>
      </w:pPr>
      <w:r>
        <w:rPr>
          <w:color w:val="222222"/>
          <w:sz w:val="21"/>
          <w:szCs w:val="21"/>
        </w:rPr>
        <w:t xml:space="preserve">UAT (User Acceptance Testing) – business/product stakeholder sign-off environment, production-like configuration.</w:t>
      </w:r>
    </w:p>
    <w:p>
      <w:pPr>
        <w:pStyle w:val="ListParagraph"/>
        <w:numPr>
          <w:ilvl w:val="0"/>
          <w:numId w:val="1"/>
        </w:numPr>
        <w:spacing w:after="90" w:line="264"/>
      </w:pPr>
      <w:r>
        <w:rPr>
          <w:color w:val="222222"/>
          <w:sz w:val="21"/>
          <w:szCs w:val="21"/>
        </w:rPr>
        <w:t xml:space="preserve">Production – live MVP environment (see TDD for environment-specific AWS account/network detail).</w:t>
      </w:r>
    </w:p>
    <w:p>
      <w:r>
        <w:br w:type="page"/>
      </w:r>
    </w:p>
    <w:p>
      <w:pPr>
        <w:pStyle w:val="Heading1"/>
        <w:spacing w:after="200" w:before="400"/>
      </w:pPr>
      <w:r>
        <w:t xml:space="preserve">9. Assumptions, Dependencies &amp; Delivery Risks</w:t>
      </w:r>
    </w:p>
    <w:p>
      <w:pPr>
        <w:pStyle w:val="Heading2"/>
        <w:spacing w:after="150" w:before="300"/>
      </w:pPr>
      <w:r>
        <w:t xml:space="preserve">9.1 Assumptions</w:t>
      </w:r>
    </w:p>
    <w:p>
      <w:pPr>
        <w:pStyle w:val="ListParagraph"/>
        <w:numPr>
          <w:ilvl w:val="0"/>
          <w:numId w:val="1"/>
        </w:numPr>
        <w:spacing w:after="90" w:line="264"/>
      </w:pPr>
      <w:r>
        <w:rPr>
          <w:color w:val="222222"/>
          <w:sz w:val="21"/>
          <w:szCs w:val="21"/>
        </w:rPr>
        <w:t xml:space="preserve">The BRD (v0.1) functional scope is the approved baseline for this design; material scope changes will require an addendum to both BRD and SDD.</w:t>
      </w:r>
    </w:p>
    <w:p>
      <w:pPr>
        <w:pStyle w:val="ListParagraph"/>
        <w:numPr>
          <w:ilvl w:val="0"/>
          <w:numId w:val="1"/>
        </w:numPr>
        <w:spacing w:after="90" w:line="264"/>
      </w:pPr>
      <w:r>
        <w:rPr>
          <w:color w:val="222222"/>
          <w:sz w:val="21"/>
          <w:szCs w:val="21"/>
        </w:rPr>
        <w:t xml:space="preserve">A dedicated delivery team (Section 8.2) can be resourced/onboarded in time for Sprint 0.</w:t>
      </w:r>
    </w:p>
    <w:p>
      <w:pPr>
        <w:pStyle w:val="ListParagraph"/>
        <w:numPr>
          <w:ilvl w:val="0"/>
          <w:numId w:val="1"/>
        </w:numPr>
        <w:spacing w:after="90" w:line="264"/>
      </w:pPr>
      <w:r>
        <w:rPr>
          <w:color w:val="222222"/>
          <w:sz w:val="21"/>
          <w:szCs w:val="21"/>
        </w:rPr>
        <w:t xml:space="preserve">The other three pillar platforms will not be available for live integration testing within the 6-month MVP window; contract-level testing (mocks/stubs) is sufficient for MVP go-live.</w:t>
      </w:r>
    </w:p>
    <w:p>
      <w:pPr>
        <w:pStyle w:val="Heading2"/>
        <w:spacing w:after="150" w:before="300"/>
      </w:pPr>
      <w:r>
        <w:t xml:space="preserve">9.2 Dependencies</w:t>
      </w:r>
    </w:p>
    <w:p>
      <w:pPr>
        <w:pStyle w:val="ListParagraph"/>
        <w:numPr>
          <w:ilvl w:val="0"/>
          <w:numId w:val="1"/>
        </w:numPr>
        <w:spacing w:after="90" w:line="264"/>
      </w:pPr>
      <w:r>
        <w:rPr>
          <w:color w:val="222222"/>
          <w:sz w:val="21"/>
          <w:szCs w:val="21"/>
        </w:rPr>
        <w:t xml:space="preserve">AWS account provisioning and any required organisational approvals (security review, budget sign-off) must complete before Sprint 0 environment setup.</w:t>
      </w:r>
    </w:p>
    <w:p>
      <w:pPr>
        <w:pStyle w:val="ListParagraph"/>
        <w:numPr>
          <w:ilvl w:val="0"/>
          <w:numId w:val="1"/>
        </w:numPr>
        <w:spacing w:after="90" w:line="264"/>
      </w:pPr>
      <w:r>
        <w:rPr>
          <w:color w:val="222222"/>
          <w:sz w:val="21"/>
          <w:szCs w:val="21"/>
        </w:rPr>
        <w:t xml:space="preserve">Vendor and partner commercial/legal terms (profit-share percentages, contracts) must be available in time to configure profit-share rules ahead of Sprint 7–8.</w:t>
      </w:r>
    </w:p>
    <w:p>
      <w:pPr>
        <w:pStyle w:val="Heading2"/>
        <w:spacing w:after="150" w:before="300"/>
      </w:pPr>
      <w:r>
        <w:t xml:space="preserve">9.3 Delivery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2%"/>
            <w:shd w:fill="1B2A4A" w:val="clear"/>
            <w:tcMar>
              <w:top w:type="dxa" w:w="80"/>
              <w:left w:type="dxa" w:w="100"/>
              <w:bottom w:type="dxa" w:w="80"/>
              <w:right w:type="dxa" w:w="100"/>
            </w:tcMar>
            <w:vAlign w:val="center"/>
          </w:tcPr>
          <w:p>
            <w:r>
              <w:rPr>
                <w:b/>
                <w:bCs/>
                <w:color w:val="FFFFFF"/>
                <w:sz w:val="19"/>
                <w:szCs w:val="19"/>
              </w:rPr>
              <w:t xml:space="preserve">Risk</w:t>
            </w:r>
          </w:p>
        </w:tc>
        <w:tc>
          <w:tcPr>
            <w:tcW w:type="pct" w:w="28%"/>
            <w:shd w:fill="1B2A4A" w:val="clear"/>
            <w:tcMar>
              <w:top w:type="dxa" w:w="80"/>
              <w:left w:type="dxa" w:w="100"/>
              <w:bottom w:type="dxa" w:w="80"/>
              <w:right w:type="dxa" w:w="100"/>
            </w:tcMar>
            <w:vAlign w:val="center"/>
          </w:tcPr>
          <w:p>
            <w:r>
              <w:rPr>
                <w:b/>
                <w:bCs/>
                <w:color w:val="FFFFFF"/>
                <w:sz w:val="19"/>
                <w:szCs w:val="19"/>
              </w:rPr>
              <w:t xml:space="preserve">Impact</w:t>
            </w:r>
          </w:p>
        </w:tc>
        <w:tc>
          <w:tcPr>
            <w:tcW w:type="pct" w:w="40%"/>
            <w:shd w:fill="1B2A4A" w:val="clear"/>
            <w:tcMar>
              <w:top w:type="dxa" w:w="80"/>
              <w:left w:type="dxa" w:w="100"/>
              <w:bottom w:type="dxa" w:w="80"/>
              <w:right w:type="dxa" w:w="100"/>
            </w:tcMar>
            <w:vAlign w:val="center"/>
          </w:tcPr>
          <w:p>
            <w:r>
              <w:rPr>
                <w:b/>
                <w:bCs/>
                <w:color w:val="FFFFFF"/>
                <w:sz w:val="19"/>
                <w:szCs w:val="19"/>
              </w:rPr>
              <w:t xml:space="preserve">Mitigation</w:t>
            </w:r>
          </w:p>
        </w:tc>
      </w:tr>
      <w:tr>
        <w:tc>
          <w:tcPr>
            <w:tcW w:type="pct" w:w="32%"/>
            <w:tcMar>
              <w:top w:type="dxa" w:w="80"/>
              <w:left w:type="dxa" w:w="100"/>
              <w:bottom w:type="dxa" w:w="80"/>
              <w:right w:type="dxa" w:w="100"/>
            </w:tcMar>
            <w:vAlign w:val="center"/>
          </w:tcPr>
          <w:p>
            <w:pPr>
              <w:spacing w:after="40"/>
            </w:pPr>
            <w:r>
              <w:rPr>
                <w:b w:val="false"/>
                <w:bCs w:val="false"/>
                <w:color w:val="222222"/>
                <w:sz w:val="19"/>
                <w:szCs w:val="19"/>
              </w:rPr>
              <w:t xml:space="preserve">Team ramp-up delay (hiring/resourcing)</w:t>
            </w:r>
          </w:p>
        </w:tc>
        <w:tc>
          <w:tcPr>
            <w:tcW w:type="pct" w:w="28%"/>
            <w:tcMar>
              <w:top w:type="dxa" w:w="80"/>
              <w:left w:type="dxa" w:w="100"/>
              <w:bottom w:type="dxa" w:w="80"/>
              <w:right w:type="dxa" w:w="100"/>
            </w:tcMar>
            <w:vAlign w:val="center"/>
          </w:tcPr>
          <w:p>
            <w:pPr>
              <w:spacing w:after="40"/>
            </w:pPr>
            <w:r>
              <w:rPr>
                <w:b w:val="false"/>
                <w:bCs w:val="false"/>
                <w:color w:val="222222"/>
                <w:sz w:val="19"/>
                <w:szCs w:val="19"/>
              </w:rPr>
              <w:t xml:space="preserve">Slippage against 6-month target</w:t>
            </w:r>
          </w:p>
        </w:tc>
        <w:tc>
          <w:tcPr>
            <w:tcW w:type="pct" w:w="40%"/>
            <w:tcMar>
              <w:top w:type="dxa" w:w="80"/>
              <w:left w:type="dxa" w:w="100"/>
              <w:bottom w:type="dxa" w:w="80"/>
              <w:right w:type="dxa" w:w="100"/>
            </w:tcMar>
            <w:vAlign w:val="center"/>
          </w:tcPr>
          <w:p>
            <w:pPr>
              <w:spacing w:after="40"/>
            </w:pPr>
            <w:r>
              <w:rPr>
                <w:b w:val="false"/>
                <w:bCs w:val="false"/>
                <w:color w:val="222222"/>
                <w:sz w:val="19"/>
                <w:szCs w:val="19"/>
              </w:rPr>
              <w:t xml:space="preserve">Begin resourcing in parallel with BRD/SDD approval; prioritise Architect and DevOps roles first</w:t>
            </w:r>
          </w:p>
        </w:tc>
      </w:tr>
      <w:tr>
        <w:tc>
          <w:tcPr>
            <w:tcW w:type="pct" w:w="32%"/>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Ambiguity in profit-share rule configuration requirements</w:t>
            </w:r>
          </w:p>
        </w:tc>
        <w:tc>
          <w:tcPr>
            <w:tcW w:type="pct" w:w="28%"/>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Rework in Sprint 7–8</w:t>
            </w:r>
          </w:p>
        </w:tc>
        <w:tc>
          <w:tcPr>
            <w:tcW w:type="pct" w:w="4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Validate rule configuration model with business/commercial stakeholders early (Sprint 1–2)</w:t>
            </w:r>
          </w:p>
        </w:tc>
      </w:tr>
      <w:tr>
        <w:tc>
          <w:tcPr>
            <w:tcW w:type="pct" w:w="32%"/>
            <w:tcMar>
              <w:top w:type="dxa" w:w="80"/>
              <w:left w:type="dxa" w:w="100"/>
              <w:bottom w:type="dxa" w:w="80"/>
              <w:right w:type="dxa" w:w="100"/>
            </w:tcMar>
            <w:vAlign w:val="center"/>
          </w:tcPr>
          <w:p>
            <w:pPr>
              <w:spacing w:after="40"/>
            </w:pPr>
            <w:r>
              <w:rPr>
                <w:b w:val="false"/>
                <w:bCs w:val="false"/>
                <w:color w:val="222222"/>
                <w:sz w:val="19"/>
                <w:szCs w:val="19"/>
              </w:rPr>
              <w:t xml:space="preserve">Integration contracts change once other pillars begin design</w:t>
            </w:r>
          </w:p>
        </w:tc>
        <w:tc>
          <w:tcPr>
            <w:tcW w:type="pct" w:w="28%"/>
            <w:tcMar>
              <w:top w:type="dxa" w:w="80"/>
              <w:left w:type="dxa" w:w="100"/>
              <w:bottom w:type="dxa" w:w="80"/>
              <w:right w:type="dxa" w:w="100"/>
            </w:tcMar>
            <w:vAlign w:val="center"/>
          </w:tcPr>
          <w:p>
            <w:pPr>
              <w:spacing w:after="40"/>
            </w:pPr>
            <w:r>
              <w:rPr>
                <w:b w:val="false"/>
                <w:bCs w:val="false"/>
                <w:color w:val="222222"/>
                <w:sz w:val="19"/>
                <w:szCs w:val="19"/>
              </w:rPr>
              <w:t xml:space="preserve">Rework of contract/stub layer</w:t>
            </w:r>
          </w:p>
        </w:tc>
        <w:tc>
          <w:tcPr>
            <w:tcW w:type="pct" w:w="40%"/>
            <w:tcMar>
              <w:top w:type="dxa" w:w="80"/>
              <w:left w:type="dxa" w:w="100"/>
              <w:bottom w:type="dxa" w:w="80"/>
              <w:right w:type="dxa" w:w="100"/>
            </w:tcMar>
            <w:vAlign w:val="center"/>
          </w:tcPr>
          <w:p>
            <w:pPr>
              <w:spacing w:after="40"/>
            </w:pPr>
            <w:r>
              <w:rPr>
                <w:b w:val="false"/>
                <w:bCs w:val="false"/>
                <w:color w:val="222222"/>
                <w:sz w:val="19"/>
                <w:szCs w:val="19"/>
              </w:rPr>
              <w:t xml:space="preserve">Version contracts; treat first release as v1 with an explicit change-management process</w:t>
            </w:r>
          </w:p>
        </w:tc>
      </w:tr>
    </w:tbl>
    <w:p>
      <w:pPr>
        <w:pStyle w:val="Heading1"/>
        <w:spacing w:after="200" w:before="400"/>
      </w:pPr>
      <w:r>
        <w:t xml:space="preserve">10. Open Items for Technical Design</w:t>
      </w:r>
    </w:p>
    <w:p>
      <w:pPr>
        <w:pStyle w:val="ListParagraph"/>
        <w:numPr>
          <w:ilvl w:val="0"/>
          <w:numId w:val="1"/>
        </w:numPr>
        <w:spacing w:after="90" w:line="264"/>
      </w:pPr>
      <w:r>
        <w:rPr>
          <w:color w:val="222222"/>
          <w:sz w:val="21"/>
          <w:szCs w:val="21"/>
        </w:rPr>
        <w:t xml:space="preserve">Final AWS service selection, sizing and cost estimate (TDD).</w:t>
      </w:r>
    </w:p>
    <w:p>
      <w:pPr>
        <w:pStyle w:val="ListParagraph"/>
        <w:numPr>
          <w:ilvl w:val="0"/>
          <w:numId w:val="1"/>
        </w:numPr>
        <w:spacing w:after="90" w:line="264"/>
      </w:pPr>
      <w:r>
        <w:rPr>
          <w:color w:val="222222"/>
          <w:sz w:val="21"/>
          <w:szCs w:val="21"/>
        </w:rPr>
        <w:t xml:space="preserve">Detailed physical data model, indexing and partitioning strategy (TDD).</w:t>
      </w:r>
    </w:p>
    <w:p>
      <w:pPr>
        <w:pStyle w:val="ListParagraph"/>
        <w:numPr>
          <w:ilvl w:val="0"/>
          <w:numId w:val="1"/>
        </w:numPr>
        <w:spacing w:after="90" w:line="264"/>
      </w:pPr>
      <w:r>
        <w:rPr>
          <w:color w:val="222222"/>
          <w:sz w:val="21"/>
          <w:szCs w:val="21"/>
        </w:rPr>
        <w:t xml:space="preserve">Detailed API specifications (OpenAPI) for all contract/stub endpoints (TDD appendix or separate API specification artefact).</w:t>
      </w:r>
    </w:p>
    <w:p>
      <w:pPr>
        <w:pStyle w:val="ListParagraph"/>
        <w:numPr>
          <w:ilvl w:val="0"/>
          <w:numId w:val="1"/>
        </w:numPr>
        <w:spacing w:after="90" w:line="264"/>
      </w:pPr>
      <w:r>
        <w:rPr>
          <w:color w:val="222222"/>
          <w:sz w:val="21"/>
          <w:szCs w:val="21"/>
        </w:rPr>
        <w:t xml:space="preserve">Detailed security architecture – IAM roles, secrets management, encryption key management (TDD).</w:t>
      </w:r>
    </w:p>
    <w:p>
      <w:pPr>
        <w:pStyle w:val="ListParagraph"/>
        <w:numPr>
          <w:ilvl w:val="0"/>
          <w:numId w:val="1"/>
        </w:numPr>
        <w:spacing w:after="90" w:line="264"/>
      </w:pPr>
      <w:r>
        <w:rPr>
          <w:color w:val="222222"/>
          <w:sz w:val="21"/>
          <w:szCs w:val="21"/>
        </w:rPr>
        <w:t xml:space="preserve">CI/CD pipeline and Infrastructure-as-Code tooling selection (TDD).</w:t>
      </w:r>
    </w:p>
    <w:p>
      <w:r>
        <w:br w:type="page"/>
      </w:r>
    </w:p>
    <w:p>
      <w:pPr>
        <w:pStyle w:val="Heading1"/>
        <w:spacing w:after="200" w:before="400"/>
      </w:pPr>
      <w:r>
        <w:t xml:space="preserve">Appendix A: Requirements Traceability (Indicative)</w:t>
      </w:r>
    </w:p>
    <w:p>
      <w:pPr>
        <w:spacing w:after="160" w:line="276"/>
      </w:pPr>
      <w:r>
        <w:rPr>
          <w:color w:val="222222"/>
          <w:sz w:val="21"/>
          <w:szCs w:val="21"/>
        </w:rPr>
        <w:t xml:space="preserve">Maps BRD functional requirement groups to the solution components responsible for delivering them. Full requirement-by-requirement traceability will be maintained in the sprint backlog.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5%"/>
            <w:shd w:fill="1B2A4A" w:val="clear"/>
            <w:tcMar>
              <w:top w:type="dxa" w:w="80"/>
              <w:left w:type="dxa" w:w="100"/>
              <w:bottom w:type="dxa" w:w="80"/>
              <w:right w:type="dxa" w:w="100"/>
            </w:tcMar>
            <w:vAlign w:val="center"/>
          </w:tcPr>
          <w:p>
            <w:r>
              <w:rPr>
                <w:b/>
                <w:bCs/>
                <w:color w:val="FFFFFF"/>
                <w:sz w:val="19"/>
                <w:szCs w:val="19"/>
              </w:rPr>
              <w:t xml:space="preserve">BRD Requirement Group</w:t>
            </w:r>
          </w:p>
        </w:tc>
        <w:tc>
          <w:tcPr>
            <w:tcW w:type="pct" w:w="55%"/>
            <w:shd w:fill="1B2A4A" w:val="clear"/>
            <w:tcMar>
              <w:top w:type="dxa" w:w="80"/>
              <w:left w:type="dxa" w:w="100"/>
              <w:bottom w:type="dxa" w:w="80"/>
              <w:right w:type="dxa" w:w="100"/>
            </w:tcMar>
            <w:vAlign w:val="center"/>
          </w:tcPr>
          <w:p>
            <w:r>
              <w:rPr>
                <w:b/>
                <w:bCs/>
                <w:color w:val="FFFFFF"/>
                <w:sz w:val="19"/>
                <w:szCs w:val="19"/>
              </w:rPr>
              <w:t xml:space="preserve">SDD Component(s)</w:t>
            </w:r>
          </w:p>
        </w:tc>
      </w:tr>
      <w:tr>
        <w:tc>
          <w:tcPr>
            <w:tcW w:type="pct" w:w="45%"/>
            <w:tcMar>
              <w:top w:type="dxa" w:w="80"/>
              <w:left w:type="dxa" w:w="100"/>
              <w:bottom w:type="dxa" w:w="80"/>
              <w:right w:type="dxa" w:w="100"/>
            </w:tcMar>
            <w:vAlign w:val="center"/>
          </w:tcPr>
          <w:p>
            <w:pPr>
              <w:spacing w:after="40"/>
            </w:pPr>
            <w:r>
              <w:rPr>
                <w:b w:val="false"/>
                <w:bCs w:val="false"/>
                <w:color w:val="222222"/>
                <w:sz w:val="19"/>
                <w:szCs w:val="19"/>
              </w:rPr>
              <w:t xml:space="preserve">FR-VEN-xx Vendor &amp; Offering Management</w:t>
            </w:r>
          </w:p>
        </w:tc>
        <w:tc>
          <w:tcPr>
            <w:tcW w:type="pct" w:w="55%"/>
            <w:tcMar>
              <w:top w:type="dxa" w:w="80"/>
              <w:left w:type="dxa" w:w="100"/>
              <w:bottom w:type="dxa" w:w="80"/>
              <w:right w:type="dxa" w:w="100"/>
            </w:tcMar>
            <w:vAlign w:val="center"/>
          </w:tcPr>
          <w:p>
            <w:pPr>
              <w:spacing w:after="40"/>
            </w:pPr>
            <w:r>
              <w:rPr>
                <w:b w:val="false"/>
                <w:bCs w:val="false"/>
                <w:color w:val="222222"/>
                <w:sz w:val="19"/>
                <w:szCs w:val="19"/>
              </w:rPr>
              <w:t xml:space="preserve">Vendor &amp; Offering Management module</w:t>
            </w:r>
          </w:p>
        </w:tc>
      </w:tr>
      <w:tr>
        <w:tc>
          <w:tcPr>
            <w:tcW w:type="pct" w:w="4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FR-ECO-xx / FR-BUN-xx Eco-System &amp; Bundle Management</w:t>
            </w:r>
          </w:p>
        </w:tc>
        <w:tc>
          <w:tcPr>
            <w:tcW w:type="pct" w:w="5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Eco-System &amp; Bundle Management module</w:t>
            </w:r>
          </w:p>
        </w:tc>
      </w:tr>
      <w:tr>
        <w:tc>
          <w:tcPr>
            <w:tcW w:type="pct" w:w="45%"/>
            <w:tcMar>
              <w:top w:type="dxa" w:w="80"/>
              <w:left w:type="dxa" w:w="100"/>
              <w:bottom w:type="dxa" w:w="80"/>
              <w:right w:type="dxa" w:w="100"/>
            </w:tcMar>
            <w:vAlign w:val="center"/>
          </w:tcPr>
          <w:p>
            <w:pPr>
              <w:spacing w:after="40"/>
            </w:pPr>
            <w:r>
              <w:rPr>
                <w:b w:val="false"/>
                <w:bCs w:val="false"/>
                <w:color w:val="222222"/>
                <w:sz w:val="19"/>
                <w:szCs w:val="19"/>
              </w:rPr>
              <w:t xml:space="preserve">FR-PTR-xx Partner Management &amp; Portal</w:t>
            </w:r>
          </w:p>
        </w:tc>
        <w:tc>
          <w:tcPr>
            <w:tcW w:type="pct" w:w="55%"/>
            <w:tcMar>
              <w:top w:type="dxa" w:w="80"/>
              <w:left w:type="dxa" w:w="100"/>
              <w:bottom w:type="dxa" w:w="80"/>
              <w:right w:type="dxa" w:w="100"/>
            </w:tcMar>
            <w:vAlign w:val="center"/>
          </w:tcPr>
          <w:p>
            <w:pPr>
              <w:spacing w:after="40"/>
            </w:pPr>
            <w:r>
              <w:rPr>
                <w:b w:val="false"/>
                <w:bCs w:val="false"/>
                <w:color w:val="222222"/>
                <w:sz w:val="19"/>
                <w:szCs w:val="19"/>
              </w:rPr>
              <w:t xml:space="preserve">Partner &amp; Subscription Management module; Partner Portal</w:t>
            </w:r>
          </w:p>
        </w:tc>
      </w:tr>
      <w:tr>
        <w:tc>
          <w:tcPr>
            <w:tcW w:type="pct" w:w="4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FR-CON-xx Consumer Enrolment (API)</w:t>
            </w:r>
          </w:p>
        </w:tc>
        <w:tc>
          <w:tcPr>
            <w:tcW w:type="pct" w:w="5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Consumer Enrolment API (stub); Integration &amp; Event Layer</w:t>
            </w:r>
          </w:p>
        </w:tc>
      </w:tr>
      <w:tr>
        <w:tc>
          <w:tcPr>
            <w:tcW w:type="pct" w:w="45%"/>
            <w:tcMar>
              <w:top w:type="dxa" w:w="80"/>
              <w:left w:type="dxa" w:w="100"/>
              <w:bottom w:type="dxa" w:w="80"/>
              <w:right w:type="dxa" w:w="100"/>
            </w:tcMar>
            <w:vAlign w:val="center"/>
          </w:tcPr>
          <w:p>
            <w:pPr>
              <w:spacing w:after="40"/>
            </w:pPr>
            <w:r>
              <w:rPr>
                <w:b w:val="false"/>
                <w:bCs w:val="false"/>
                <w:color w:val="222222"/>
                <w:sz w:val="19"/>
                <w:szCs w:val="19"/>
              </w:rPr>
              <w:t xml:space="preserve">FR-RPT-xx Profit-Share &amp; Reporting</w:t>
            </w:r>
          </w:p>
        </w:tc>
        <w:tc>
          <w:tcPr>
            <w:tcW w:type="pct" w:w="55%"/>
            <w:tcMar>
              <w:top w:type="dxa" w:w="80"/>
              <w:left w:type="dxa" w:w="100"/>
              <w:bottom w:type="dxa" w:w="80"/>
              <w:right w:type="dxa" w:w="100"/>
            </w:tcMar>
            <w:vAlign w:val="center"/>
          </w:tcPr>
          <w:p>
            <w:pPr>
              <w:spacing w:after="40"/>
            </w:pPr>
            <w:r>
              <w:rPr>
                <w:b w:val="false"/>
                <w:bCs w:val="false"/>
                <w:color w:val="222222"/>
                <w:sz w:val="19"/>
                <w:szCs w:val="19"/>
              </w:rPr>
              <w:t xml:space="preserve">Transaction Capture &amp; Profit-Share Engine; Reporting &amp; Export Service</w:t>
            </w:r>
          </w:p>
        </w:tc>
      </w:tr>
      <w:tr>
        <w:tc>
          <w:tcPr>
            <w:tcW w:type="pct" w:w="4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FR-ADM-xx / FR-SAL-xx Internal Admin &amp; Sales</w:t>
            </w:r>
          </w:p>
        </w:tc>
        <w:tc>
          <w:tcPr>
            <w:tcW w:type="pct" w:w="5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Internal Admin &amp; Sales Console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Page </w:t>
    </w:r>
    <w:r>
      <w:rPr>
        <w:color w:val="5A6472"/>
        <w:sz w:val="16"/>
        <w:szCs w:val="16"/>
      </w:rPr>
      <w:fldChar w:fldCharType="begin"/>
      <w:instrText xml:space="preserve">PAGE</w:instrText>
      <w:fldChar w:fldCharType="separate"/>
      <w:fldChar w:fldCharType="end"/>
    </w:r>
    <w:r>
      <w:rPr>
        <w:color w:val="5A6472"/>
        <w:sz w:val="16"/>
        <w:szCs w:val="16"/>
      </w:rPr>
      <w:t xml:space="preserve"> of </w:t>
    </w:r>
    <w:r>
      <w:rPr>
        <w:color w:val="5A6472"/>
        <w:sz w:val="16"/>
        <w:szCs w:val="16"/>
      </w:rPr>
      <w:fldChar w:fldCharType="begin"/>
      <w:instrText xml:space="preserve">NUMPAGES</w:instrText>
      <w:fldChar w:fldCharType="separate"/>
      <w:fldChar w:fldCharType="end"/>
    </w:r>
    <w:r>
      <w:rPr>
        <w:color w:val="5A6472"/>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2"/>
        <w:sz w:val="16"/>
        <w:szCs w:val="16"/>
      </w:rPr>
      <w:t xml:space="preserve">Partnership Pillar Platform – Solution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AC" w:sz="8" w:space="4"/>
      </w:pBdr>
      <w:spacing w:after="200" w:before="400"/>
    </w:pPr>
    <w:rPr>
      <w:rFonts w:ascii="Calibri" w:cs="Calibri" w:eastAsia="Calibri" w:hAnsi="Calibri"/>
      <w:b/>
      <w:bCs/>
      <w:color w:val="1B2A4A"/>
      <w:sz w:val="30"/>
      <w:szCs w:val="30"/>
    </w:rPr>
  </w:style>
  <w:style w:type="paragraph" w:styleId="Heading2">
    <w:name w:val="Heading 2"/>
    <w:basedOn w:val="Normal"/>
    <w:next w:val="Normal"/>
    <w:qFormat/>
    <w:pPr>
      <w:spacing w:after="150" w:before="300"/>
    </w:pPr>
    <w:rPr>
      <w:rFonts w:ascii="Calibri" w:cs="Calibri" w:eastAsia="Calibri" w:hAnsi="Calibri"/>
      <w:b/>
      <w:bCs/>
      <w:color w:val="2E5AAC"/>
      <w:sz w:val="25"/>
      <w:szCs w:val="25"/>
    </w:rPr>
  </w:style>
  <w:style w:type="paragraph" w:styleId="Heading3">
    <w:name w:val="Heading 3"/>
    <w:basedOn w:val="Normal"/>
    <w:next w:val="Normal"/>
    <w:qFormat/>
    <w:pPr>
      <w:spacing w:after="100" w:before="200"/>
    </w:pPr>
    <w:rPr>
      <w:rFonts w:ascii="Calibri" w:cs="Calibri" w:eastAsia="Calibri" w:hAnsi="Calibri"/>
      <w:b/>
      <w:bCs/>
      <w:color w:val="1F8A8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216217ed43e222151897a8096b808680e3e545.png"/><Relationship Id="rId10" Type="http://schemas.openxmlformats.org/officeDocument/2006/relationships/image" Target="media/105ad407c83ebe235b154cd98cf7ac8f8ecf259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2026-08-11T07:22:34.181Z</dcterms:created>
  <dcterms:modified xsi:type="dcterms:W3CDTF">2026-08-11T07:22:34.195Z</dcterms:modified>
</cp:coreProperties>
</file>

<file path=docProps/custom.xml><?xml version="1.0" encoding="utf-8"?>
<Properties xmlns="http://schemas.openxmlformats.org/officeDocument/2006/custom-properties" xmlns:vt="http://schemas.openxmlformats.org/officeDocument/2006/docPropsVTypes"/>
</file>