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B2A4A"/>
          <w:sz w:val="34"/>
          <w:szCs w:val="34"/>
        </w:rPr>
        <w:t xml:space="preserve">TECHNICAL DESIGN DOCUMENT</w:t>
      </w:r>
    </w:p>
    <w:p>
      <w:pPr>
        <w:spacing w:after="120"/>
        <w:jc w:val="center"/>
      </w:pPr>
      <w:r>
        <w:rPr>
          <w:b/>
          <w:bCs/>
          <w:color w:val="2E5AAC"/>
          <w:sz w:val="44"/>
          <w:szCs w:val="44"/>
        </w:rPr>
        <w:t xml:space="preserve">Partnership Pillar Platform</w:t>
      </w:r>
    </w:p>
    <w:p>
      <w:pPr>
        <w:spacing w:after="1200"/>
        <w:jc w:val="center"/>
      </w:pPr>
      <w:r>
        <w:rPr>
          <w:i/>
          <w:iCs/>
          <w:color w:val="5A6472"/>
          <w:sz w:val="24"/>
          <w:szCs w:val="24"/>
        </w:rPr>
        <w:t xml:space="preserve">Multi-Pillar Digital Ecosystem Programme</w:t>
      </w:r>
    </w:p>
    <w:p>
      <w:pPr>
        <w:spacing w:after="80"/>
        <w:jc w:val="center"/>
      </w:pPr>
      <w:r>
        <w:rPr>
          <w:color w:val="222222"/>
          <w:sz w:val="22"/>
          <w:szCs w:val="22"/>
        </w:rPr>
        <w:t xml:space="preserve">Prepared for: Delivery / Engineering / Infrastructure / Support Teams &amp; Head of IT</w:t>
      </w:r>
    </w:p>
    <w:p>
      <w:pPr>
        <w:spacing w:after="80"/>
        <w:jc w:val="center"/>
      </w:pPr>
      <w:r>
        <w:rPr>
          <w:color w:val="222222"/>
          <w:sz w:val="22"/>
          <w:szCs w:val="22"/>
        </w:rPr>
        <w:t xml:space="preserve">Prepared by: IT Architecture Office</w:t>
      </w:r>
    </w:p>
    <w:p>
      <w:pPr>
        <w:spacing w:after="80"/>
        <w:jc w:val="center"/>
      </w:pPr>
      <w:r>
        <w:rPr>
          <w:color w:val="222222"/>
          <w:sz w:val="22"/>
          <w:szCs w:val="22"/>
        </w:rPr>
        <w:t xml:space="preserve">Version 0.1 – Draft for Review</w:t>
      </w:r>
    </w:p>
    <w:p>
      <w:pPr>
        <w:spacing w:after="80"/>
        <w:jc w:val="center"/>
      </w:pPr>
      <w:r>
        <w:rPr>
          <w:color w:val="222222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Document Control</w:t>
      </w:r>
    </w:p>
    <w:p>
      <w:pPr>
        <w:pStyle w:val="Heading2"/>
        <w:spacing w:after="150" w:before="300"/>
      </w:pPr>
      <w: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pct" w:w="1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33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pct" w:w="4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Aug 2026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 Architecture Office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Initial draft for stakeholder review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Distribution /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 / Role</w:t>
            </w:r>
          </w:p>
        </w:tc>
        <w:tc>
          <w:tcPr>
            <w:tcW w:type="pct" w:w="3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pct" w:w="2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Approval Status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Head of IT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Technical governance &amp; sign-off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pct" w:w="4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Engineering Lead</w:t>
            </w:r>
          </w:p>
        </w:tc>
        <w:tc>
          <w:tcPr>
            <w:tcW w:type="pct" w:w="3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Implementation ownership</w:t>
            </w:r>
          </w:p>
        </w:tc>
        <w:tc>
          <w:tcPr>
            <w:tcW w:type="pct" w:w="2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Infrastructure / Cloud Team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 build &amp; operations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pct" w:w="4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 / Operations Team</w:t>
            </w:r>
          </w:p>
        </w:tc>
        <w:tc>
          <w:tcPr>
            <w:tcW w:type="pct" w:w="3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Post-go-live operations readiness</w:t>
            </w:r>
          </w:p>
        </w:tc>
        <w:tc>
          <w:tcPr>
            <w:tcW w:type="pct" w:w="2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Business Requirements Document – Partnership Pillar Platform (v0.1)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Solution Design Document – Partnership Pillar Platform (v0.1) – logical architecture, workflows and delivery plan this TDD implements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Purpose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Technical Design Document (TDD) defines the detailed technical architecture, AWS network design, technical components, data architecture, security architecture, volumetrics/capacity planning, deployment approach and implementation plan for the Partnership Pillar Platform MVP. It implements the logical solution design set out in the Solution Design Document (SDD).</w:t>
      </w:r>
    </w:p>
    <w:p>
      <w:pPr>
        <w:pStyle w:val="Heading2"/>
        <w:spacing w:after="150" w:before="300"/>
      </w:pPr>
      <w:r>
        <w:t xml:space="preserve">1.2 Scope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document covers the technical build for MVP: a greenfield AWS account, cost-effective architecture sized for Year 1 volumes (5 eco-systems, 100 partners, 100,000 consumers, 50% YoY growth), with data residency in Malaysia. Where MVP choices favour cost/simplicity over scale, the future evolution path is documented explicitly (Section 12) rather than built upfront.</w:t>
      </w:r>
    </w:p>
    <w:p>
      <w:pPr>
        <w:pStyle w:val="Heading2"/>
        <w:spacing w:after="150" w:before="300"/>
      </w:pPr>
      <w:r>
        <w:t xml:space="preserve">1.3 References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Business Requirements Document – Partnership Pillar Platform (v0.1)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Solution Design Document – Partnership Pillar Platform (v0.1)</w:t>
      </w:r>
    </w:p>
    <w:p>
      <w:pPr>
        <w:pStyle w:val="Heading1"/>
        <w:spacing w:after="200" w:before="400"/>
      </w:pPr>
      <w:r>
        <w:t xml:space="preserve">2. Technical Architecture Overview</w:t>
      </w:r>
    </w:p>
    <w:p>
      <w:pPr>
        <w:pStyle w:val="Heading2"/>
        <w:spacing w:after="150" w:before="300"/>
      </w:pPr>
      <w:r>
        <w:t xml:space="preserve">2.1 Architecture Style &amp; Rationale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MVP is built as a set of small, independently deployable services on AWS Fargate, one per bounded context identified in the SDD (Vendor &amp; Offering, Eco-System &amp; Bundle, Partner &amp; Subscription, Transaction &amp; Profit-Share). This is deliberately positioned between a single monolith and a full microservices platform: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Each service is right-sized (minimal vCPU/memory, 1–2 tasks with modest auto-scaling) so total MVP compute cost remains low – see Section 8.4 for an indicative cost estimate.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Clean module/service boundaries, aligned to the domain model, mean each service can be scaled, redeployed or re-platformed (e.g. to Amazon EKS) independently as volumes grow, without a disruptive re-architecture.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If budget constraints require an even leaner MVP footprint, these four services can be deployed as a single Fargate service running a modularised codebase (a “modular monolith”) with the same internal module boundaries – a deployment-only decision that does not change the design in this document.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6472"/>
          <w:sz w:val="18"/>
          <w:szCs w:val="18"/>
        </w:rPr>
        <w:t xml:space="preserve">Figure 1 – AWS technical component architecture (MVP): edge/CDN, compute, data, integration/async layers, and cross-cutting concerns.</w:t>
      </w:r>
    </w:p>
    <w:p>
      <w:pPr>
        <w:pStyle w:val="Heading2"/>
        <w:spacing w:after="150" w:before="300"/>
      </w:pPr>
      <w:r>
        <w:t xml:space="preserve">2.2 Technology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pct" w:w="34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pct" w:w="44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(Partner Portal &amp; Admin/Sales Console)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(or similar modern SPA framework), served via CloudFront + S3 static hosting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Fast, low-cost static hosting; clean separation from backend APIs</w:t>
            </w:r>
          </w:p>
        </w:tc>
      </w:tr>
      <w:tr>
        <w:tc>
          <w:tcPr>
            <w:tcW w:type="pct" w:w="2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layer</w:t>
            </w:r>
          </w:p>
        </w:tc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 APIs (JSON) behind Amazon API Gateway and/or Application Load Balancer</w:t>
            </w:r>
          </w:p>
        </w:tc>
        <w:tc>
          <w:tcPr>
            <w:tcW w:type="pct" w:w="4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Industry-standard, well-supported tooling, straightforward contract publishing for integration stubs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services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Containerized services (Node.js or Java/Spring Boot – confirmed at build start based on team skillset) on Amazon ECS Fargate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Serverless container operations (no EC2 patching); pay-for-what-you-use; fits small MVP team</w:t>
            </w:r>
          </w:p>
        </w:tc>
      </w:tr>
      <w:tr>
        <w:tc>
          <w:tcPr>
            <w:tcW w:type="pct" w:w="2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Relational data store</w:t>
            </w:r>
          </w:p>
        </w:tc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RDS for PostgreSQL</w:t>
            </w:r>
          </w:p>
        </w:tc>
        <w:tc>
          <w:tcPr>
            <w:tcW w:type="pct" w:w="4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Mature, well-understood relational engine suited to the structured Vendor/Bundle/Partner/Transaction model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Caching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ElastiCache for Redis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state and read-heavy lookup caching (e.g. active bundle entitlements)</w:t>
            </w:r>
          </w:p>
        </w:tc>
      </w:tr>
      <w:tr>
        <w:tc>
          <w:tcPr>
            <w:tcW w:type="pct" w:w="2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 storage</w:t>
            </w:r>
          </w:p>
        </w:tc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S3</w:t>
            </w:r>
          </w:p>
        </w:tc>
        <w:tc>
          <w:tcPr>
            <w:tcW w:type="pct" w:w="4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Exported reports, static assets, low-cost durable storage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Async messaging / events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EventBridge, Amazon SQS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Domain events and integration stubs to other pillars; decoupled async processing</w:t>
            </w:r>
          </w:p>
        </w:tc>
      </w:tr>
      <w:tr>
        <w:tc>
          <w:tcPr>
            <w:tcW w:type="pct" w:w="2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Scheduled batch</w:t>
            </w:r>
          </w:p>
        </w:tc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 Lambda (EventBridge Scheduler trigger)</w:t>
            </w:r>
          </w:p>
        </w:tc>
        <w:tc>
          <w:tcPr>
            <w:tcW w:type="pct" w:w="4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Low-cost, serverless periodic profit-share calculation job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AuthN/AuthZ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Cognito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Managed identity for Partner / Admin / Sales personas; role-based access control</w:t>
            </w:r>
          </w:p>
        </w:tc>
      </w:tr>
      <w:tr>
        <w:tc>
          <w:tcPr>
            <w:tcW w:type="pct" w:w="2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Edge / delivery</w:t>
            </w:r>
          </w:p>
        </w:tc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CloudFront, AWS WAF, Amazon Route 53, AWS Certificate Manager</w:t>
            </w:r>
          </w:p>
        </w:tc>
        <w:tc>
          <w:tcPr>
            <w:tcW w:type="pct" w:w="4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TLS termination, DDoS/web-attack protection, DNS management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AWS Network Architecture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6472"/>
          <w:sz w:val="18"/>
          <w:szCs w:val="18"/>
        </w:rPr>
        <w:t xml:space="preserve">Figure 2 – AWS network architecture (MVP): 2-AZ VPC with public, private-app and private-data subnet tiers.</w:t>
      </w:r>
    </w:p>
    <w:p>
      <w:pPr>
        <w:pStyle w:val="Heading2"/>
        <w:spacing w:after="150" w:before="300"/>
      </w:pPr>
      <w:r>
        <w:t xml:space="preserve">3.1 VPC &amp; Subnet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Subnet Tier</w:t>
            </w:r>
          </w:p>
        </w:tc>
        <w:tc>
          <w:tcPr>
            <w:tcW w:type="pct" w:w="2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Indicative CIDR (per AZ)</w:t>
            </w:r>
          </w:p>
        </w:tc>
        <w:tc>
          <w:tcPr>
            <w:tcW w:type="pct" w:w="3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pct" w:w="2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Internet Access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10.0.0.0/24, 10.0.1.0/24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ALB, NAT Gateway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 (via Internet Gateway)</w:t>
            </w:r>
          </w:p>
        </w:tc>
      </w:tr>
      <w:tr>
        <w:tc>
          <w:tcPr>
            <w:tcW w:type="pct" w:w="2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Private – Application</w:t>
            </w:r>
          </w:p>
        </w:tc>
        <w:tc>
          <w:tcPr>
            <w:tcW w:type="pct" w:w="2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10.0.10.0/24, 10.0.11.0/24</w:t>
            </w:r>
          </w:p>
        </w:tc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ECS Fargate tasks</w:t>
            </w:r>
          </w:p>
        </w:tc>
        <w:tc>
          <w:tcPr>
            <w:tcW w:type="pct" w:w="2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Outbound only, via NAT Gateway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Private – Data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10.0.20.0/24, 10.0.21.0/24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RDS PostgreSQL, ElastiCache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 (VPC-internal + VPC endpoints only)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The VPC spans two Availability Zones within ap-southeast-5 for MVP resilience. A third AZ can be added ahead of scale-up (Section 12) without redesign, since the Malaysia region provides three AZs.</w:t>
      </w:r>
    </w:p>
    <w:p>
      <w:pPr>
        <w:pStyle w:val="Heading2"/>
        <w:spacing w:after="150" w:before="300"/>
      </w:pPr>
      <w:r>
        <w:t xml:space="preserve">3.2 Security Groups &amp; Network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pct" w:w="76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ALB Security Group</w:t>
            </w:r>
          </w:p>
        </w:tc>
        <w:tc>
          <w:tcPr>
            <w:tcW w:type="pct" w:w="7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Allows inbound HTTPS (443) from CloudFront/WAF only; outbound to application security group.</w:t>
            </w:r>
          </w:p>
        </w:tc>
      </w:tr>
      <w:tr>
        <w:tc>
          <w:tcPr>
            <w:tcW w:type="pct" w:w="2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Application Security Group (ECS tasks)</w:t>
            </w:r>
          </w:p>
        </w:tc>
        <w:tc>
          <w:tcPr>
            <w:tcW w:type="pct" w:w="7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Allows inbound only from the ALB security group on the service port; outbound to data security group and VPC endpoints.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Security Group (RDS, ElastiCache)</w:t>
            </w:r>
          </w:p>
        </w:tc>
        <w:tc>
          <w:tcPr>
            <w:tcW w:type="pct" w:w="7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Allows inbound only from the application security group on the DB/cache port; no direct internet exposure.</w:t>
            </w:r>
          </w:p>
        </w:tc>
      </w:tr>
      <w:tr>
        <w:tc>
          <w:tcPr>
            <w:tcW w:type="pct" w:w="2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 WAF</w:t>
            </w:r>
          </w:p>
        </w:tc>
        <w:tc>
          <w:tcPr>
            <w:tcW w:type="pct" w:w="7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Managed rule sets for common web exploits (SQLi, XSS) and rate-based rules in front of CloudFront.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VPC Endpoints</w:t>
            </w:r>
          </w:p>
        </w:tc>
        <w:tc>
          <w:tcPr>
            <w:tcW w:type="pct" w:w="7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Gateway endpoint for S3; interface endpoints for Secrets Manager, EventBridge, SQS, ECR – keeps AWS-service traffic off the public internet.</w:t>
            </w:r>
          </w:p>
        </w:tc>
      </w:tr>
      <w:tr>
        <w:tc>
          <w:tcPr>
            <w:tcW w:type="pct" w:w="2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Network ACLs</w:t>
            </w:r>
          </w:p>
        </w:tc>
        <w:tc>
          <w:tcPr>
            <w:tcW w:type="pct" w:w="7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Default-deny baseline at the subnet level as defense-in-depth, supplementing security groups.</w:t>
            </w:r>
          </w:p>
        </w:tc>
      </w:tr>
    </w:tbl>
    <w:p>
      <w:pPr>
        <w:pStyle w:val="Heading2"/>
        <w:spacing w:after="150" w:before="300"/>
      </w:pPr>
      <w:r>
        <w:t xml:space="preserve">3.3 DNS &amp; Certificate Management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Amazon Route 53 hosts the public DNS zone for the Partnership Pillar's domain/subdomain.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AWS Certificate Manager issues and auto-renews TLS certificates used at CloudFront and the ALB.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Technical Components Detail</w:t>
      </w:r>
    </w:p>
    <w:p>
      <w:pPr>
        <w:pStyle w:val="Heading2"/>
        <w:spacing w:after="150" w:before="300"/>
      </w:pPr>
      <w:r>
        <w:t xml:space="preserve">4.1 Compute – Amazon ECS on Fargate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pct" w:w="7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MVP Configuration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Cluster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 ECS cluster for the Partnership Pillar platform</w:t>
            </w:r>
          </w:p>
        </w:tc>
      </w:tr>
      <w:tr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Services</w:t>
            </w:r>
          </w:p>
        </w:tc>
        <w:tc>
          <w:tcPr>
            <w:tcW w:type="pct" w:w="7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services: Vendor &amp; Offering, Eco-System &amp; Bundle, Partner &amp; Subscription, Transaction &amp; Profit-Share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 size (each)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 vCPU / 1 GB memory (indicative starting point; tuned after load testing)</w:t>
            </w:r>
          </w:p>
        </w:tc>
      </w:tr>
      <w:tr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Desired task count</w:t>
            </w:r>
          </w:p>
        </w:tc>
        <w:tc>
          <w:tcPr>
            <w:tcW w:type="pct" w:w="7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1–2 tasks per service (Multi-AZ placement) for MVP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Auto-scaling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Target-tracking on CPU/memory utilisation, min 1, max 3–4 tasks per service for MVP</w:t>
            </w:r>
          </w:p>
        </w:tc>
      </w:tr>
      <w:tr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pct" w:w="7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Rolling deployment via ECS service update, driven by CI/CD pipeline (Section 9)</w:t>
            </w:r>
          </w:p>
        </w:tc>
      </w:tr>
    </w:tbl>
    <w:p>
      <w:pPr>
        <w:pStyle w:val="Heading2"/>
        <w:spacing w:after="150" w:before="300"/>
      </w:pPr>
      <w:r>
        <w:t xml:space="preserve">4.2 Data – Amazon RDS for PostgreSQL &amp; ElastiCache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pct" w:w="7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MVP Configuration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Engine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 (latest supported stable major version at build time)</w:t>
            </w:r>
          </w:p>
        </w:tc>
      </w:tr>
      <w:tr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Instance class</w:t>
            </w:r>
          </w:p>
        </w:tc>
        <w:tc>
          <w:tcPr>
            <w:tcW w:type="pct" w:w="7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db.t4g.medium (burstable, cost-effective) as MVP starting point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Multi-AZ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Enabled for production (standby replica in second AZ) per Figure 2</w:t>
            </w:r>
          </w:p>
        </w:tc>
      </w:tr>
      <w:tr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Storage</w:t>
            </w:r>
          </w:p>
        </w:tc>
        <w:tc>
          <w:tcPr>
            <w:tcW w:type="pct" w:w="7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General Purpose SSD (gp3), auto-scaling storage enabled, starting at 50–100 GB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Backups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Automated daily snapshots, 7–14 day retention for MVP (see Section 6.3 / 11)</w:t>
            </w:r>
          </w:p>
        </w:tc>
      </w:tr>
      <w:tr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Cache</w:t>
            </w:r>
          </w:p>
        </w:tc>
        <w:tc>
          <w:tcPr>
            <w:tcW w:type="pct" w:w="7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ElastiCache for Redis, single small node (cache.t4g.micro/small) for session and entitlement-lookup caching</w:t>
            </w:r>
          </w:p>
        </w:tc>
      </w:tr>
    </w:tbl>
    <w:p>
      <w:pPr>
        <w:pStyle w:val="Heading2"/>
        <w:spacing w:after="150" w:before="300"/>
      </w:pPr>
      <w:r>
        <w:t xml:space="preserve">4.3 Storage – Amazon S3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Reports bucket: exported transaction listing and profit-share reports; versioning enabled; lifecycle policy to transition older exports to lower-cost storage classes.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Static assets bucket: frontend build artefacts served via CloudFront.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All buckets: default encryption (SSE-KMS), block public access enabled, access via least-privilege IAM roles / VPC endpoint only.</w:t>
      </w:r>
    </w:p>
    <w:p>
      <w:pPr>
        <w:pStyle w:val="Heading2"/>
        <w:spacing w:after="150" w:before="300"/>
      </w:pPr>
      <w:r>
        <w:t xml:space="preserve">4.4 Integration &amp; Messaging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Amazon API Gateway exposes the published Consumer Enrolment API and Consumer Entitlement Query API contracts (see SDD Section 6) for the Store-Front pillar, secured via API keys/OAuth2 client credentials.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Amazon EventBridge carries domain events (e.g. TransactionRecorded) for the Loyalty pillar integration stub, on a dedicated event bus for the Partnership Pillar.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Amazon SQS decouples slower asynchronous processing (e.g. report generation jobs) from user-facing request paths.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AWS Lambda, triggered on a schedule via EventBridge Scheduler, runs the periodic profit-share calculation batch job, reading transactions from RDS and writing report exports to S3.</w:t>
      </w:r>
    </w:p>
    <w:p>
      <w:pPr>
        <w:pStyle w:val="Heading2"/>
        <w:spacing w:after="150" w:before="300"/>
      </w:pPr>
      <w:r>
        <w:t xml:space="preserve">4.5 Identity &amp; Access – Amazon Cognito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Separate Cognito user pools (or pool groups) for Partner users and Internal (Admin/Sales) users, reflecting the BRD's persona-based access model.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Role-based claims in the issued JWT drive authorization decisions at the API Gateway / application layer (Admin: full config access; Sales: read-only KPI; Partner: own-organisation data only).</w:t>
      </w:r>
    </w:p>
    <w:p>
      <w:pPr>
        <w:pStyle w:val="Heading2"/>
        <w:spacing w:after="150" w:before="300"/>
      </w:pPr>
      <w:r>
        <w:t xml:space="preserve">4.6 Edge &amp; Delivery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Amazon CloudFront fronts both the static frontend assets and API traffic where applicable, with AWS WAF attached for managed protection rules.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Amazon Route 53 and AWS Certificate Manager handle DNS and TLS as described in Section 3.3.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Data Architecture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logical entities (Vendor, Offering, EcoSystem, Bundle, BundleOffering, Partner, PartnerSubscription, ConsumerEnrolment, Transaction, ProfitShareRule, ProfitShareReport) are defined in the SDD (Section 5). Technically, these map to a normalised PostgreSQL schema, with the BundleOffering and PartnerSubscription tables enforcing the BRD's core business rules (locked bundle composition per version; whole-bundle-only subscription) via foreign keys and application-level validation.</w:t>
      </w:r>
    </w:p>
    <w:p>
      <w:pPr>
        <w:pStyle w:val="Heading2"/>
        <w:spacing w:after="150" w:before="300"/>
      </w:pPr>
      <w:r>
        <w:t xml:space="preserve">5.1 Encryption &amp; Key Management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Encryption at rest for RDS, ElastiCache (where supported) and S3 via AWS KMS customer-managed keys.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Encryption in transit via TLS 1.2+ for all client-facing and internal service-to-service traffic.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Secrets (database credentials, API keys) stored in AWS Secrets Manager, never in application code or environment files, with automatic rotation enabled where supported.</w:t>
      </w:r>
    </w:p>
    <w:p>
      <w:pPr>
        <w:pStyle w:val="Heading2"/>
        <w:spacing w:after="150" w:before="300"/>
      </w:pPr>
      <w:r>
        <w:t xml:space="preserve">5.2 Backup &amp; Retention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RDS automated backups: daily snapshot, 7–14 day retention for MVP, extendable as compliance requirements are confirmed.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S3 report exports: versioned, retained per a data retention policy to be confirmed with compliance/legal (informed by BNM/PDPA requirements).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Point-in-time recovery enabled on RDS for operational recovery within the backup retention window.</w:t>
      </w:r>
    </w:p>
    <w:p>
      <w:pPr>
        <w:pStyle w:val="Heading1"/>
        <w:spacing w:after="200" w:before="400"/>
      </w:pPr>
      <w:r>
        <w:t xml:space="preserve">6. Security Architecture</w:t>
      </w:r>
    </w:p>
    <w:p>
      <w:pPr>
        <w:pStyle w:val="Heading2"/>
        <w:spacing w:after="150" w:before="300"/>
      </w:pPr>
      <w:r>
        <w:t xml:space="preserve">6.1 IAM &amp; Access Control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Least-privilege IAM roles per service (ECS task roles, Lambda execution role), scoped to only the AWS resources each component needs.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No long-lived AWS credentials embedded in application code; ECS tasks and Lambda assume roles at runtime.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Human access to the AWS account via federated SSO (e.g. IAM Identity Center) with MFA enforced, rather than individual IAM users, where organisationally available; otherwise individual IAM users with mandatory MFA as an MVP interim measure.</w:t>
      </w:r>
    </w:p>
    <w:p>
      <w:pPr>
        <w:pStyle w:val="Heading2"/>
        <w:spacing w:after="150" w:before="300"/>
      </w:pPr>
      <w:r>
        <w:t xml:space="preserve">6.2 Network Security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As detailed in Section 3.2: layered security groups, private subnets for application and data tiers, WAF at the edge, and VPC endpoints to avoid unnecessary public internet exposure for AWS-service traffic.</w:t>
      </w:r>
    </w:p>
    <w:p>
      <w:pPr>
        <w:pStyle w:val="Heading2"/>
        <w:spacing w:after="150" w:before="300"/>
      </w:pPr>
      <w:r>
        <w:t xml:space="preserve">6.3 Application Security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Secure coding practices aligned to OWASP Top 10; dependency vulnerability scanning in the CI/CD pipeline (Section 9).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Input validation and authorization checks enforced at the API layer for every request, including internal Admin/Sales console calls.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Audit logging of configuration changes (bundle versions, profit-share rules) and report generation events, per BRD auditability requirement.</w:t>
      </w:r>
    </w:p>
    <w:p>
      <w:pPr>
        <w:pStyle w:val="Heading2"/>
        <w:spacing w:after="150" w:before="300"/>
      </w:pPr>
      <w:r>
        <w:t xml:space="preserve">6.4 Compliance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pct" w:w="7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Technical Control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residency (Malaysia)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compute, storage and database resources deployed in AWS Asia Pacific (Malaysia) ap-southeast-5</w:t>
            </w:r>
          </w:p>
        </w:tc>
      </w:tr>
      <w:tr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PDPA 2010</w:t>
            </w:r>
          </w:p>
        </w:tc>
        <w:tc>
          <w:tcPr>
            <w:tcW w:type="pct" w:w="7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Encryption at rest/in transit; least-privilege access; audit logging; data retention policy to be finalised with compliance/legal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BNM / FSA / IFSA (insurance-related data)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Policy-level data (premium, sum insured, policy number) captured and stored with the same controls as other transactional data; access restricted to Admin role and relevant reporting functions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Integration &amp; API Design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section adds technical detail to the contracts introduced in the SDD (Section 6).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pct" w:w="3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 / Format</w:t>
            </w:r>
          </w:p>
        </w:tc>
        <w:tc>
          <w:tcPr>
            <w:tcW w:type="pct" w:w="26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AuthN</w:t>
            </w:r>
          </w:p>
        </w:tc>
        <w:tc>
          <w:tcPr>
            <w:tcW w:type="pct" w:w="2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Versioning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Consumer Enrolment API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 / JSON over HTTPS, via API Gateway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OAuth2 client credentials (Cognito) or API key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URI-versioned, e.g. /v1/enrolments</w:t>
            </w:r>
          </w:p>
        </w:tc>
      </w:tr>
      <w:tr>
        <w:tc>
          <w:tcPr>
            <w:tcW w:type="pct" w:w="2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Consumer Entitlement Query API</w:t>
            </w:r>
          </w:p>
        </w:tc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 / JSON over HTTPS, via API Gateway</w:t>
            </w:r>
          </w:p>
        </w:tc>
        <w:tc>
          <w:tcPr>
            <w:tcW w:type="pct" w:w="2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OAuth2 client credentials (Cognito) or API key</w:t>
            </w:r>
          </w:p>
        </w:tc>
        <w:tc>
          <w:tcPr>
            <w:tcW w:type="pct" w:w="2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URI-versioned, e.g. /v1/entitlements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 Event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EventBridge event, JSON payload, dedicated event bus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IAM resource policy on the event bus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schema versioned in the payload (schemaVersion field)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color w:val="222222"/>
          <w:sz w:val="21"/>
          <w:szCs w:val="21"/>
        </w:rPr>
        <w:t xml:space="preserve">Full OpenAPI specifications for each REST contract and JSON Schema definitions for each event are maintained as a separate, version-controlled API specification artefact alongside the codebase, referenced from this document rather than reproduced in full here.</w:t>
      </w:r>
    </w:p>
    <w:p>
      <w:pPr>
        <w:pStyle w:val="Heading2"/>
        <w:spacing w:after="150" w:before="300"/>
      </w:pPr>
      <w:r>
        <w:t xml:space="preserve">7.1 Contract Testing Approach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Consumer-driven contract tests (e.g. Pact-style) or OpenAPI-schema-validation tests run in CI to catch breaking changes to published contracts before merge.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 mock/stub server implementing each contract is provided so other pillar teams (once they exist) can integrate against a realistic test double ahead of live connectivity.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Volume &amp; Capacity Considerations</w:t>
      </w:r>
    </w:p>
    <w:p>
      <w:pPr>
        <w:pStyle w:val="Heading2"/>
        <w:spacing w:after="150" w:before="300"/>
      </w:pPr>
      <w:r>
        <w:t xml:space="preserve">8.1 Year 1 Volume Assumptions (from BRD)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pct" w:w="33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 1 Target</w:t>
            </w:r>
          </w:p>
        </w:tc>
        <w:tc>
          <w:tcPr>
            <w:tcW w:type="pct" w:w="33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 2 (Indicative, +50% YoY)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Eco-systems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7–8</w:t>
            </w:r>
          </w:p>
        </w:tc>
      </w:tr>
      <w:tr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Partners</w:t>
            </w:r>
          </w:p>
        </w:tc>
        <w:tc>
          <w:tcPr>
            <w:tcW w:type="pct" w:w="33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pct" w:w="33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Consumers enrolled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100,000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150,000</w:t>
            </w:r>
          </w:p>
        </w:tc>
      </w:tr>
    </w:tbl>
    <w:p>
      <w:pPr>
        <w:pStyle w:val="Heading2"/>
        <w:spacing w:after="150" w:before="300"/>
      </w:pPr>
      <w:r>
        <w:t xml:space="preserve">8.2 Estimated Transaction &amp; Request Volumes (Indicative)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Assuming each consumer generates on average 1–2 transactions per month across their subscribed bundle's offerings, Year 1 volume is estimated at roughly 100,000–200,000 transactions per month (peak), with substantially lighter administrative/configuration traffic from the ~100 partners and internal Admin/Sales users. These are planning assumptions to validate with the business during Sprint 1–2 and to revisit after initial load testing; they are not firm SLAs.</w:t>
      </w:r>
    </w:p>
    <w:p>
      <w:pPr>
        <w:pStyle w:val="Heading2"/>
        <w:spacing w:after="150" w:before="300"/>
      </w:pPr>
      <w:r>
        <w:t xml:space="preserve">8.3 Sizing Recommendations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ECS Fargate: 1–2 tasks per service at MVP launch, auto-scaling to 3–4 tasks under peak load (e.g. month-end enrolment spikes), based on the volumes in Section 8.2.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RDS PostgreSQL: db.t4g.medium is expected to comfortably handle Year 1 transaction volumes; monitor and resize (or migrate to Aurora – Section 12) as Year 2 volumes approach.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S3: negligible cost driver at MVP scale; storage grows predictably with report export frequency and retention policy.</w:t>
      </w:r>
    </w:p>
    <w:p>
      <w:pPr>
        <w:pStyle w:val="Heading2"/>
        <w:spacing w:after="150" w:before="300"/>
      </w:pPr>
      <w:r>
        <w:t xml:space="preserve">8.4 Indicative Monthly Cost Estimate (MVP, Order-of-Magnitude)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AWS Service Group</w:t>
            </w:r>
          </w:p>
        </w:tc>
        <w:tc>
          <w:tcPr>
            <w:tcW w:type="pct" w:w="26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Indicative Monthly Cost (USD)</w:t>
            </w:r>
          </w:p>
        </w:tc>
        <w:tc>
          <w:tcPr>
            <w:tcW w:type="pct" w:w="36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ECS Fargate (4 services, 1–2 tasks each)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$60 – 120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Right-sized tasks; scales with auto-scaling activity</w:t>
            </w:r>
          </w:p>
        </w:tc>
      </w:tr>
      <w:tr>
        <w:tc>
          <w:tcPr>
            <w:tcW w:type="pct" w:w="3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RDS PostgreSQL (Multi-AZ, db.t4g.medium)</w:t>
            </w:r>
          </w:p>
        </w:tc>
        <w:tc>
          <w:tcPr>
            <w:tcW w:type="pct" w:w="2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$140 – 180</w:t>
            </w:r>
          </w:p>
        </w:tc>
        <w:tc>
          <w:tcPr>
            <w:tcW w:type="pct" w:w="3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Includes storage and automated backups</w:t>
            </w:r>
          </w:p>
        </w:tc>
      </w:tr>
      <w:tr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ElastiCache (small node)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$25 – 40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ALB, NAT Gateway, data transfer</w:t>
            </w:r>
          </w:p>
        </w:tc>
        <w:tc>
          <w:tcPr>
            <w:tcW w:type="pct" w:w="2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$60 – 100</w:t>
            </w:r>
          </w:p>
        </w:tc>
        <w:tc>
          <w:tcPr>
            <w:tcW w:type="pct" w:w="3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 Gateway data processing is often the largest “hidden” cost – monitor closely</w:t>
            </w:r>
          </w:p>
        </w:tc>
      </w:tr>
      <w:tr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CloudFront + WAF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$20 – 40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Traffic-dependent</w:t>
            </w:r>
          </w:p>
        </w:tc>
      </w:tr>
      <w:tr>
        <w:tc>
          <w:tcPr>
            <w:tcW w:type="pct" w:w="3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S3, Secrets Manager, KMS, misc.</w:t>
            </w:r>
          </w:p>
        </w:tc>
        <w:tc>
          <w:tcPr>
            <w:tcW w:type="pct" w:w="2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$15 – 30</w:t>
            </w:r>
          </w:p>
        </w:tc>
        <w:tc>
          <w:tcPr>
            <w:tcW w:type="pct" w:w="3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Gateway, EventBridge, SQS, Lambda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$10 – 25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 at MVP transaction volumes</w:t>
            </w:r>
          </w:p>
        </w:tc>
      </w:tr>
      <w:tr>
        <w:tc>
          <w:tcPr>
            <w:tcW w:type="pct" w:w="3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CloudWatch, X-Ray, CloudTrail</w:t>
            </w:r>
          </w:p>
        </w:tc>
        <w:tc>
          <w:tcPr>
            <w:tcW w:type="pct" w:w="2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$15 – 30</w:t>
            </w:r>
          </w:p>
        </w:tc>
        <w:tc>
          <w:tcPr>
            <w:tcW w:type="pct" w:w="3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Observability and audit logging</w:t>
            </w:r>
          </w:p>
        </w:tc>
      </w:tr>
      <w:tr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Estimated Total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~$345 – 565 / month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Excludes one-off setup effort and any AWS support plan; refine after load testing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Deployment &amp; DevOps</w:t>
      </w:r>
    </w:p>
    <w:p>
      <w:pPr>
        <w:pStyle w:val="Heading2"/>
        <w:spacing w:after="150" w:before="300"/>
      </w:pPr>
      <w:r>
        <w:t xml:space="preserve">9.1 CI/CD Pipeline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Source control: Git repository per service (or a mono-repo with per-module build paths), with mandatory pull-request review.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Build &amp; test: automated build, unit tests, dependency vulnerability scan, and contract tests (Section 7.1) on every pull request.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Container image build &amp; push to Amazon ECR on merge to the main branch.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222222"/>
          <w:sz w:val="21"/>
          <w:szCs w:val="21"/>
        </w:rPr>
        <w:t xml:space="preserve">Deploy: automated deployment to Dev on every merge; promotion to SIT/UAT/Production via approval gates.</w:t>
      </w:r>
    </w:p>
    <w:p>
      <w:pPr>
        <w:pStyle w:val="Heading2"/>
        <w:spacing w:after="150" w:before="300"/>
      </w:pPr>
      <w:r>
        <w:t xml:space="preserve">9.2 Infrastructure as Code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All AWS infrastructure (VPC, subnets, security groups, ECS, RDS, S3, IAM roles, etc.) is defined and version-controlled as Infrastructure as Code (e.g. Terraform or AWS CDK – tool selection confirmed with the Cloud/DevOps engineer at Sprint 0), enabling repeatable environment provisioning and peer-reviewed infrastructure changes.</w:t>
      </w:r>
    </w:p>
    <w:p>
      <w:pPr>
        <w:pStyle w:val="Heading2"/>
        <w:spacing w:after="150" w:before="300"/>
      </w:pPr>
      <w:r>
        <w:t xml:space="preserve">9.3 Environments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pct" w:w="42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pct" w:w="42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Continuous integration target for feature branches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Shared, lower-cost sizing</w:t>
            </w:r>
          </w:p>
        </w:tc>
      </w:tr>
      <w:tr>
        <w:tc>
          <w:tcPr>
            <w:tcW w:type="pct" w:w="1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SIT</w:t>
            </w:r>
          </w:p>
        </w:tc>
        <w:tc>
          <w:tcPr>
            <w:tcW w:type="pct" w:w="4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Integrated backend/frontend and contract/stub testing</w:t>
            </w:r>
          </w:p>
        </w:tc>
        <w:tc>
          <w:tcPr>
            <w:tcW w:type="pct" w:w="4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Mirrors production topology at smaller scale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UAT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Business/product stakeholder sign-off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Production-like configuration and data shape</w:t>
            </w:r>
          </w:p>
        </w:tc>
      </w:tr>
      <w:tr>
        <w:tc>
          <w:tcPr>
            <w:tcW w:type="pct" w:w="1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pct" w:w="4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MVP environment</w:t>
            </w:r>
          </w:p>
        </w:tc>
        <w:tc>
          <w:tcPr>
            <w:tcW w:type="pct" w:w="4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Multi-AZ configuration per Section 3–4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For MVP, all environments are provisioned within the single greenfield AWS account using separate VPCs/namespaces for isolation. Migrating to a multi-account structure (one AWS account per environment via AWS Organizations) is recommended as a near-term post-MVP hardening step – see Section 12.</w:t>
      </w:r>
    </w:p>
    <w:p>
      <w:pPr>
        <w:pStyle w:val="Heading1"/>
        <w:spacing w:after="200" w:before="400"/>
      </w:pPr>
      <w:r>
        <w:t xml:space="preserve">10. Monitoring, Logging &amp; Observability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Amazon CloudWatch: metrics and alarms for ECS service health, RDS performance, API Gateway error rates/latency, and Lambda batch job success/failure.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AWS X-Ray: distributed tracing across services to diagnose latency and error root causes.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Centralised logging: application and infrastructure logs shipped to CloudWatch Logs (with a future option to route to a dedicated log analytics tool as volume grows).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Alerting: CloudWatch Alarms notify the Support/Operations team (e.g. via SNS to email/chat) on critical thresholds (service unhealthy, batch job failure, elevated error rates).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AWS CloudTrail: account-level API activity logging for security and compliance audit.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Disaster Recovery &amp; High Availability</w:t>
      </w:r>
    </w:p>
    <w:p>
      <w:pPr>
        <w:pStyle w:val="Heading2"/>
        <w:spacing w:after="150" w:before="300"/>
      </w:pPr>
      <w:r>
        <w:t xml:space="preserve">11.1 Indicative Targets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pct" w:w="3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MVP Target</w:t>
            </w:r>
          </w:p>
        </w:tc>
        <w:tc>
          <w:tcPr>
            <w:tcW w:type="pct" w:w="3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RTO (Recovery Time Objective)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4 hours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Multi-AZ failover for compute/data; manual runbook-driven recovery for edge cases</w:t>
            </w:r>
          </w:p>
        </w:tc>
      </w:tr>
      <w:tr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RPO (Recovery Point Objective)</w:t>
            </w:r>
          </w:p>
        </w:tc>
        <w:tc>
          <w:tcPr>
            <w:tcW w:type="pct" w:w="3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24 hours (targeting nearer real-time via Multi-AZ sync)</w:t>
            </w:r>
          </w:p>
        </w:tc>
        <w:tc>
          <w:tcPr>
            <w:tcW w:type="pct" w:w="3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RDS Multi-AZ provides near-zero data loss for AZ failure; cross-region DR is a future consideration</w:t>
            </w:r>
          </w:p>
        </w:tc>
      </w:tr>
    </w:tbl>
    <w:p>
      <w:pPr>
        <w:pStyle w:val="Heading2"/>
        <w:spacing w:after="150" w:before="300"/>
      </w:pPr>
      <w:r>
        <w:t xml:space="preserve">11.2 High Availability Design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Compute (ECS Fargate) and data (RDS Multi-AZ, ElastiCache) span two Availability Zones, so a single-AZ failure does not cause an outage.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222222"/>
          <w:sz w:val="21"/>
          <w:szCs w:val="21"/>
        </w:rPr>
        <w:t xml:space="preserve">ALB health checks automatically remove unhealthy ECS tasks from rotation; ECS automatically replaces failed tasks.</w:t>
      </w:r>
    </w:p>
    <w:p>
      <w:pPr>
        <w:pStyle w:val="Heading2"/>
        <w:spacing w:after="150" w:before="300"/>
      </w:pPr>
      <w:r>
        <w:t xml:space="preserve">11.3 Backup &amp; Restore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As detailed in Section 5.2: automated daily RDS backups with point-in-time recovery, and versioned S3 storage for report exports. Restore procedures are documented in an operational runbook maintained by the Infrastructure/Support team ahead of go-live.</w:t>
      </w:r>
    </w:p>
    <w:p>
      <w:pPr>
        <w:pStyle w:val="Heading2"/>
        <w:spacing w:after="150" w:before="300"/>
      </w:pPr>
      <w:r>
        <w:t xml:space="preserve">11.4 Future Direction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Cross-region disaster recovery (e.g. a warm standby in a second AWS region) is not included in MVP given cost-effectiveness goals and the availability of three AZs within the Malaysia region; it is noted as a future consideration once the platform is business-critical (Section 12).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Scalability &amp; Future Evolution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MVP architecture intentionally favours cost-effectiveness and delivery speed within the 6-month window. The table and figure below summarise the components most likely to need evolution as eco-system, partner and consumer volumes grow (50% YoY), so that Delivery, Engineering and Infrastructure teams can plan ahead rather than be surprised by scale.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6472"/>
          <w:sz w:val="18"/>
          <w:szCs w:val="18"/>
        </w:rPr>
        <w:t xml:space="preserve">Figure 3 – Indicative MVP-to-scale evolution path for the components most sensitive to growth.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MVP Component</w:t>
            </w:r>
          </w:p>
        </w:tc>
        <w:tc>
          <w:tcPr>
            <w:tcW w:type="pct" w:w="36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 to Evolve</w:t>
            </w:r>
          </w:p>
        </w:tc>
        <w:tc>
          <w:tcPr>
            <w:tcW w:type="pct" w:w="4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Future Direction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ECS Fargate (small, per-module tasks)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Sustained high CPU/memory utilisation or need for independent release cadence per module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Increase task counts/auto-scaling ceilings; consider Amazon EKS for finer-grained orchestration and service mesh capabilities</w:t>
            </w:r>
          </w:p>
        </w:tc>
      </w:tr>
      <w:tr>
        <w:tc>
          <w:tcPr>
            <w:tcW w:type="pct" w:w="2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RDS PostgreSQL (Single instance, Multi-AZ)</w:t>
            </w:r>
          </w:p>
        </w:tc>
        <w:tc>
          <w:tcPr>
            <w:tcW w:type="pct" w:w="3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Read-heavy reporting load contending with transactional writes; approaching instance class ceiling</w:t>
            </w:r>
          </w:p>
        </w:tc>
        <w:tc>
          <w:tcPr>
            <w:tcW w:type="pct" w:w="4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read replicas; migrate to Aurora PostgreSQL for better scaling and faster failover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Periodic batch profit-share (Lambda, scheduled)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need for more frequent/real-time profit-share visibility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Move to near-real-time event/stream processing (e.g. Kinesis or EventBridge Pipes) alongside or instead of the batch job</w:t>
            </w:r>
          </w:p>
        </w:tc>
      </w:tr>
      <w:tr>
        <w:tc>
          <w:tcPr>
            <w:tcW w:type="pct" w:w="2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settlement via exported reports</w:t>
            </w:r>
          </w:p>
        </w:tc>
        <w:tc>
          <w:tcPr>
            <w:tcW w:type="pct" w:w="3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Transaction/partner volumes make manual reconciliation error-prone or slow</w:t>
            </w:r>
          </w:p>
        </w:tc>
        <w:tc>
          <w:tcPr>
            <w:tcW w:type="pct" w:w="4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 up the previously-flagged independent ledger/settlement platform, consuming Partnership Platform exports (or a direct integration)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 AWS account (env-isolated by VPC)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Need for stronger environment isolation, blast-radius reduction, or separate billing/compliance boundaries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Migrate to a multi-account structure under AWS Organizations (separate accounts per environment)</w:t>
            </w:r>
          </w:p>
        </w:tc>
      </w:tr>
      <w:tr>
        <w:tc>
          <w:tcPr>
            <w:tcW w:type="pct" w:w="2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Two-AZ deployment</w:t>
            </w:r>
          </w:p>
        </w:tc>
        <w:tc>
          <w:tcPr>
            <w:tcW w:type="pct" w:w="36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 becomes business-critical; tighter RTO/RPO required</w:t>
            </w:r>
          </w:p>
        </w:tc>
        <w:tc>
          <w:tcPr>
            <w:tcW w:type="pct" w:w="4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Extend to all three Malaysia-region AZs; evaluate cross-region DR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Cognito-based auth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Need for enterprise SSO federation with other internal systems (post-MVP internal system integration)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Federate Cognito with internal identity provider (SAML/OIDC) once internal systems integration begins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13. Implementation Timeline &amp; Skillset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section complements the SDD's sprint-by-sprint delivery plan (SDD Section 8.3) with the specific infrastructure/engineering tasks and skillsets needed on the technical side.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52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Technical/Infra Tasks</w:t>
            </w:r>
          </w:p>
        </w:tc>
        <w:tc>
          <w:tcPr>
            <w:tcW w:type="pct" w:w="34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Skillset Needed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0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 account setup, IaC baseline (VPC/subnets/security groups), CI/CD pipeline skeleton, ECR repos, Cognito user pools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Cloud/DevOps Engineer, Solution/Technical Architect</w:t>
            </w:r>
          </w:p>
        </w:tc>
      </w:tr>
      <w:tr>
        <w:tc>
          <w:tcPr>
            <w:tcW w:type="pct" w:w="1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1–2</w:t>
            </w:r>
          </w:p>
        </w:tc>
        <w:tc>
          <w:tcPr>
            <w:tcW w:type="pct" w:w="5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 up Vendor/Offering and Eco-System/Bundle services on ECS Fargate; RDS schema baseline</w:t>
            </w:r>
          </w:p>
        </w:tc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Engineers, Cloud/DevOps Engineer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3–4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Partner/Subscription service; Cognito role-based access wiring; Partner Portal auth integration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Engineers, Frontend Engineer</w:t>
            </w:r>
          </w:p>
        </w:tc>
      </w:tr>
      <w:tr>
        <w:tc>
          <w:tcPr>
            <w:tcW w:type="pct" w:w="1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5–6</w:t>
            </w:r>
          </w:p>
        </w:tc>
        <w:tc>
          <w:tcPr>
            <w:tcW w:type="pct" w:w="5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Consumer Enrolment API + API Gateway setup; Transaction capture service; EventBridge event schema</w:t>
            </w:r>
          </w:p>
        </w:tc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Engineers, Cloud/DevOps Engineer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7–8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Lambda batch profit-share job; S3 report export pipeline; CloudWatch dashboards/alarms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Engineers, Cloud/DevOps Engineer</w:t>
            </w:r>
          </w:p>
        </w:tc>
      </w:tr>
      <w:tr>
        <w:tc>
          <w:tcPr>
            <w:tcW w:type="pct" w:w="1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9</w:t>
            </w:r>
          </w:p>
        </w:tc>
        <w:tc>
          <w:tcPr>
            <w:tcW w:type="pct" w:w="5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build/deploy pipeline via CloudFront/S3; UX integration across Partner Portal &amp; Admin Console</w:t>
            </w:r>
          </w:p>
        </w:tc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Engineer(s)</w:t>
            </w:r>
          </w:p>
        </w:tc>
      </w:tr>
      <w:tr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10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 hardening (WAF rules, IAM review), load testing, contract test suite finalisation, DR runbook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Cloud/DevOps Engineer, QA/Test Engineer, Solution/Technical Architect</w:t>
            </w:r>
          </w:p>
        </w:tc>
      </w:tr>
      <w:tr>
        <w:tc>
          <w:tcPr>
            <w:tcW w:type="pct" w:w="1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Go-Live</w:t>
            </w:r>
          </w:p>
        </w:tc>
        <w:tc>
          <w:tcPr>
            <w:tcW w:type="pct" w:w="5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Production cutover, hypercare monitoring, operational handover to Support team</w:t>
            </w:r>
          </w:p>
        </w:tc>
        <w:tc>
          <w:tcPr>
            <w:tcW w:type="pct" w:w="34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delivery team + Support/Operations Team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14. Technical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pct" w:w="30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pct" w:w="42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 Gateway / data transfer costs exceed estimate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Budget overrun on infrastructure cost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 via Cost Explorer from Sprint 0; consider VPC endpoint expansion to reduce NAT traffic</w:t>
            </w:r>
          </w:p>
        </w:tc>
      </w:tr>
      <w:tr>
        <w:tc>
          <w:tcPr>
            <w:tcW w:type="pct" w:w="2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Underestimated transaction volume at go-live</w:t>
            </w:r>
          </w:p>
        </w:tc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Performance degradation, auto-scaling limits reached</w:t>
            </w:r>
          </w:p>
        </w:tc>
        <w:tc>
          <w:tcPr>
            <w:tcW w:type="pct" w:w="4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Load test against Section 8.2 assumptions before go-live; conservative auto-scaling ceilings with headroom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Single-region deployment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Regional AWS outage impacts availability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Accepted risk for MVP given cost-effectiveness goal and 3-AZ regional resilience; documented as a future DR consideration (Section 11.4)</w:t>
            </w:r>
          </w:p>
        </w:tc>
      </w:tr>
      <w:tr>
        <w:tc>
          <w:tcPr>
            <w:tcW w:type="pct" w:w="2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IaC/CI-CD tooling learning curve for the team</w:t>
            </w:r>
          </w:p>
        </w:tc>
        <w:tc>
          <w:tcPr>
            <w:tcW w:type="pct" w:w="30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0 delays</w:t>
            </w:r>
          </w:p>
        </w:tc>
        <w:tc>
          <w:tcPr>
            <w:tcW w:type="pct" w:w="4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Select tooling the Cloud/DevOps Engineer is already proficient with; keep initial IaC scope minimal and iterate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Appendix A: AWS Service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pct" w:w="72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AWS Services Used (MVP)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Compute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ECS (Fargate), AWS Lambda</w:t>
            </w:r>
          </w:p>
        </w:tc>
      </w:tr>
      <w:tr>
        <w:tc>
          <w:tcPr>
            <w:tcW w:type="pct" w:w="2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pct" w:w="7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RDS (PostgreSQL), Amazon ElastiCache (Redis)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Storage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S3</w:t>
            </w:r>
          </w:p>
        </w:tc>
      </w:tr>
      <w:tr>
        <w:tc>
          <w:tcPr>
            <w:tcW w:type="pct" w:w="2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Networking &amp; Edge</w:t>
            </w:r>
          </w:p>
        </w:tc>
        <w:tc>
          <w:tcPr>
            <w:tcW w:type="pct" w:w="7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VPC, Application Load Balancer, Amazon CloudFront, AWS WAF, Amazon Route 53, AWS Certificate Manager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&amp; Messaging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API Gateway, Amazon EventBridge, Amazon SQS</w:t>
            </w:r>
          </w:p>
        </w:tc>
      </w:tr>
      <w:tr>
        <w:tc>
          <w:tcPr>
            <w:tcW w:type="pct" w:w="2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Identity</w:t>
            </w:r>
          </w:p>
        </w:tc>
        <w:tc>
          <w:tcPr>
            <w:tcW w:type="pct" w:w="7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Cognito, AWS IAM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 KMS, AWS Secrets Manager</w:t>
            </w:r>
          </w:p>
        </w:tc>
      </w:tr>
      <w:tr>
        <w:tc>
          <w:tcPr>
            <w:tcW w:type="pct" w:w="28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Observability &amp; Audit</w:t>
            </w:r>
          </w:p>
        </w:tc>
        <w:tc>
          <w:tcPr>
            <w:tcW w:type="pct" w:w="72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CloudWatch, AWS X-Ray, AWS CloudTrail, AWS Config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DevOps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ECR, Infrastructure as Code tooling (Terraform / AWS CDK)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Appendix B: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pct" w:w="7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ap-southeast-5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 Region code for Asia Pacific (Malaysia)</w:t>
            </w:r>
          </w:p>
        </w:tc>
      </w:tr>
      <w:tr>
        <w:tc>
          <w:tcPr>
            <w:tcW w:type="pct" w:w="2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ECS / Fargate</w:t>
            </w:r>
          </w:p>
        </w:tc>
        <w:tc>
          <w:tcPr>
            <w:tcW w:type="pct" w:w="7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Elastic Container Service / its serverless compute engine for containers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RDS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Amazon Relational Database Service</w:t>
            </w:r>
          </w:p>
        </w:tc>
      </w:tr>
      <w:tr>
        <w:tc>
          <w:tcPr>
            <w:tcW w:type="pct" w:w="2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VPC</w:t>
            </w:r>
          </w:p>
        </w:tc>
        <w:tc>
          <w:tcPr>
            <w:tcW w:type="pct" w:w="7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Virtual Private Cloud – an isolated AWS network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WAF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 Application Firewall</w:t>
            </w:r>
          </w:p>
        </w:tc>
      </w:tr>
      <w:tr>
        <w:tc>
          <w:tcPr>
            <w:tcW w:type="pct" w:w="2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RTO / RPO</w:t>
            </w:r>
          </w:p>
        </w:tc>
        <w:tc>
          <w:tcPr>
            <w:tcW w:type="pct" w:w="7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Recovery Time Objective / Recovery Point Objective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IaC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Infrastructure as Code</w:t>
            </w:r>
          </w:p>
        </w:tc>
      </w:tr>
      <w:tr>
        <w:tc>
          <w:tcPr>
            <w:tcW w:type="pct" w:w="2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KMS</w:t>
            </w:r>
          </w:p>
        </w:tc>
        <w:tc>
          <w:tcPr>
            <w:tcW w:type="pct" w:w="75%"/>
            <w:shd w:fill="F2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 Key Management Service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A6472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Partnership Pillar Platform –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AC" w:sz="8" w:space="4"/>
      </w:pBdr>
      <w:spacing w:after="200" w:before="40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5AA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8A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698ef0941ae9d4f715d0ff62dadd7f42bc0e3a.png"/><Relationship Id="rId10" Type="http://schemas.openxmlformats.org/officeDocument/2006/relationships/image" Target="media/e1d3f68d5ee9a296e888ecd6e169253b8f10851a.png"/><Relationship Id="rId11" Type="http://schemas.openxmlformats.org/officeDocument/2006/relationships/image" Target="media/df0238a63d60dbfb618a92068eb7291c59b4190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2026-08-11T10:47:27.395Z</dcterms:created>
  <dcterms:modified xsi:type="dcterms:W3CDTF">2026-08-11T10:47:27.408Z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