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경제학 개념 Q&amp;A — 연구자 질문 기록</w:t>
      </w:r>
    </w:p>
    <w:p>
      <w:r>
        <w:t>연구 진행 중 나온 경제학(주로 국민계정·지역소득) 개념 질문과 답의 기록. 모델링 노트처럼 쉬운 용어로 쓰고, 새 질문이 나올 때마다 아래에 이어붙인다. 수치는 답변 시점의 계산값(출처: out/public/ 산출물)이며 데이터 갱신 시 바뀔 수 있다.</w:t>
      </w:r>
    </w:p>
    <w:p>
      <w:pPr>
        <w:pStyle w:val="Heading1"/>
      </w:pPr>
      <w:r>
        <w:t>Q1. 울산·충남·경북은 지역외순수취본원소득이 음수던데, 무슨 뜻인가?</w:t>
      </w:r>
    </w:p>
    <w:p>
      <w:r>
        <w:t>"울산 주민이 버는 돈보다 외지인이 울산에서 벌어가는 돈이 많다는 뜻인가?"</w:t>
      </w:r>
    </w:p>
    <w:p>
      <w:r>
        <w:rPr>
          <w:b/>
        </w:rPr>
        <w:t>A.</w:t>
      </w:r>
      <w:r>
        <w:t xml:space="preserve"> 거의 맞는데 비교 대상만 정확히 하면 된다. 지역외순수취본원소득은</w:t>
      </w:r>
    </w:p>
    <w:p>
      <w:r>
        <w:rPr>
          <w:rFonts w:ascii="Consolas" w:hAnsi="Consolas"/>
          <w:sz w:val="18"/>
        </w:rPr>
        <w:t>(울산 주민이 울산 밖에서 벌어오는 돈) − (울산 밖 사람이 울산에서 벌어가는 돈)</w:t>
      </w:r>
    </w:p>
    <w:p>
      <w:r>
        <w:t xml:space="preserve">의 </w:t>
      </w:r>
      <w:r>
        <w:rPr>
          <w:b/>
        </w:rPr>
        <w:t>차액</w:t>
      </w:r>
      <w:r>
        <w:t>이다. 울산 −20.3조(2024)는 "외지인이 울산에서 벌어가는 돈이, 울산 주민이 밖에서 벌어오는 돈보다 20.3조 많다"는 뜻. 울산 땅에서 생산된 소득은 94조(GRDP)인데 울산 주민에게 최종 귀속된 소득은 73.6조(GRI)뿐이다. 벌어가는 돈의 실체는 ① 기업 이윤(울산 공장 → 서울 본사·주주) ② 재산소득 (이자·배당·임대료) ③ 통근 임금(부산 거주 울산 통근자)이다. 반대편의 서울은 +73.4조 — 생산의 지도와 소득의 지도가 다르다는 것이 이 통계의 요지다.</w:t>
      </w:r>
    </w:p>
    <w:p>
      <w:pPr>
        <w:pStyle w:val="Heading1"/>
      </w:pPr>
      <w:r>
        <w:t>Q2. s가 1이면 수도권으로 가는 이익이 없고, 0이면 다 수도권 본사로 가는 건가?</w:t>
      </w:r>
    </w:p>
    <w:p>
      <w:r>
        <w:rPr>
          <w:b/>
        </w:rPr>
        <w:t>A.</w:t>
      </w:r>
      <w:r>
        <w:t xml:space="preserve"> 맞다. s=1이면 비수도권 공장이 번 이윤 100%가 비수도권 주민에게 귀속 (유출 없음), s=0이면 전액이 수도권 거주 소유주·주주에게 귀속된다. 두 가지만 정확히: ① s가 걸리는 대상은 </w:t>
      </w:r>
      <w:r>
        <w:rPr>
          <w:b/>
        </w:rPr>
        <w:t>이윤(영업잉여)</w:t>
      </w:r>
      <w:r>
        <w:t xml:space="preserve">뿐이다 — 임금은 별도 채널(w₂)로 s와 무관하게 현지에 남는다. 그래서 s=0이어도 차등요금제의 지역 효과가 0이 되는 건 아니고 이윤 채널만 꺼진다. ② "수도권 본사"는 편의상 표현이고 정확히는 </w:t>
      </w:r>
      <w:r>
        <w:rPr>
          <w:b/>
        </w:rPr>
        <w:t>구역 1에 거주하는 소유주·주주</w:t>
      </w:r>
      <w:r>
        <w:t>다. 국민계정은 소득을 거주지 기준으로 적는다.</w:t>
      </w:r>
    </w:p>
    <w:p>
      <w:pPr>
        <w:pStyle w:val="Heading1"/>
      </w:pPr>
      <w:r>
        <w:t>Q3. 명목 지역소득은 구했는데 실질이 안 보인다. 문제인가?</w:t>
      </w:r>
    </w:p>
    <w:p>
      <w:r>
        <w:rPr>
          <w:b/>
        </w:rPr>
        <w:t>A.</w:t>
      </w:r>
      <w:r>
        <w:t xml:space="preserve"> 문제없고, 그게 정상이다. 지역소득통계에서 실질(연쇄가격) 계열은 </w:t>
      </w:r>
      <w:r>
        <w:rPr>
          <w:b/>
        </w:rPr>
        <w:t>생산 측 GRDP에만</w:t>
      </w:r>
      <w:r>
        <w:t xml:space="preserve"> 공표되고, 소득 계정(GRI, 지역외순수취본원소득, 분배 항목)은 명목으로만 공표된다(소득의 '실질화'는 어떤 물가로 깎을지가 하나로 정해지지 않아 생산 측에만 제공하는 것이 국제 관행). 그리고 우리 용도에는 명목이 맞다: s는 </w:t>
      </w:r>
      <w:r>
        <w:rPr>
          <w:b/>
        </w:rPr>
        <w:t>같은 해 안의 비율</w:t>
      </w:r>
      <w:r>
        <w:t>이라 분자·분모의 물가가 상쇄된다. 실질이 필요한 건 연도 간 수준 비교인데 우리 설계에는 없다.</w:t>
      </w:r>
    </w:p>
    <w:p>
      <w:pPr>
        <w:pStyle w:val="Heading1"/>
      </w:pPr>
      <w:r>
        <w:t>Q4. 식만 보면 GRI/GRDP가 곧 s 아닌가?</w:t>
      </w:r>
    </w:p>
    <w:p>
      <w:r>
        <w:rPr>
          <w:b/>
        </w:rPr>
        <w:t>A.</w:t>
      </w:r>
      <w:r>
        <w:t xml:space="preserve"> 아니다 — 분모가 다르다. GRI/GRDP는 "생산한 소득 </w:t>
      </w:r>
      <w:r>
        <w:rPr>
          <w:b/>
        </w:rPr>
        <w:t>전체</w:t>
      </w:r>
      <w:r>
        <w:t>(임금+이윤) 중 남는 비율"이고, s는 "</w:t>
      </w:r>
      <w:r>
        <w:rPr>
          <w:b/>
        </w:rPr>
        <w:t>이윤만</w:t>
      </w:r>
      <w:r>
        <w:t xml:space="preserve"> 중 남는 비율"이다. 장난감 예: 생산 100 = 임금 60 + 이윤 40이고 유출이 전부 이윤 쪽에서 7.3이라면,</w:t>
      </w:r>
    </w:p>
    <w:p>
      <w:r>
        <w:rPr>
          <w:rFonts w:ascii="Consolas" w:hAnsi="Consolas"/>
          <w:sz w:val="18"/>
        </w:rPr>
        <w:t>GRI/GRDP = (100−7.3)/100 = 0.927   ← 전체 기준</w:t>
        <w:br/>
        <w:t>s        = (40−7.3)/40   = 0.818   ← 이윤 기준 (모형이 쓰는 것)</w:t>
      </w:r>
    </w:p>
    <w:p>
      <w:r>
        <w:t xml:space="preserve">같은 유출액도 분모(이윤 &lt; 전체)가 작으면 유출률이 커진다. 따라서 GRI/GRDP는 언제나 </w:t>
      </w:r>
      <w:r>
        <w:rPr>
          <w:b/>
        </w:rPr>
        <w:t>s의 상한(천장)</w:t>
      </w:r>
      <w:r>
        <w:t>이다. 실측 결과도 그랬다: 상한 0.91~0.93 vs 이윤 기준 s 0.50~0.65.</w:t>
      </w:r>
    </w:p>
    <w:p>
      <w:pPr>
        <w:pStyle w:val="Heading1"/>
      </w:pPr>
      <w:r>
        <w:t>Q5. 지역외순수취본원소득을 굳이 따로 받을 필요가 있었나? (GRI−GRDP면 되는데)</w:t>
      </w:r>
    </w:p>
    <w:p>
      <w:r>
        <w:rPr>
          <w:b/>
        </w:rPr>
        <w:t>A.</w:t>
      </w:r>
      <w:r>
        <w:t xml:space="preserve"> '열'로서는 잉여다 — 정의상 GRI−GRDP라 뺄셈으로 나오고, 실제로 공표 열과 뺄셈 결과가 전수 일치함을 검증했다(공표 열은 검산용). 그러나 '정보'로서는 s의 </w:t>
      </w:r>
      <w:r>
        <w:rPr>
          <w:b/>
        </w:rPr>
        <w:t>분자(유출액)</w:t>
      </w:r>
      <w:r>
        <w:t xml:space="preserve"> 그 자체다. s = 1 − 유출액/이윤 에서 분자는 이 통계로 확보, 남았던 건 분모(영업잉여)였다.</w:t>
      </w:r>
    </w:p>
    <w:p>
      <w:pPr>
        <w:pStyle w:val="Heading1"/>
      </w:pPr>
      <w:r>
        <w:t>Q6. 요소소득과 피용자보수가 각각 뭔가? (영업잉여 = 요소소득 − 피용자보수?)</w:t>
      </w:r>
    </w:p>
    <w:p>
      <w:r>
        <w:rPr>
          <w:b/>
        </w:rPr>
        <w:t>A.</w:t>
      </w:r>
      <w:r>
        <w:t xml:space="preserve"> 생산으로 만든 부가가치는 회계상 네 조각이다:</w:t>
      </w:r>
    </w:p>
    <w:p>
      <w:r>
        <w:rPr>
          <w:rFonts w:ascii="Consolas" w:hAnsi="Consolas"/>
          <w:sz w:val="18"/>
        </w:rPr>
        <w:t>부가가치 = 피용자보수 + 영업잉여 + 고정자본소모 + 순기타생산세</w:t>
        <w:br/>
        <w:t xml:space="preserve">           (노동의 몫)   (자본의 몫)   (기계 닳은 값)    (세금)</w:t>
      </w:r>
    </w:p>
    <w:p>
      <w:pPr>
        <w:pStyle w:val="ListBullet"/>
      </w:pPr>
      <w:r>
        <w:rPr>
          <w:b/>
        </w:rPr>
        <w:t>요소소득</w:t>
      </w:r>
      <w:r>
        <w:t xml:space="preserve"> = 피용자보수 + 영업잉여. 생산요소(노동·자본)에 돌아가는 몫.</w:t>
      </w:r>
    </w:p>
    <w:p>
      <w:r>
        <w:rPr>
          <w:b/>
        </w:rPr>
        <w:t>공장 소재지(발생) 기준</w:t>
      </w:r>
      <w:r>
        <w:t xml:space="preserve"> — 울산 공장 몫은 본사가 어디든 울산에 계상.</w:t>
      </w:r>
    </w:p>
    <w:p>
      <w:pPr>
        <w:pStyle w:val="ListBullet"/>
      </w:pPr>
      <w:r>
        <w:rPr>
          <w:b/>
        </w:rPr>
        <w:t>피용자보수</w:t>
      </w:r>
      <w:r>
        <w:t xml:space="preserve"> = 고용된 사람이 받는 보수 전부(임금+상여+고용주 부담</w:t>
      </w:r>
    </w:p>
    <w:p>
      <w:r>
        <w:t>사회보험료). 자영업자 소득은 영업잉여 쪽.</w:t>
      </w:r>
    </w:p>
    <w:p>
      <w:r>
        <w:t>그래서 영업잉여(발생) = 요소소득(발생) − 피용자보수(발생). 단 시도별 피용자 보수는 수취(거주지) 기준만 공표라 수취값을 대신 썼고(가정 A: 구역 경계 통근 순임금흐름 ≈ 0), 전국 검산 잔차 0.05~0.15%로 가정의 무리가 없음을 확인했다.</w:t>
      </w:r>
    </w:p>
    <w:p>
      <w:pPr>
        <w:pStyle w:val="Heading1"/>
      </w:pPr>
      <w:r>
        <w:t>Q7. 그럼 부가가치 = 요소소득 + 고정자본소모 + 순생산세인가?</w:t>
      </w:r>
    </w:p>
    <w:p>
      <w:r>
        <w:rPr>
          <w:b/>
        </w:rPr>
        <w:t>A.</w:t>
      </w:r>
      <w:r>
        <w:t xml:space="preserve"> 맞다 — 세금이 두 층인 것만 구분하면 된다.</w:t>
      </w:r>
    </w:p>
    <w:p>
      <w:r>
        <w:rPr>
          <w:rFonts w:ascii="Consolas" w:hAnsi="Consolas"/>
          <w:sz w:val="18"/>
        </w:rPr>
        <w:t>총부가가치(GVA) = 요소소득 + 고정자본소모 + 순"기타"생산세   (사업장 재산세 등)</w:t>
        <w:br/>
        <w:t>GRDP            = 총부가가치 + 순"생산물"세                  (부가세·개별소비세 등)</w:t>
      </w:r>
    </w:p>
    <w:p>
      <w:r>
        <w:t xml:space="preserve">전국 2020 검산: 1,894.6조 − 423.3조 − 23.3조 = 1,448.1조 = 공표 요소소득 ✓. 양파 구조: GRDP → (−생산물세) 부가가치 → (−감가상각·기타생산세) 요소소득 → (−피용자보수) </w:t>
      </w:r>
      <w:r>
        <w:rPr>
          <w:b/>
        </w:rPr>
        <w:t>영업잉여</w:t>
      </w:r>
      <w:r>
        <w:t xml:space="preserve"> = s의 분모.</w:t>
      </w:r>
    </w:p>
    <w:p>
      <w:pPr>
        <w:pStyle w:val="Heading1"/>
      </w:pPr>
      <w:r>
        <w:t>Q8. [발견] 분배계정의 영업잉여는 왜 울산이 서울보다 훨씬 작나?</w:t>
      </w:r>
    </w:p>
    <w:p>
      <w:r>
        <w:rPr>
          <w:b/>
        </w:rPr>
        <w:t>A.</w:t>
      </w:r>
      <w:r>
        <w:t xml:space="preserve"> 본원소득분배계정(KOSIS DT_1C94, 발간물 소득계정 종합표)의 영업잉여· 피용자보수는 </w:t>
      </w:r>
      <w:r>
        <w:rPr>
          <w:b/>
        </w:rPr>
        <w:t>수취(제도부문 거주/법인 등록지) 기준</w:t>
      </w:r>
      <w:r>
        <w:t xml:space="preserve">이기 때문이다. 영업잉여/ GRDP가 울산 7.7%, 충남 11.2% vs 서울 36.4% — 생산 기준이면 자본집약 울산이 최저일 수 없다. 울산 공장의 이윤이 서울 등록 법인의 수취로 계상된 것이고, 이 비대칭 자체가 이윤 역외 귀속의 직접 지문이다. 그래서 s의 측정식이 </w:t>
      </w:r>
      <w:r>
        <w:rPr>
          <w:b/>
        </w:rPr>
        <w:t>s = 영업잉여수취₂ / 영업잉여발생₂</w:t>
      </w:r>
      <w:r>
        <w:t xml:space="preserve"> 로 선다 (발생은 Q6의 뺄셈으로 구성). 결과: 비수도권 14시도 s = 0.50~0.65 (2023년 0.575).</w:t>
      </w:r>
    </w:p>
    <w:p>
      <w:pPr>
        <w:pStyle w:val="Heading1"/>
      </w:pPr>
      <w:r>
        <w:t>Q9. 구역2(비수도권)에서 대도시는 빼야 하지 않나?</w:t>
      </w:r>
    </w:p>
    <w:p>
      <w:r>
        <w:rPr>
          <w:b/>
        </w:rPr>
        <w:t>A.</w:t>
      </w:r>
      <w:r>
        <w:t xml:space="preserve"> 모형의 본안에서는 포함이 맞다. ① 구역을 가르는 기준은 도시 규모가 아니라 </w:t>
      </w:r>
      <w:r>
        <w:rPr>
          <w:b/>
        </w:rPr>
        <w:t>전력 원가(요금이 갈리는 경계)</w:t>
      </w:r>
      <w:r>
        <w:t xml:space="preserve">고, 공청회 설계안에서 부산·울산·대구는 할인받는 권역이다. ② 경북 공장 이윤이 대구 주주에게 가는 건 구역2 내부 이동 이라 유출이 아닌데, 대도시를 빼면 이게 유출로 잘못 집계된다. ③ 대도시 제외는 흡수지(대구 +11.4조)만이 아니라 최대 유출지(울산 −20.3조)도 같이 빼버려 방향이 섞인다. 다만 "군 생산지 → 지방 대도시 → 수도권"의 2차 집중은 실재하므로, '도 지역만' 변형(s 상한 0.88, 이윤 기준 0.37~0.51)을 </w:t>
      </w:r>
      <w:r>
        <w:rPr>
          <w:b/>
        </w:rPr>
        <w:t>구역 정의 민감도</w:t>
      </w:r>
      <w:r>
        <w:t>로 병기한다.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