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РЕКЛАМНО-ТЕХНИЧЕСКОЕ ОПИСАНИЕ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программы для ЭВМ «ProPuzzle»</w:t>
      </w:r>
    </w:p>
    <w:p>
      <w:pPr>
        <w:jc w:val="center"/>
      </w:pPr>
      <w:r>
        <w:rPr>
          <w:rFonts w:ascii="Times New Roman" w:hAnsi="Times New Roman"/>
          <w:i/>
          <w:sz w:val="24"/>
        </w:rPr>
        <w:t>(образовательная платформа для обучения основам управления проектами)</w:t>
      </w:r>
    </w:p>
    <w:p/>
    <w:p>
      <w:pPr>
        <w:pStyle w:val="Heading1"/>
      </w:pPr>
      <w:r>
        <w:rPr>
          <w:rFonts w:ascii="Times New Roman" w:hAnsi="Times New Roman"/>
          <w:sz w:val="30"/>
        </w:rPr>
        <w:t>1. Что представляет собой программа для ЭВМ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для ЭВМ «ProPuzzle» представляет собой веб-приложение (SPA — Single Page Application) образовательного назначения, реализующее интерактивную платформу дистанционного обучения студентов основам управления проектами (Project Management).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состоит из клиентской части (пользовательский интерфейс, доступный через браузер по ссылке без установки) и серверной части (набор облачных функций, обрабатывающих регистрацию пользователей, хранение и проверку учебных работ, расчёт статистики). Данные пользователей, курсов и выполненных заданий хранятся в реляционной базе данных PostgreSQL.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объединяет в себе: теоретический учебный контент, разбитый на 12 тематических курсов; библиотеку из 12 интерактивных конструкторов практических заданий; систему личных кабинетов для двух ролей пользователей (студент и преподаватель); систему автоматизированной проверки прогресса и начисления баллов; модуль формирования итогового зачётного проектного документа.</w:t>
      </w:r>
    </w:p>
    <w:p>
      <w:pPr>
        <w:pStyle w:val="Heading1"/>
      </w:pPr>
      <w:r>
        <w:rPr>
          <w:rFonts w:ascii="Times New Roman" w:hAnsi="Times New Roman"/>
          <w:sz w:val="30"/>
        </w:rPr>
        <w:t>2. Для чего создана программа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создана для решения задачи практического освоения студентами инструментов и методологий управления проектами в рамках учебных дисциплин «Управление проектами», «Бизнес-анализ», «Проектный менеджмент в IT» и смежных курсов среднего профессионального и высшего образования.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Традиционный подход к преподаванию проектного менеджмента опирается на статичные лекционные материалы и разрозненные шаблоны в офисных приложениях, что затрудняет для преподавателя контроль индивидуального прогресса каждого студента и не даёт студенту наглядной обратной связи по итогам выполнения задания. Программа «ProPuzzle» решает эту проблему, объединяя теорию, практику и систему проверки в едином цифровом пространстве.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Основные цели создания программы:</w:t>
      </w:r>
    </w:p>
    <w:p>
      <w:pPr>
        <w:pStyle w:val="ListBullet"/>
      </w:pPr>
      <w:r>
        <w:rPr>
          <w:rFonts w:ascii="Times New Roman" w:hAnsi="Times New Roman"/>
          <w:sz w:val="24"/>
        </w:rPr>
        <w:t>дать студентам единую практико-ориентированную среду для последовательного изучения 12 ключевых тем управления проектами;</w:t>
      </w:r>
    </w:p>
    <w:p>
      <w:pPr>
        <w:pStyle w:val="ListBullet"/>
      </w:pPr>
      <w:r>
        <w:rPr>
          <w:rFonts w:ascii="Times New Roman" w:hAnsi="Times New Roman"/>
          <w:sz w:val="24"/>
        </w:rPr>
        <w:t>заменить работу с разрозненными шаблонами (Excel, Word) специализированными интерактивными конструкторами, реализующими общепринятые методологии (ТРИЗ, BACCM, SMART, RACI, Канбан и др.);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автоматизировать процесс сдачи и проверки учебных заданий преподавателем;</w:t>
      </w:r>
    </w:p>
    <w:p>
      <w:pPr>
        <w:pStyle w:val="ListBullet"/>
      </w:pPr>
      <w:r>
        <w:rPr>
          <w:rFonts w:ascii="Times New Roman" w:hAnsi="Times New Roman"/>
          <w:sz w:val="24"/>
        </w:rPr>
        <w:t>обеспечить прозрачный контроль успеваемости группы и мотивацию студентов через систему баллов и рейтингов;</w:t>
      </w:r>
    </w:p>
    <w:p>
      <w:pPr>
        <w:pStyle w:val="ListBullet"/>
      </w:pPr>
      <w:r>
        <w:rPr>
          <w:rFonts w:ascii="Times New Roman" w:hAnsi="Times New Roman"/>
          <w:sz w:val="24"/>
        </w:rPr>
        <w:t>подготовить студента к самостоятельной разработке комплексного проектного документа — итоговой зачётной работы.</w:t>
      </w:r>
    </w:p>
    <w:p>
      <w:pPr>
        <w:pStyle w:val="Heading1"/>
      </w:pPr>
      <w:r>
        <w:rPr>
          <w:rFonts w:ascii="Times New Roman" w:hAnsi="Times New Roman"/>
          <w:sz w:val="30"/>
        </w:rPr>
        <w:t>3. Кто может пользоваться программой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рассчитана на два типа пользователей с разграниченным функционалом:</w:t>
      </w:r>
    </w:p>
    <w:p>
      <w:pPr>
        <w:pStyle w:val="ListBullet"/>
      </w:pPr>
      <w:r>
        <w:rPr>
          <w:rFonts w:ascii="Times New Roman" w:hAnsi="Times New Roman"/>
          <w:sz w:val="24"/>
        </w:rPr>
        <w:t>Студент — проходит курсы, изучает теоретический материал, выполняет практические задания в интерактивных конструкторах, отслеживает собственный прогресс и рейтинг, готовит итоговый зачётный проектный документ.</w:t>
      </w:r>
    </w:p>
    <w:p>
      <w:pPr>
        <w:pStyle w:val="ListBullet"/>
      </w:pPr>
      <w:r>
        <w:rPr>
          <w:rFonts w:ascii="Times New Roman" w:hAnsi="Times New Roman"/>
          <w:sz w:val="24"/>
        </w:rPr>
        <w:t>Преподаватель — получает доступ к работам всех студентов учебной группы, проверяет и оценивает задания, оставляет комментарии, возвращает работы на доработку, отслеживает сводную статистику успеваемости группы по каждому курсу.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предназначена для использования образовательными организациями среднего профессионального и высшего образования (колледжи, техникумы, вузы), а также организациями дополнительного профессионального образования и корпоративными учебными центрами, реализующими курсы по проектному управлению.</w:t>
      </w:r>
    </w:p>
    <w:p>
      <w:pPr>
        <w:pStyle w:val="Heading1"/>
      </w:pPr>
      <w:r>
        <w:rPr>
          <w:rFonts w:ascii="Times New Roman" w:hAnsi="Times New Roman"/>
          <w:sz w:val="30"/>
        </w:rPr>
        <w:t>4. Какие показатели улучшает программа и с помощью чего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Использование программы позволяет улучшить следующие показатели учебного процесса: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Улучшение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За счёт чего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Скорость проверки заданий преподавателем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Сокращение времени за счёт единого кабинета со всеми работами группы и структурированным просмотром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Модуль «Кабинет преподавателя» с фильтрацией работ по статусу и встроенным просмотрщиком содержимого (SubmissionViewer)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Полнота выполнения заданий студентом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Снижение доли ошибок формата и пропущенных пунктов методики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Интерактивные конструкторы с заданной структурой полей вместо свободной формы в Word/Excel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Вовлечённость и мотивация студентов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Рост активности прохождения курсов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Геймификация: начисление XP за задание, уровни («Новичок» → «Стратег»), еженедельный рейтинг, бейджи-достижения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Прозрачность контроля успеваемости группы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Преподаватель видит процент выполнения каждого курса каждым студентом в реальном времени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Модуль статистики (stats) со сводной таблицей прогресса всех студентов группы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Качество итоговой проектной работы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Более структурированный и полный зачётный документ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Готовый шаблон дизайн-документа из 13 обязательных разделов с автосохранением и экспортом в Word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sz w:val="30"/>
        </w:rPr>
        <w:t>5. Алгоритм работы и используемые функции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Работа программы построена по следующему алгоритму:</w:t>
      </w:r>
    </w:p>
    <w:p>
      <w:pPr>
        <w:pStyle w:val="ListBullet"/>
      </w:pPr>
      <w:r>
        <w:rPr>
          <w:rFonts w:ascii="Times New Roman" w:hAnsi="Times New Roman"/>
          <w:sz w:val="24"/>
        </w:rPr>
        <w:t>1) Пользователь регистрируется в системе с указанием роли (студент / преподаватель) по инвайт-коду; система создаёт учётную запись и выдаёт токен доступа (JWT, срок действия 30 дней), пароль хранится в виде хеша (PBKDF2-SHA256).</w:t>
      </w:r>
    </w:p>
    <w:p>
      <w:pPr>
        <w:pStyle w:val="ListBullet"/>
      </w:pPr>
      <w:r>
        <w:rPr>
          <w:rFonts w:ascii="Times New Roman" w:hAnsi="Times New Roman"/>
          <w:sz w:val="24"/>
        </w:rPr>
        <w:t>2) Студент выбирает курс из каталога (12 модулей), изучает теоретический блок и переходит к практическому заданию в соответствующем интерактивном конструкторе.</w:t>
      </w:r>
    </w:p>
    <w:p>
      <w:pPr>
        <w:pStyle w:val="ListBullet"/>
      </w:pPr>
      <w:r>
        <w:rPr>
          <w:rFonts w:ascii="Times New Roman" w:hAnsi="Times New Roman"/>
          <w:sz w:val="24"/>
        </w:rPr>
        <w:t>3) Введённые данные автоматически сохраняются как черновик (статус «в процессе»); при готовности студент отправляет работу на проверку (статус «на проверке»).</w:t>
      </w:r>
    </w:p>
    <w:p>
      <w:pPr>
        <w:pStyle w:val="ListBullet"/>
      </w:pPr>
      <w:r>
        <w:rPr>
          <w:rFonts w:ascii="Times New Roman" w:hAnsi="Times New Roman"/>
          <w:sz w:val="24"/>
        </w:rPr>
        <w:t>4) Преподаватель просматривает работу в личном кабинете и либо принимает её с выставлением оценки (статус «проверено», начисление XP и обновление прогресса), либо возвращает на доработку с комментарием (статус «на доработке»).</w:t>
      </w:r>
    </w:p>
    <w:p>
      <w:pPr>
        <w:pStyle w:val="ListBullet"/>
      </w:pPr>
      <w:r>
        <w:rPr>
          <w:rFonts w:ascii="Times New Roman" w:hAnsi="Times New Roman"/>
          <w:sz w:val="24"/>
        </w:rPr>
        <w:t>5) После прохождения всех 12 курсов студенту становится доступен модуль зачётного задания — конструктор дизайн-документа из 13 разделов (концепция, требования, архитектура, риски, план реализации и др.) с автосохранением каждые 1,2 секунды и экспортом готового документа в формат Word (.docx).</w:t>
      </w:r>
    </w:p>
    <w:p>
      <w:pPr>
        <w:pStyle w:val="ListBullet"/>
      </w:pPr>
      <w:r>
        <w:rPr>
          <w:rFonts w:ascii="Times New Roman" w:hAnsi="Times New Roman"/>
          <w:sz w:val="24"/>
        </w:rPr>
        <w:t>6) Итоговый документ также отправляется преподавателю на проверку и может быть принят либо возвращён на доработку — аналогично обычным заданиям.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использует следующий набор ключевых функций:</w:t>
      </w:r>
    </w:p>
    <w:p>
      <w:pPr>
        <w:pStyle w:val="ListBullet"/>
      </w:pPr>
      <w:r>
        <w:rPr>
          <w:rFonts w:ascii="Times New Roman" w:hAnsi="Times New Roman"/>
          <w:sz w:val="24"/>
        </w:rPr>
        <w:t>регистрация и авторизация с разграничением ролей (JWT-токены);</w:t>
      </w:r>
    </w:p>
    <w:p>
      <w:pPr>
        <w:pStyle w:val="ListBullet"/>
      </w:pPr>
      <w:r>
        <w:rPr>
          <w:rFonts w:ascii="Times New Roman" w:hAnsi="Times New Roman"/>
          <w:sz w:val="24"/>
        </w:rPr>
        <w:t>CRUD-операции над учебными работами и дизайн-документами (создание, чтение, обновление, удаление);</w:t>
      </w:r>
    </w:p>
    <w:p>
      <w:pPr>
        <w:pStyle w:val="ListBullet"/>
      </w:pPr>
      <w:r>
        <w:rPr>
          <w:rFonts w:ascii="Times New Roman" w:hAnsi="Times New Roman"/>
          <w:sz w:val="24"/>
        </w:rPr>
        <w:t>12 специализированных интерактивных конструкторов, каждый из которых реализует отдельную методологию управления проектами: интеллект-карта (метод ТРИЗ), форма BACCM, матрица стейкхолдеров, SMART-цели, карточки персон, диаграмма Ганта, реестр рисков, матрица RACI, Канбан-доска, таблица KPI, расчёт TCO/ROI, индекс удовлетворённости клиента (CSI);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автоматический расчёт процента выполнения курса на основе статуса работы и общего прогресса студента;</w:t>
      </w:r>
    </w:p>
    <w:p>
      <w:pPr>
        <w:pStyle w:val="ListBullet"/>
      </w:pPr>
      <w:r>
        <w:rPr>
          <w:rFonts w:ascii="Times New Roman" w:hAnsi="Times New Roman"/>
          <w:sz w:val="24"/>
        </w:rPr>
        <w:t>система начисления баллов (XP), уровней и еженедельного рейтинга студентов;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сводной статистики для преподавателя по всей учебной группе;</w:t>
      </w:r>
    </w:p>
    <w:p>
      <w:pPr>
        <w:pStyle w:val="ListBullet"/>
      </w:pPr>
      <w:r>
        <w:rPr>
          <w:rFonts w:ascii="Times New Roman" w:hAnsi="Times New Roman"/>
          <w:sz w:val="24"/>
        </w:rPr>
        <w:t>экспорт итогового документа в формат .docx;</w:t>
      </w:r>
    </w:p>
    <w:p>
      <w:pPr>
        <w:pStyle w:val="ListBullet"/>
      </w:pPr>
      <w:r>
        <w:rPr>
          <w:rFonts w:ascii="Times New Roman" w:hAnsi="Times New Roman"/>
          <w:sz w:val="24"/>
        </w:rPr>
        <w:t>загрузка изображений (аватар пользователя) в объектное хранилище.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Выбор такого алгоритма и состава функций обусловлен структурой самой предметной области: управление проектами традиционно делится на независимые тематические блоки (инициация идеи, анализ потребностей, планирование, контроль, оценка эффективности), каждому из которых соответствует общепринятый практический инструмент. Разделение функционала на изолированные конструкторы с единым протоколом сохранения (черновик → отправка → проверка) позволяет использовать одинаковый, предсказуемый и легко проверяемый workflow для всех 12 разнородных тем, а также единообразно применить его к комплексному зачётному документу.</w:t>
      </w:r>
    </w:p>
    <w:p>
      <w:pPr>
        <w:pStyle w:val="Heading1"/>
      </w:pPr>
      <w:r>
        <w:rPr>
          <w:rFonts w:ascii="Times New Roman" w:hAnsi="Times New Roman"/>
          <w:sz w:val="30"/>
        </w:rPr>
        <w:t>6. Внешний вид программы, схемы и диаграммы работы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Ниже приведены схема алгоритма работы платформы, схема архитектуры программы и диаграмма распределения баллов (XP) по учебным курсам.</w:t>
      </w:r>
    </w:p>
    <w:p>
      <w:r>
        <w:drawing>
          <wp:inline xmlns:a="http://schemas.openxmlformats.org/drawingml/2006/main" xmlns:pic="http://schemas.openxmlformats.org/drawingml/2006/picture">
            <wp:extent cx="5760000" cy="3380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1 — Схема алгоритма работы платформы ProPuzzle</w:t>
      </w:r>
    </w:p>
    <w:p/>
    <w:p>
      <w:r>
        <w:drawing>
          <wp:inline xmlns:a="http://schemas.openxmlformats.org/drawingml/2006/main" xmlns:pic="http://schemas.openxmlformats.org/drawingml/2006/picture">
            <wp:extent cx="5400000" cy="35786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2 — Архитектура программы (frontend / backend / база данных / файловое хранилище)</w:t>
      </w:r>
    </w:p>
    <w:p/>
    <w:p>
      <w:r>
        <w:drawing>
          <wp:inline xmlns:a="http://schemas.openxmlformats.org/drawingml/2006/main" xmlns:pic="http://schemas.openxmlformats.org/drawingml/2006/picture">
            <wp:extent cx="5400000" cy="2966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p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3 — Распределение баллов (XP) по 12 учебным курсам программы</w:t>
      </w:r>
    </w:p>
    <w:p>
      <w:pPr>
        <w:pStyle w:val="Heading1"/>
      </w:pPr>
      <w:r>
        <w:rPr>
          <w:rFonts w:ascii="Times New Roman" w:hAnsi="Times New Roman"/>
          <w:sz w:val="30"/>
        </w:rPr>
        <w:t>7. Варианты коммерциализации программы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обладает рядом коммерческих сценариев использования и монетизации:</w:t>
      </w:r>
    </w:p>
    <w:p>
      <w:pPr>
        <w:pStyle w:val="ListBullet"/>
      </w:pPr>
      <w:r>
        <w:rPr>
          <w:rFonts w:ascii="Times New Roman" w:hAnsi="Times New Roman"/>
          <w:sz w:val="24"/>
        </w:rPr>
        <w:t>Продажа лицензий образовательным организациям (B2B, SaaS-модель) — подключение колледжей, техникумов и вузов по подписке с оплатой за учебную группу, поток студентов или учебный год.</w:t>
      </w:r>
    </w:p>
    <w:p>
      <w:pPr>
        <w:pStyle w:val="ListBullet"/>
      </w:pPr>
      <w:r>
        <w:rPr>
          <w:rFonts w:ascii="Times New Roman" w:hAnsi="Times New Roman"/>
          <w:sz w:val="24"/>
        </w:rPr>
        <w:t>Модель «White label» для корпоративных учебных центров — адаптация платформы под фирменный стиль компании для внутреннего обучения проектных менеджеров, продакт-менеджеров и аналитиков.</w:t>
      </w:r>
    </w:p>
    <w:p>
      <w:pPr>
        <w:pStyle w:val="ListBullet"/>
      </w:pPr>
      <w:r>
        <w:rPr>
          <w:rFonts w:ascii="Times New Roman" w:hAnsi="Times New Roman"/>
          <w:sz w:val="24"/>
        </w:rPr>
        <w:t>Продажа доступа физическим лицам (B2C) — самостоятельное прохождение курсов вне учебного заведения, с сертификатом по итогам защиты зачётного проекта.</w:t>
      </w:r>
    </w:p>
    <w:p>
      <w:pPr>
        <w:pStyle w:val="ListBullet"/>
      </w:pPr>
      <w:r>
        <w:rPr>
          <w:rFonts w:ascii="Times New Roman" w:hAnsi="Times New Roman"/>
          <w:sz w:val="24"/>
        </w:rPr>
        <w:t>Расширение линейки курсов по подписке — платное добавление новых тематических модулей и конструкторов (например, Agile/Scrum, управление портфелем проектов, финансовое моделирование) для действующих клиентов.</w:t>
      </w:r>
    </w:p>
    <w:p>
      <w:pPr>
        <w:pStyle w:val="ListBullet"/>
      </w:pPr>
      <w:r>
        <w:rPr>
          <w:rFonts w:ascii="Times New Roman" w:hAnsi="Times New Roman"/>
          <w:sz w:val="24"/>
        </w:rPr>
        <w:t>Предоставление платформы как основы для собственных образовательных продуктов методических центров и издательств учебной литературы по модели франшизы/партнёрства.</w:t>
      </w:r>
    </w:p>
    <w:p>
      <w:pPr>
        <w:pStyle w:val="ListBullet"/>
      </w:pPr>
      <w:r>
        <w:rPr>
          <w:rFonts w:ascii="Times New Roman" w:hAnsi="Times New Roman"/>
          <w:sz w:val="24"/>
        </w:rPr>
        <w:t>Продажа права использования исходного кода и товарного знака сторонним edtech-компаниям для встраивания в собственные LMS-решения.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