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A2B4A"/>
          <w:sz w:val="72"/>
          <w:szCs w:val="72"/>
        </w:rPr>
        <w:t xml:space="preserve">π  PiPulse</w:t>
      </w:r>
    </w:p>
    <w:p>
      <w:pPr>
        <w:spacing w:before="0" w:after="80"/>
        <w:jc w:val="center"/>
      </w:pPr>
      <w:r>
        <w:rPr>
          <w:rFonts w:ascii="Arial" w:cs="Arial" w:eastAsia="Arial" w:hAnsi="Arial"/>
          <w:color w:val="1E4D8C"/>
          <w:sz w:val="40"/>
          <w:szCs w:val="40"/>
        </w:rPr>
        <w:t xml:space="preserve">Strategic Development Execution Plan</w:t>
      </w:r>
    </w:p>
    <w:p>
      <w:pPr>
        <w:spacing w:before="0" w:after="480"/>
        <w:jc w:val="center"/>
      </w:pPr>
      <w:r>
        <w:rPr>
          <w:rFonts w:ascii="Arial" w:cs="Arial" w:eastAsia="Arial" w:hAnsi="Arial"/>
          <w:i/>
          <w:iCs/>
          <w:color w:val="0E7C86"/>
          <w:sz w:val="28"/>
          <w:szCs w:val="28"/>
        </w:rPr>
        <w:t xml:space="preserve">From Foundational MVP to Ecosystem-Dominant Platform</w:t>
      </w:r>
    </w:p>
    <w:p>
      <w:pPr>
        <w:pBdr>
          <w:bottom w:val="single" w:color="C8922A" w:sz="12"/>
        </w:pBdr>
        <w:spacing w:before="0" w:after="0"/>
      </w:pPr>
    </w:p>
    <w:p>
      <w:pPr>
        <w:spacing w:before="240" w:after="0"/>
      </w:pPr>
      <w:r>
        <w:t xml:space="preserve"/>
      </w:r>
    </w:p>
    <w:p>
      <w:pPr>
        <w:spacing w:before="0" w:after="80"/>
        <w:jc w:val="center"/>
      </w:pPr>
      <w:r>
        <w:rPr>
          <w:rFonts w:ascii="Arial" w:cs="Arial" w:eastAsia="Arial" w:hAnsi="Arial"/>
          <w:color w:val="8A8A8A"/>
          <w:sz w:val="24"/>
          <w:szCs w:val="24"/>
        </w:rPr>
        <w:t xml:space="preserve">Four-Phase Roadmap  |  Investor &amp; Executive Edition</w:t>
      </w:r>
    </w:p>
    <w:p>
      <w:pPr>
        <w:spacing w:before="0" w:after="0"/>
        <w:jc w:val="center"/>
      </w:pPr>
      <w:r>
        <w:rPr>
          <w:rFonts w:ascii="Arial" w:cs="Arial" w:eastAsia="Arial" w:hAnsi="Arial"/>
          <w:color w:val="8A8A8A"/>
          <w:sz w:val="22"/>
          <w:szCs w:val="22"/>
        </w:rPr>
        <w:t xml:space="preserve">Version 1.0  |  2026  |  Confidential</w:t>
      </w:r>
    </w:p>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D8C" w:sz="4"/>
              <w:left w:val="single" w:color="1E4D8C" w:sz="4"/>
              <w:bottom w:val="single" w:color="1E4D8C" w:sz="4"/>
              <w:right w:val="single" w:color="1E4D8C" w:sz="4"/>
            </w:tcBorders>
            <w:shd w:fill="F5F6F8" w:val="clear"/>
            <w:tcMar>
              <w:top w:type="dxa" w:w="160"/>
              <w:left w:type="dxa" w:w="200"/>
              <w:bottom w:type="dxa" w:w="160"/>
              <w:right w:type="dxa" w:w="200"/>
            </w:tcMar>
            <w:vAlign w:val="center"/>
          </w:tcPr>
          <w:p>
            <w:pPr>
              <w:spacing w:before="0" w:after="40"/>
              <w:jc w:val="center"/>
            </w:pPr>
            <w:r>
              <w:rPr>
                <w:rFonts w:ascii="Arial" w:cs="Arial" w:eastAsia="Arial" w:hAnsi="Arial"/>
                <w:b/>
                <w:bCs/>
                <w:color w:val="1E4D8C"/>
                <w:sz w:val="40"/>
                <w:szCs w:val="40"/>
              </w:rPr>
              <w:t xml:space="preserve">4</w:t>
            </w:r>
          </w:p>
          <w:p>
            <w:pPr>
              <w:spacing w:before="0" w:after="0"/>
              <w:jc w:val="center"/>
            </w:pPr>
            <w:r>
              <w:rPr>
                <w:rFonts w:ascii="Arial" w:cs="Arial" w:eastAsia="Arial" w:hAnsi="Arial"/>
                <w:color w:val="8A8A8A"/>
                <w:sz w:val="18"/>
                <w:szCs w:val="18"/>
              </w:rPr>
              <w:t xml:space="preserve">Total Phases</w:t>
            </w:r>
          </w:p>
        </w:tc>
        <w:tc>
          <w:tcPr>
            <w:tcW w:type="dxa" w:w="2340"/>
            <w:tcBorders>
              <w:top w:val="single" w:color="0E7C86" w:sz="4"/>
              <w:left w:val="single" w:color="0E7C86" w:sz="4"/>
              <w:bottom w:val="single" w:color="0E7C86" w:sz="4"/>
              <w:right w:val="single" w:color="0E7C86" w:sz="4"/>
            </w:tcBorders>
            <w:shd w:fill="F5F6F8" w:val="clear"/>
            <w:tcMar>
              <w:top w:type="dxa" w:w="160"/>
              <w:left w:type="dxa" w:w="200"/>
              <w:bottom w:type="dxa" w:w="160"/>
              <w:right w:type="dxa" w:w="200"/>
            </w:tcMar>
            <w:vAlign w:val="center"/>
          </w:tcPr>
          <w:p>
            <w:pPr>
              <w:spacing w:before="0" w:after="40"/>
              <w:jc w:val="center"/>
            </w:pPr>
            <w:r>
              <w:rPr>
                <w:rFonts w:ascii="Arial" w:cs="Arial" w:eastAsia="Arial" w:hAnsi="Arial"/>
                <w:b/>
                <w:bCs/>
                <w:color w:val="0E7C86"/>
                <w:sz w:val="40"/>
                <w:szCs w:val="40"/>
              </w:rPr>
              <w:t xml:space="preserve">50M+</w:t>
            </w:r>
          </w:p>
          <w:p>
            <w:pPr>
              <w:spacing w:before="0" w:after="0"/>
              <w:jc w:val="center"/>
            </w:pPr>
            <w:r>
              <w:rPr>
                <w:rFonts w:ascii="Arial" w:cs="Arial" w:eastAsia="Arial" w:hAnsi="Arial"/>
                <w:color w:val="8A8A8A"/>
                <w:sz w:val="18"/>
                <w:szCs w:val="18"/>
              </w:rPr>
              <w:t xml:space="preserve">Target Users</w:t>
            </w:r>
          </w:p>
        </w:tc>
        <w:tc>
          <w:tcPr>
            <w:tcW w:type="dxa" w:w="2340"/>
            <w:tcBorders>
              <w:top w:val="single" w:color="C8922A" w:sz="4"/>
              <w:left w:val="single" w:color="C8922A" w:sz="4"/>
              <w:bottom w:val="single" w:color="C8922A" w:sz="4"/>
              <w:right w:val="single" w:color="C8922A" w:sz="4"/>
            </w:tcBorders>
            <w:shd w:fill="F5F6F8" w:val="clear"/>
            <w:tcMar>
              <w:top w:type="dxa" w:w="160"/>
              <w:left w:type="dxa" w:w="200"/>
              <w:bottom w:type="dxa" w:w="160"/>
              <w:right w:type="dxa" w:w="200"/>
            </w:tcMar>
            <w:vAlign w:val="center"/>
          </w:tcPr>
          <w:p>
            <w:pPr>
              <w:spacing w:before="0" w:after="40"/>
              <w:jc w:val="center"/>
            </w:pPr>
            <w:r>
              <w:rPr>
                <w:rFonts w:ascii="Arial" w:cs="Arial" w:eastAsia="Arial" w:hAnsi="Arial"/>
                <w:b/>
                <w:bCs/>
                <w:color w:val="C8922A"/>
                <w:sz w:val="40"/>
                <w:szCs w:val="40"/>
              </w:rPr>
              <w:t xml:space="preserve">Billion-Dollar</w:t>
            </w:r>
          </w:p>
          <w:p>
            <w:pPr>
              <w:spacing w:before="0" w:after="0"/>
              <w:jc w:val="center"/>
            </w:pPr>
            <w:r>
              <w:rPr>
                <w:rFonts w:ascii="Arial" w:cs="Arial" w:eastAsia="Arial" w:hAnsi="Arial"/>
                <w:color w:val="8A8A8A"/>
                <w:sz w:val="18"/>
                <w:szCs w:val="18"/>
              </w:rPr>
              <w:t xml:space="preserve">Platform Vision</w:t>
            </w:r>
          </w:p>
        </w:tc>
        <w:tc>
          <w:tcPr>
            <w:tcW w:type="dxa" w:w="2340"/>
            <w:tcBorders>
              <w:top w:val="single" w:color="1A2B4A" w:sz="4"/>
              <w:left w:val="single" w:color="1A2B4A" w:sz="4"/>
              <w:bottom w:val="single" w:color="1A2B4A" w:sz="4"/>
              <w:right w:val="single" w:color="1A2B4A" w:sz="4"/>
            </w:tcBorders>
            <w:shd w:fill="F5F6F8" w:val="clear"/>
            <w:tcMar>
              <w:top w:type="dxa" w:w="160"/>
              <w:left w:type="dxa" w:w="200"/>
              <w:bottom w:type="dxa" w:w="160"/>
              <w:right w:type="dxa" w:w="200"/>
            </w:tcMar>
            <w:vAlign w:val="center"/>
          </w:tcPr>
          <w:p>
            <w:pPr>
              <w:spacing w:before="0" w:after="40"/>
              <w:jc w:val="center"/>
            </w:pPr>
            <w:r>
              <w:rPr>
                <w:rFonts w:ascii="Arial" w:cs="Arial" w:eastAsia="Arial" w:hAnsi="Arial"/>
                <w:b/>
                <w:bCs/>
                <w:color w:val="1A2B4A"/>
                <w:sz w:val="40"/>
                <w:szCs w:val="40"/>
              </w:rPr>
              <w:t xml:space="preserve">Binance-Grade</w:t>
            </w:r>
          </w:p>
          <w:p>
            <w:pPr>
              <w:spacing w:before="0" w:after="0"/>
              <w:jc w:val="center"/>
            </w:pPr>
            <w:r>
              <w:rPr>
                <w:rFonts w:ascii="Arial" w:cs="Arial" w:eastAsia="Arial" w:hAnsi="Arial"/>
                <w:color w:val="8A8A8A"/>
                <w:sz w:val="18"/>
                <w:szCs w:val="18"/>
              </w:rPr>
              <w:t xml:space="preserve">Build Standard</w:t>
            </w:r>
          </w:p>
        </w:tc>
      </w:tr>
    </w:tbl>
    <w:p>
      <w:r>
        <w:br w:type="page"/>
      </w:r>
    </w:p>
    <w:p>
      <w:pPr>
        <w:pStyle w:val="Heading1"/>
        <w:spacing w:before="360" w:after="160"/>
      </w:pPr>
      <w:r>
        <w:rPr>
          <w:rFonts w:ascii="Arial" w:cs="Arial" w:eastAsia="Arial" w:hAnsi="Arial"/>
          <w:b/>
          <w:bCs/>
          <w:color w:val="1A2B4A"/>
        </w:rPr>
        <w:t xml:space="preserve">Executive Summary</w:t>
      </w:r>
    </w:p>
    <w:p>
      <w:pPr>
        <w:pBdr>
          <w:bottom w:val="single" w:color="C8922A" w:sz="6"/>
        </w:pBdr>
        <w:spacing w:before="0" w:after="0"/>
      </w:pPr>
    </w:p>
    <w:p>
      <w:pPr>
        <w:spacing w:before="160" w:after="0"/>
      </w:pPr>
      <w:r>
        <w:t xml:space="preserve"/>
      </w:r>
    </w:p>
    <w:p>
      <w:pPr>
        <w:spacing w:before="80" w:after="100"/>
      </w:pPr>
      <w:r>
        <w:rPr>
          <w:rFonts w:ascii="Arial" w:cs="Arial" w:eastAsia="Arial" w:hAnsi="Arial"/>
          <w:color w:val="3A3A3A"/>
          <w:sz w:val="22"/>
          <w:szCs w:val="22"/>
        </w:rPr>
        <w:t xml:space="preserve">PiPulse is being engineered to become the economic backbone of the Pi Network — the platform that, if taken offline for 24 hours, would visibly halt economic activity across 100+ million Pioneers. This is not a product roadmap. It is a founding architecture execution plan, written with a single constraint: this system must remain dominant and indispensable when Pi Network reaches 500 million users.</w:t>
      </w:r>
    </w:p>
    <w:p>
      <w:pPr>
        <w:spacing w:before="80" w:after="0"/>
      </w:pPr>
      <w:r>
        <w:t xml:space="preserve"/>
      </w:r>
    </w:p>
    <w:p>
      <w:pPr>
        <w:spacing w:before="80" w:after="100"/>
      </w:pPr>
      <w:r>
        <w:rPr>
          <w:rFonts w:ascii="Arial" w:cs="Arial" w:eastAsia="Arial" w:hAnsi="Arial"/>
          <w:color w:val="3A3A3A"/>
          <w:sz w:val="22"/>
          <w:szCs w:val="22"/>
        </w:rPr>
        <w:t xml:space="preserve">The following strategic plan decomposes the full PiPulse architecture into four execution phases — ordered by urgency, dependency, and risk — progressing from a battle-tested MVP to a multi-billion-dollar, decentralized infrastructure ecosystem.</w:t>
      </w:r>
    </w:p>
    <w:p>
      <w:pPr>
        <w:spacing w:before="160" w:after="0"/>
      </w:pPr>
      <w:r>
        <w:t xml:space="preserve"/>
      </w:r>
    </w:p>
    <w:p>
      <w:pPr>
        <w:pStyle w:val="Heading2"/>
        <w:spacing w:before="280" w:after="120"/>
      </w:pPr>
      <w:r>
        <w:rPr>
          <w:rFonts w:ascii="Arial" w:cs="Arial" w:eastAsia="Arial" w:hAnsi="Arial"/>
          <w:b/>
          <w:bCs/>
          <w:color w:val="1E4D8C"/>
        </w:rPr>
        <w:t xml:space="preserve">The Four-Phase Vision at a Glance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Phase</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Name</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Horizon</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Users</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Strategic Mandate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PART 1</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Foundation &amp; Trust Core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Months 1–4</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0 — 50K</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Launch a bulletproof, Binance-grade core with escrow, reputation, and marketplace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PART 2</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Growth Engine &amp; Intelligence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Months 5–10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50K — 500K</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Activate AI matching, PULSE token, developer API, and advanced fraud defenses</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PART 3</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Platform Dominance &amp; Ecosystem</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Months 11–18</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500K — 5M</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Scale infrastructure, launch governance, and make PiPulse indispensable to other Pi apps</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PART 4</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Global Infrastructure &amp; Legacy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Months 19–36</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5M — 50M+</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Multi-region architecture, full decentralization, enterprise API, and market intelligence monopoly</w:t>
            </w:r>
          </w:p>
        </w:tc>
      </w:tr>
    </w:tbl>
    <w:p>
      <w:pPr>
        <w:spacing w:before="160" w:after="0"/>
      </w:pPr>
      <w:r>
        <w:t xml:space="preserve"/>
      </w:r>
    </w:p>
    <w:p>
      <w:pPr>
        <w:spacing w:before="80" w:after="100"/>
      </w:pPr>
      <w:r>
        <w:rPr>
          <w:rFonts w:ascii="Arial" w:cs="Arial" w:eastAsia="Arial" w:hAnsi="Arial"/>
          <w:color w:val="3A3A3A"/>
          <w:sz w:val="22"/>
          <w:szCs w:val="22"/>
        </w:rPr>
        <w:t xml:space="preserve">Each phase is designed so that the deliverables from the previous phase are prerequisites for the next. There are no shortcuts. A compromised Phase 1 produces a fragile Phase 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E4D8C" w:val="clear"/>
            <w:tcMar>
              <w:top w:type="dxa" w:w="200"/>
              <w:left w:type="dxa" w:w="200"/>
              <w:bottom w:type="dxa" w:w="200"/>
              <w:right w:type="dxa" w:w="200"/>
            </w:tcMar>
            <w:vAlign w:val="center"/>
          </w:tcPr>
          <w:p>
            <w:pPr>
              <w:spacing w:before="0" w:after="0"/>
              <w:jc w:val="center"/>
            </w:pPr>
            <w:r>
              <w:rPr>
                <w:rFonts w:ascii="Arial" w:cs="Arial" w:eastAsia="Arial" w:hAnsi="Arial"/>
                <w:b/>
                <w:bCs/>
                <w:color w:val="FFFFFF"/>
                <w:sz w:val="72"/>
                <w:szCs w:val="72"/>
              </w:rPr>
              <w:t xml:space="preserve">PART 1</w:t>
            </w:r>
          </w:p>
        </w:tc>
        <w:tc>
          <w:tcPr>
            <w:tcW w:type="dxa" w:w="7920"/>
            <w:tcBorders>
              <w:top w:val="none" w:color="FFFFFF" w:sz="0"/>
              <w:left w:val="none" w:color="FFFFFF" w:sz="0"/>
              <w:bottom w:val="none" w:color="FFFFFF" w:sz="0"/>
              <w:right w:val="none" w:color="FFFFFF" w:sz="0"/>
            </w:tcBorders>
            <w:shd w:fill="E8F0FA" w:val="clear"/>
            <w:tcMar>
              <w:top w:type="dxa" w:w="160"/>
              <w:left w:type="dxa" w:w="300"/>
              <w:bottom w:type="dxa" w:w="160"/>
              <w:right w:type="dxa" w:w="200"/>
            </w:tcMar>
            <w:vAlign w:val="center"/>
          </w:tcPr>
          <w:p>
            <w:pPr>
              <w:spacing w:before="0" w:after="60"/>
            </w:pPr>
            <w:r>
              <w:rPr>
                <w:rFonts w:ascii="Arial" w:cs="Arial" w:eastAsia="Arial" w:hAnsi="Arial"/>
                <w:b/>
                <w:bCs/>
                <w:color w:val="1E4D8C"/>
                <w:sz w:val="40"/>
                <w:szCs w:val="40"/>
              </w:rPr>
              <w:t xml:space="preserve">Foundation &amp; Trust Core</w:t>
            </w:r>
          </w:p>
          <w:p>
            <w:pPr>
              <w:spacing w:before="0" w:after="0"/>
            </w:pPr>
            <w:r>
              <w:rPr>
                <w:rFonts w:ascii="Arial" w:cs="Arial" w:eastAsia="Arial" w:hAnsi="Arial"/>
                <w:i/>
                <w:iCs/>
                <w:color w:val="3A3A3A"/>
                <w:sz w:val="22"/>
                <w:szCs w:val="22"/>
              </w:rPr>
              <w:t xml:space="preserve">The Minimum Viable Infrastructure — Months 1 through 4</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E4D8C" w:sz="4"/>
              <w:left w:val="single" w:color="1E4D8C" w:sz="4"/>
              <w:bottom w:val="single" w:color="1E4D8C" w:sz="4"/>
              <w:right w:val="single" w:color="1E4D8C" w:sz="4"/>
            </w:tcBorders>
            <w:shd w:fill="1E4D8C" w:val="clear"/>
            <w:tcMar>
              <w:top w:type="dxa" w:w="120"/>
              <w:left w:type="dxa" w:w="180"/>
              <w:bottom w:type="dxa" w:w="120"/>
              <w:right w:type="dxa" w:w="120"/>
            </w:tcMar>
          </w:tcPr>
          <w:p>
            <w:pPr>
              <w:spacing w:before="0" w:after="40"/>
            </w:pPr>
            <w:r>
              <w:rPr>
                <w:rFonts w:ascii="Arial" w:cs="Arial" w:eastAsia="Arial" w:hAnsi="Arial"/>
                <w:b/>
                <w:bCs/>
                <w:color w:val="FFFFFF"/>
                <w:sz w:val="28"/>
                <w:szCs w:val="28"/>
              </w:rPr>
              <w:t xml:space="preserve">PART 1</w:t>
            </w:r>
          </w:p>
          <w:p>
            <w:pPr>
              <w:spacing w:before="0" w:after="0"/>
            </w:pPr>
            <w:r>
              <w:rPr>
                <w:rFonts w:ascii="Arial" w:cs="Arial" w:eastAsia="Arial" w:hAnsi="Arial"/>
                <w:color w:val="FFFFFF"/>
                <w:sz w:val="19"/>
                <w:szCs w:val="19"/>
              </w:rPr>
              <w:t xml:space="preserve">Foundation &amp; Trust Core</w:t>
            </w:r>
          </w:p>
        </w:tc>
        <w:tc>
          <w:tcPr>
            <w:tcW w:type="dxa" w:w="2400"/>
            <w:tcBorders>
              <w:top w:val="single" w:color="1E4D8C" w:sz="4"/>
              <w:left w:val="single" w:color="1E4D8C" w:sz="4"/>
              <w:bottom w:val="single" w:color="1E4D8C" w:sz="4"/>
              <w:right w:val="single" w:color="1E4D8C" w:sz="4"/>
            </w:tcBorders>
            <w:shd w:fill="E8F0FA" w:val="clear"/>
            <w:tcMar>
              <w:top w:type="dxa" w:w="120"/>
              <w:left w:type="dxa" w:w="180"/>
              <w:bottom w:type="dxa" w:w="120"/>
              <w:right w:type="dxa" w:w="120"/>
            </w:tcMar>
          </w:tcPr>
          <w:p>
            <w:pPr>
              <w:spacing w:before="0" w:after="40"/>
            </w:pPr>
            <w:r>
              <w:rPr>
                <w:rFonts w:ascii="Arial" w:cs="Arial" w:eastAsia="Arial" w:hAnsi="Arial"/>
                <w:b/>
                <w:bCs/>
                <w:color w:val="1E4D8C"/>
                <w:sz w:val="18"/>
                <w:szCs w:val="18"/>
              </w:rPr>
              <w:t xml:space="preserve">Duration</w:t>
            </w:r>
          </w:p>
          <w:p>
            <w:pPr>
              <w:spacing w:before="0" w:after="0"/>
            </w:pPr>
            <w:r>
              <w:rPr>
                <w:rFonts w:ascii="Arial" w:cs="Arial" w:eastAsia="Arial" w:hAnsi="Arial"/>
                <w:color w:val="3A3A3A"/>
                <w:sz w:val="22"/>
                <w:szCs w:val="22"/>
              </w:rPr>
              <w:t xml:space="preserve">Months 1–4</w:t>
            </w:r>
          </w:p>
        </w:tc>
        <w:tc>
          <w:tcPr>
            <w:tcW w:type="dxa" w:w="2400"/>
            <w:tcBorders>
              <w:top w:val="single" w:color="1E4D8C" w:sz="4"/>
              <w:left w:val="single" w:color="1E4D8C" w:sz="4"/>
              <w:bottom w:val="single" w:color="1E4D8C" w:sz="4"/>
              <w:right w:val="single" w:color="1E4D8C" w:sz="4"/>
            </w:tcBorders>
            <w:shd w:fill="E8F0FA" w:val="clear"/>
            <w:tcMar>
              <w:top w:type="dxa" w:w="120"/>
              <w:left w:type="dxa" w:w="180"/>
              <w:bottom w:type="dxa" w:w="120"/>
              <w:right w:type="dxa" w:w="120"/>
            </w:tcMar>
          </w:tcPr>
          <w:p>
            <w:pPr>
              <w:spacing w:before="0" w:after="40"/>
            </w:pPr>
            <w:r>
              <w:rPr>
                <w:rFonts w:ascii="Arial" w:cs="Arial" w:eastAsia="Arial" w:hAnsi="Arial"/>
                <w:b/>
                <w:bCs/>
                <w:color w:val="1E4D8C"/>
                <w:sz w:val="18"/>
                <w:szCs w:val="18"/>
              </w:rPr>
              <w:t xml:space="preserve">Target Users</w:t>
            </w:r>
          </w:p>
          <w:p>
            <w:pPr>
              <w:spacing w:before="0" w:after="0"/>
            </w:pPr>
            <w:r>
              <w:rPr>
                <w:rFonts w:ascii="Arial" w:cs="Arial" w:eastAsia="Arial" w:hAnsi="Arial"/>
                <w:color w:val="3A3A3A"/>
                <w:sz w:val="22"/>
                <w:szCs w:val="22"/>
              </w:rPr>
              <w:t xml:space="preserve">0 → 50,000</w:t>
            </w:r>
          </w:p>
        </w:tc>
        <w:tc>
          <w:tcPr>
            <w:tcW w:type="dxa" w:w="2360"/>
            <w:tcBorders>
              <w:top w:val="single" w:color="1E4D8C" w:sz="4"/>
              <w:left w:val="single" w:color="1E4D8C" w:sz="4"/>
              <w:bottom w:val="single" w:color="1E4D8C" w:sz="4"/>
              <w:right w:val="single" w:color="1E4D8C" w:sz="4"/>
            </w:tcBorders>
            <w:shd w:fill="E8F0FA" w:val="clear"/>
            <w:tcMar>
              <w:top w:type="dxa" w:w="120"/>
              <w:left w:type="dxa" w:w="180"/>
              <w:bottom w:type="dxa" w:w="120"/>
              <w:right w:type="dxa" w:w="120"/>
            </w:tcMar>
          </w:tcPr>
          <w:p>
            <w:pPr>
              <w:spacing w:before="0" w:after="40"/>
            </w:pPr>
            <w:r>
              <w:rPr>
                <w:rFonts w:ascii="Arial" w:cs="Arial" w:eastAsia="Arial" w:hAnsi="Arial"/>
                <w:b/>
                <w:bCs/>
                <w:color w:val="1E4D8C"/>
                <w:sz w:val="18"/>
                <w:szCs w:val="18"/>
              </w:rPr>
              <w:t xml:space="preserve">Primary Goal</w:t>
            </w:r>
          </w:p>
          <w:p>
            <w:pPr>
              <w:spacing w:before="0" w:after="0"/>
            </w:pPr>
            <w:r>
              <w:rPr>
                <w:rFonts w:ascii="Arial" w:cs="Arial" w:eastAsia="Arial" w:hAnsi="Arial"/>
                <w:color w:val="3A3A3A"/>
                <w:sz w:val="20"/>
                <w:szCs w:val="20"/>
              </w:rPr>
              <w:t xml:space="preserve">Earn trust on Day 1</w:t>
            </w:r>
          </w:p>
        </w:tc>
      </w:tr>
    </w:tbl>
    <w:p>
      <w:pPr>
        <w:spacing w:before="200" w:after="0"/>
      </w:pPr>
      <w:r>
        <w:t xml:space="preserve"/>
      </w:r>
    </w:p>
    <w:p>
      <w:pPr>
        <w:pStyle w:val="Heading2"/>
        <w:spacing w:before="280" w:after="120"/>
      </w:pPr>
      <w:r>
        <w:rPr>
          <w:rFonts w:ascii="Arial" w:cs="Arial" w:eastAsia="Arial" w:hAnsi="Arial"/>
          <w:b/>
          <w:bCs/>
          <w:color w:val="1E4D8C"/>
        </w:rPr>
        <w:t xml:space="preserve">1.1  Core Objective</w:t>
      </w:r>
    </w:p>
    <w:p>
      <w:pPr>
        <w:spacing w:before="80" w:after="100"/>
      </w:pPr>
      <w:r>
        <w:rPr>
          <w:rFonts w:ascii="Arial" w:cs="Arial" w:eastAsia="Arial" w:hAnsi="Arial"/>
          <w:color w:val="3A3A3A"/>
          <w:sz w:val="22"/>
          <w:szCs w:val="22"/>
        </w:rPr>
        <w:t xml:space="preserve">Part 1 is not about building everything — it is about building the right things so well that they never need to be rebuilt. The goal is to launch a platform where every Pi transaction is mathematically provable, every worker reputation score is backed by real economic behavior, and every employer can post a task with full confidence their Pi is protected. If Part 1 is not built to bank-grade reliability, the entire platform is built on sand.</w:t>
      </w:r>
    </w:p>
    <w:p>
      <w:pPr>
        <w:spacing w:before="80" w:after="0"/>
      </w:pPr>
      <w:r>
        <w:t xml:space="preserve"/>
      </w:r>
    </w:p>
    <w:p>
      <w:pPr>
        <w:spacing w:before="80" w:after="100"/>
      </w:pPr>
      <w:r>
        <w:rPr>
          <w:rFonts w:ascii="Arial" w:cs="Arial" w:eastAsia="Arial" w:hAnsi="Arial"/>
          <w:color w:val="3A3A3A"/>
          <w:sz w:val="22"/>
          <w:szCs w:val="22"/>
        </w:rPr>
        <w:t xml:space="preserve">The single most important outcome of Part 1: A Pioneer who opens PiPulse on Day 1 must be able to earn Pi, receive Pi, and trust the platform — all before they finish their morning coffee.</w:t>
      </w:r>
    </w:p>
    <w:p>
      <w:pPr>
        <w:spacing w:before="160" w:after="0"/>
      </w:pPr>
      <w:r>
        <w:t xml:space="preserve"/>
      </w:r>
    </w:p>
    <w:p>
      <w:pPr>
        <w:pStyle w:val="Heading2"/>
        <w:spacing w:before="280" w:after="120"/>
      </w:pPr>
      <w:r>
        <w:rPr>
          <w:rFonts w:ascii="Arial" w:cs="Arial" w:eastAsia="Arial" w:hAnsi="Arial"/>
          <w:b/>
          <w:bCs/>
          <w:color w:val="1E4D8C"/>
        </w:rPr>
        <w:t xml:space="preserve">1.2  Key Features to Be Developed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none"/>
              <w:right w:val="none"/>
            </w:tcBorders>
            <w:shd w:fill="E8F0FA" w:val="clear"/>
            <w:tcMar>
              <w:top w:type="dxa" w:w="140"/>
              <w:left w:type="dxa" w:w="240"/>
              <w:bottom w:type="dxa" w:w="140"/>
              <w:right w:type="dxa" w:w="240"/>
            </w:tcMar>
          </w:tcPr>
          <w:p>
            <w:pPr>
              <w:spacing w:before="0" w:after="100"/>
            </w:pPr>
            <w:r>
              <w:rPr>
                <w:rFonts w:ascii="Arial" w:cs="Arial" w:eastAsia="Arial" w:hAnsi="Arial"/>
                <w:b/>
                <w:bCs/>
                <w:color w:val="1E4D8C"/>
                <w:sz w:val="22"/>
                <w:szCs w:val="22"/>
              </w:rPr>
              <w:t xml:space="preserve">Authentication &amp; Identity Layer</w:t>
            </w:r>
          </w:p>
          <w:p>
            <w:pPr>
              <w:pStyle w:val="ListParagraph"/>
              <w:numPr>
                <w:ilvl w:val="0"/>
                <w:numId w:val="2"/>
              </w:numPr>
              <w:spacing w:before="40" w:after="40"/>
            </w:pPr>
            <w:r>
              <w:rPr>
                <w:rFonts w:ascii="Arial" w:cs="Arial" w:eastAsia="Arial" w:hAnsi="Arial"/>
                <w:color w:val="3A3A3A"/>
                <w:sz w:val="20"/>
                <w:szCs w:val="20"/>
              </w:rPr>
              <w:t xml:space="preserve">Pi Browser SDK integration with seamless, passwordless authentication using Pi UID as the immutable identity anchor</w:t>
            </w:r>
          </w:p>
          <w:p>
            <w:pPr>
              <w:pStyle w:val="ListParagraph"/>
              <w:numPr>
                <w:ilvl w:val="0"/>
                <w:numId w:val="2"/>
              </w:numPr>
              <w:spacing w:before="40" w:after="40"/>
            </w:pPr>
            <w:r>
              <w:rPr>
                <w:rFonts w:ascii="Arial" w:cs="Arial" w:eastAsia="Arial" w:hAnsi="Arial"/>
                <w:color w:val="3A3A3A"/>
                <w:sz w:val="20"/>
                <w:szCs w:val="20"/>
              </w:rPr>
              <w:t xml:space="preserve">KYC level capture and storage (0 = unverified, 1 = basic, 2 = full) from Pi Network — zero independent verification overhead</w:t>
            </w:r>
          </w:p>
          <w:p>
            <w:pPr>
              <w:pStyle w:val="ListParagraph"/>
              <w:numPr>
                <w:ilvl w:val="0"/>
                <w:numId w:val="2"/>
              </w:numPr>
              <w:spacing w:before="40" w:after="40"/>
            </w:pPr>
            <w:r>
              <w:rPr>
                <w:rFonts w:ascii="Arial" w:cs="Arial" w:eastAsia="Arial" w:hAnsi="Arial"/>
                <w:color w:val="3A3A3A"/>
                <w:sz w:val="20"/>
                <w:szCs w:val="20"/>
              </w:rPr>
              <w:t xml:space="preserve">Device fingerprinting system to detect and prevent multi-account abuse from launch day</w:t>
            </w:r>
          </w:p>
          <w:p>
            <w:pPr>
              <w:pStyle w:val="ListParagraph"/>
              <w:numPr>
                <w:ilvl w:val="0"/>
                <w:numId w:val="2"/>
              </w:numPr>
              <w:spacing w:before="40" w:after="40"/>
            </w:pPr>
            <w:r>
              <w:rPr>
                <w:rFonts w:ascii="Arial" w:cs="Arial" w:eastAsia="Arial" w:hAnsi="Arial"/>
                <w:color w:val="3A3A3A"/>
                <w:sz w:val="20"/>
                <w:szCs w:val="20"/>
              </w:rPr>
              <w:t xml:space="preserve">User profile creation, role assignment (worker/employer), and onboarding flow with 60-second first-value experience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none"/>
              <w:right w:val="none"/>
            </w:tcBorders>
            <w:shd w:fill="E8F0FA" w:val="clear"/>
            <w:tcMar>
              <w:top w:type="dxa" w:w="140"/>
              <w:left w:type="dxa" w:w="240"/>
              <w:bottom w:type="dxa" w:w="140"/>
              <w:right w:type="dxa" w:w="240"/>
            </w:tcMar>
          </w:tcPr>
          <w:p>
            <w:pPr>
              <w:spacing w:before="0" w:after="100"/>
            </w:pPr>
            <w:r>
              <w:rPr>
                <w:rFonts w:ascii="Arial" w:cs="Arial" w:eastAsia="Arial" w:hAnsi="Arial"/>
                <w:b/>
                <w:bCs/>
                <w:color w:val="1E4D8C"/>
                <w:sz w:val="22"/>
                <w:szCs w:val="22"/>
              </w:rPr>
              <w:t xml:space="preserve">Labor Marketplace Engine — Full Task Lifecycle</w:t>
            </w:r>
          </w:p>
          <w:p>
            <w:pPr>
              <w:pStyle w:val="ListParagraph"/>
              <w:numPr>
                <w:ilvl w:val="0"/>
                <w:numId w:val="2"/>
              </w:numPr>
              <w:spacing w:before="40" w:after="40"/>
            </w:pPr>
            <w:r>
              <w:rPr>
                <w:rFonts w:ascii="Arial" w:cs="Arial" w:eastAsia="Arial" w:hAnsi="Arial"/>
                <w:color w:val="3A3A3A"/>
                <w:sz w:val="20"/>
                <w:szCs w:val="20"/>
              </w:rPr>
              <w:t xml:space="preserve">Task creation interface: all 9 proof types (survey, app testing, translation, audio, photo, content review, data labeling, micro-consulting, social verification)</w:t>
            </w:r>
          </w:p>
          <w:p>
            <w:pPr>
              <w:pStyle w:val="ListParagraph"/>
              <w:numPr>
                <w:ilvl w:val="0"/>
                <w:numId w:val="2"/>
              </w:numPr>
              <w:spacing w:before="40" w:after="40"/>
            </w:pPr>
            <w:r>
              <w:rPr>
                <w:rFonts w:ascii="Arial" w:cs="Arial" w:eastAsia="Arial" w:hAnsi="Arial"/>
                <w:color w:val="3A3A3A"/>
                <w:sz w:val="20"/>
                <w:szCs w:val="20"/>
              </w:rPr>
              <w:t xml:space="preserve">Full task state machine: DRAFT → PENDING_PAYMENT → ESCROWED → ACTIVE → COMPLETED/EXPIRED/CANCELLED</w:t>
            </w:r>
          </w:p>
          <w:p>
            <w:pPr>
              <w:pStyle w:val="ListParagraph"/>
              <w:numPr>
                <w:ilvl w:val="0"/>
                <w:numId w:val="2"/>
              </w:numPr>
              <w:spacing w:before="40" w:after="40"/>
            </w:pPr>
            <w:r>
              <w:rPr>
                <w:rFonts w:ascii="Arial" w:cs="Arial" w:eastAsia="Arial" w:hAnsi="Arial"/>
                <w:color w:val="3A3A3A"/>
                <w:sz w:val="20"/>
                <w:szCs w:val="20"/>
              </w:rPr>
              <w:t xml:space="preserve">Concurrent multi-worker slot architecture with atomic, race-condition-free database-level locking</w:t>
            </w:r>
          </w:p>
          <w:p>
            <w:pPr>
              <w:pStyle w:val="ListParagraph"/>
              <w:numPr>
                <w:ilvl w:val="0"/>
                <w:numId w:val="2"/>
              </w:numPr>
              <w:spacing w:before="40" w:after="40"/>
            </w:pPr>
            <w:r>
              <w:rPr>
                <w:rFonts w:ascii="Arial" w:cs="Arial" w:eastAsia="Arial" w:hAnsi="Arial"/>
                <w:color w:val="3A3A3A"/>
                <w:sz w:val="20"/>
                <w:szCs w:val="20"/>
              </w:rPr>
              <w:t xml:space="preserve">Task browsing feed with rule-based matching algorithm (Phase 1 AI): scored by reputation, category affinity, KYC level, and country targeting</w:t>
            </w:r>
          </w:p>
          <w:p>
            <w:pPr>
              <w:pStyle w:val="ListParagraph"/>
              <w:numPr>
                <w:ilvl w:val="0"/>
                <w:numId w:val="2"/>
              </w:numPr>
              <w:spacing w:before="40" w:after="40"/>
            </w:pPr>
            <w:r>
              <w:rPr>
                <w:rFonts w:ascii="Arial" w:cs="Arial" w:eastAsia="Arial" w:hAnsi="Arial"/>
                <w:color w:val="3A3A3A"/>
                <w:sz w:val="20"/>
                <w:szCs w:val="20"/>
              </w:rPr>
              <w:t xml:space="preserve">Task submission flow with proof upload (text, file, image, audio) to S3/CDN with SHA-256 integrity hashing</w:t>
            </w:r>
          </w:p>
          <w:p>
            <w:pPr>
              <w:pStyle w:val="ListParagraph"/>
              <w:numPr>
                <w:ilvl w:val="0"/>
                <w:numId w:val="2"/>
              </w:numPr>
              <w:spacing w:before="40" w:after="40"/>
            </w:pPr>
            <w:r>
              <w:rPr>
                <w:rFonts w:ascii="Arial" w:cs="Arial" w:eastAsia="Arial" w:hAnsi="Arial"/>
                <w:color w:val="3A3A3A"/>
                <w:sz w:val="20"/>
                <w:szCs w:val="20"/>
              </w:rPr>
              <w:t xml:space="preserve">Employer submission review dashboard: approve, reject, request revision with mandatory reason codes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none"/>
              <w:right w:val="none"/>
            </w:tcBorders>
            <w:shd w:fill="E8F0FA" w:val="clear"/>
            <w:tcMar>
              <w:top w:type="dxa" w:w="140"/>
              <w:left w:type="dxa" w:w="240"/>
              <w:bottom w:type="dxa" w:w="140"/>
              <w:right w:type="dxa" w:w="240"/>
            </w:tcMar>
          </w:tcPr>
          <w:p>
            <w:pPr>
              <w:spacing w:before="0" w:after="100"/>
            </w:pPr>
            <w:r>
              <w:rPr>
                <w:rFonts w:ascii="Arial" w:cs="Arial" w:eastAsia="Arial" w:hAnsi="Arial"/>
                <w:b/>
                <w:bCs/>
                <w:color w:val="1E4D8C"/>
                <w:sz w:val="22"/>
                <w:szCs w:val="22"/>
              </w:rPr>
              <w:t xml:space="preserve">Escrow &amp; Settlement Engine</w:t>
            </w:r>
          </w:p>
          <w:p>
            <w:pPr>
              <w:pStyle w:val="ListParagraph"/>
              <w:numPr>
                <w:ilvl w:val="0"/>
                <w:numId w:val="2"/>
              </w:numPr>
              <w:spacing w:before="40" w:after="40"/>
            </w:pPr>
            <w:r>
              <w:rPr>
                <w:rFonts w:ascii="Arial" w:cs="Arial" w:eastAsia="Arial" w:hAnsi="Arial"/>
                <w:color w:val="3A3A3A"/>
                <w:sz w:val="20"/>
                <w:szCs w:val="20"/>
              </w:rPr>
              <w:t xml:space="preserve">Full EscrowLedger implementation with immutable invariant enforcement (releasedAmount + refundedAmount + heldAmount = totalEscrowed at all times)</w:t>
            </w:r>
          </w:p>
          <w:p>
            <w:pPr>
              <w:pStyle w:val="ListParagraph"/>
              <w:numPr>
                <w:ilvl w:val="0"/>
                <w:numId w:val="2"/>
              </w:numPr>
              <w:spacing w:before="40" w:after="40"/>
            </w:pPr>
            <w:r>
              <w:rPr>
                <w:rFonts w:ascii="Arial" w:cs="Arial" w:eastAsia="Arial" w:hAnsi="Arial"/>
                <w:color w:val="3A3A3A"/>
                <w:sz w:val="20"/>
                <w:szCs w:val="20"/>
              </w:rPr>
              <w:t xml:space="preserve">Pi Network blockchain payment verification: every escrow confirmed on-chain before task goes live</w:t>
            </w:r>
          </w:p>
          <w:p>
            <w:pPr>
              <w:pStyle w:val="ListParagraph"/>
              <w:numPr>
                <w:ilvl w:val="0"/>
                <w:numId w:val="2"/>
              </w:numPr>
              <w:spacing w:before="40" w:after="40"/>
            </w:pPr>
            <w:r>
              <w:rPr>
                <w:rFonts w:ascii="Arial" w:cs="Arial" w:eastAsia="Arial" w:hAnsi="Arial"/>
                <w:color w:val="3A3A3A"/>
                <w:sz w:val="20"/>
                <w:szCs w:val="20"/>
              </w:rPr>
              <w:t xml:space="preserve">Multi-phase payment release: manual approval, 72-hour auto-approval, cancellation refund, and expiry partial refund flows</w:t>
            </w:r>
          </w:p>
          <w:p>
            <w:pPr>
              <w:pStyle w:val="ListParagraph"/>
              <w:numPr>
                <w:ilvl w:val="0"/>
                <w:numId w:val="2"/>
              </w:numPr>
              <w:spacing w:before="40" w:after="40"/>
            </w:pPr>
            <w:r>
              <w:rPr>
                <w:rFonts w:ascii="Arial" w:cs="Arial" w:eastAsia="Arial" w:hAnsi="Arial"/>
                <w:color w:val="3A3A3A"/>
                <w:sz w:val="20"/>
                <w:szCs w:val="20"/>
              </w:rPr>
              <w:t xml:space="preserve">Platform fee extraction (5%) on successful completion only — never on refunded transactions</w:t>
            </w:r>
          </w:p>
          <w:p>
            <w:pPr>
              <w:pStyle w:val="ListParagraph"/>
              <w:numPr>
                <w:ilvl w:val="0"/>
                <w:numId w:val="2"/>
              </w:numPr>
              <w:spacing w:before="40" w:after="40"/>
            </w:pPr>
            <w:r>
              <w:rPr>
                <w:rFonts w:ascii="Arial" w:cs="Arial" w:eastAsia="Arial" w:hAnsi="Arial"/>
                <w:color w:val="3A3A3A"/>
                <w:sz w:val="20"/>
                <w:szCs w:val="20"/>
              </w:rPr>
              <w:t xml:space="preserve">Full transaction audit trail in Transaction table with Pi blockchain txid, block height, and confirmation timestamp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none"/>
              <w:right w:val="none"/>
            </w:tcBorders>
            <w:shd w:fill="E8F0FA" w:val="clear"/>
            <w:tcMar>
              <w:top w:type="dxa" w:w="140"/>
              <w:left w:type="dxa" w:w="240"/>
              <w:bottom w:type="dxa" w:w="140"/>
              <w:right w:type="dxa" w:w="240"/>
            </w:tcMar>
          </w:tcPr>
          <w:p>
            <w:pPr>
              <w:spacing w:before="0" w:after="100"/>
            </w:pPr>
            <w:r>
              <w:rPr>
                <w:rFonts w:ascii="Arial" w:cs="Arial" w:eastAsia="Arial" w:hAnsi="Arial"/>
                <w:b/>
                <w:bCs/>
                <w:color w:val="1E4D8C"/>
                <w:sz w:val="22"/>
                <w:szCs w:val="22"/>
              </w:rPr>
              <w:t xml:space="preserve">Reputation Engine — Version 1</w:t>
            </w:r>
          </w:p>
          <w:p>
            <w:pPr>
              <w:pStyle w:val="ListParagraph"/>
              <w:numPr>
                <w:ilvl w:val="0"/>
                <w:numId w:val="2"/>
              </w:numPr>
              <w:spacing w:before="40" w:after="40"/>
            </w:pPr>
            <w:r>
              <w:rPr>
                <w:rFonts w:ascii="Arial" w:cs="Arial" w:eastAsia="Arial" w:hAnsi="Arial"/>
                <w:color w:val="3A3A3A"/>
                <w:sz w:val="20"/>
                <w:szCs w:val="20"/>
              </w:rPr>
              <w:t xml:space="preserve">Worker Reputation Score: 7-component weighted formula (Approval Rate 35%, Consistency 20%, Quality 20%, Volume 10%, Streak 5%, Dispute Record 5%, KYC Bonus 5%)</w:t>
            </w:r>
          </w:p>
          <w:p>
            <w:pPr>
              <w:pStyle w:val="ListParagraph"/>
              <w:numPr>
                <w:ilvl w:val="0"/>
                <w:numId w:val="2"/>
              </w:numPr>
              <w:spacing w:before="40" w:after="40"/>
            </w:pPr>
            <w:r>
              <w:rPr>
                <w:rFonts w:ascii="Arial" w:cs="Arial" w:eastAsia="Arial" w:hAnsi="Arial"/>
                <w:color w:val="3A3A3A"/>
                <w:sz w:val="20"/>
                <w:szCs w:val="20"/>
              </w:rPr>
              <w:t xml:space="preserve">Employer Reputation Score: 4-component formula (Payment Reliability 40%, Approval Fairness 30%, Response Time 20%, Dispute Record 10%)</w:t>
            </w:r>
          </w:p>
          <w:p>
            <w:pPr>
              <w:pStyle w:val="ListParagraph"/>
              <w:numPr>
                <w:ilvl w:val="0"/>
                <w:numId w:val="2"/>
              </w:numPr>
              <w:spacing w:before="40" w:after="40"/>
            </w:pPr>
            <w:r>
              <w:rPr>
                <w:rFonts w:ascii="Arial" w:cs="Arial" w:eastAsia="Arial" w:hAnsi="Arial"/>
                <w:color w:val="3A3A3A"/>
                <w:sz w:val="20"/>
                <w:szCs w:val="20"/>
              </w:rPr>
              <w:t xml:space="preserve">7-tier reputation level system from Ghost (0–99) to Sovereign (950–1000) with tier-gated access controls</w:t>
            </w:r>
          </w:p>
          <w:p>
            <w:pPr>
              <w:pStyle w:val="ListParagraph"/>
              <w:numPr>
                <w:ilvl w:val="0"/>
                <w:numId w:val="2"/>
              </w:numPr>
              <w:spacing w:before="40" w:after="40"/>
            </w:pPr>
            <w:r>
              <w:rPr>
                <w:rFonts w:ascii="Arial" w:cs="Arial" w:eastAsia="Arial" w:hAnsi="Arial"/>
                <w:color w:val="3A3A3A"/>
                <w:sz w:val="20"/>
                <w:szCs w:val="20"/>
              </w:rPr>
              <w:t xml:space="preserve">90-day decay function (70% weight on old scores) and 30-day recency bonus (130% weight) for dynamic, current-behavior-reflective scoring</w:t>
            </w:r>
          </w:p>
          <w:p>
            <w:pPr>
              <w:pStyle w:val="ListParagraph"/>
              <w:numPr>
                <w:ilvl w:val="0"/>
                <w:numId w:val="2"/>
              </w:numPr>
              <w:spacing w:before="40" w:after="40"/>
            </w:pPr>
            <w:r>
              <w:rPr>
                <w:rFonts w:ascii="Arial" w:cs="Arial" w:eastAsia="Arial" w:hAnsi="Arial"/>
                <w:color w:val="3A3A3A"/>
                <w:sz w:val="20"/>
                <w:szCs w:val="20"/>
              </w:rPr>
              <w:t xml:space="preserve">ReputationHistory audit log: every score change permanently recorded with reason, delta, and timestamp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none"/>
              <w:right w:val="none"/>
            </w:tcBorders>
            <w:shd w:fill="E8F0FA" w:val="clear"/>
            <w:tcMar>
              <w:top w:type="dxa" w:w="140"/>
              <w:left w:type="dxa" w:w="240"/>
              <w:bottom w:type="dxa" w:w="140"/>
              <w:right w:type="dxa" w:w="240"/>
            </w:tcMar>
          </w:tcPr>
          <w:p>
            <w:pPr>
              <w:spacing w:before="0" w:after="100"/>
            </w:pPr>
            <w:r>
              <w:rPr>
                <w:rFonts w:ascii="Arial" w:cs="Arial" w:eastAsia="Arial" w:hAnsi="Arial"/>
                <w:b/>
                <w:bCs/>
                <w:color w:val="1E4D8C"/>
                <w:sz w:val="22"/>
                <w:szCs w:val="22"/>
              </w:rPr>
              <w:t xml:space="preserve">Dispute Resolution — Tier 1 &amp; Tier 2</w:t>
            </w:r>
          </w:p>
          <w:p>
            <w:pPr>
              <w:pStyle w:val="ListParagraph"/>
              <w:numPr>
                <w:ilvl w:val="0"/>
                <w:numId w:val="2"/>
              </w:numPr>
              <w:spacing w:before="40" w:after="40"/>
            </w:pPr>
            <w:r>
              <w:rPr>
                <w:rFonts w:ascii="Arial" w:cs="Arial" w:eastAsia="Arial" w:hAnsi="Arial"/>
                <w:color w:val="3A3A3A"/>
                <w:sz w:val="20"/>
                <w:szCs w:val="20"/>
              </w:rPr>
              <w:t xml:space="preserve">Tier 1 automated check: proof-type mismatch auto-rejection with detailed worker explanation (zero admin overhead)</w:t>
            </w:r>
          </w:p>
          <w:p>
            <w:pPr>
              <w:pStyle w:val="ListParagraph"/>
              <w:numPr>
                <w:ilvl w:val="0"/>
                <w:numId w:val="2"/>
              </w:numPr>
              <w:spacing w:before="40" w:after="40"/>
            </w:pPr>
            <w:r>
              <w:rPr>
                <w:rFonts w:ascii="Arial" w:cs="Arial" w:eastAsia="Arial" w:hAnsi="Arial"/>
                <w:color w:val="3A3A3A"/>
                <w:sz w:val="20"/>
                <w:szCs w:val="20"/>
              </w:rPr>
              <w:t xml:space="preserve">Tier 2 peer arbitration: 3 randomly selected Sovereign-level workers review anonymously, majority vote determines outcome</w:t>
            </w:r>
          </w:p>
          <w:p>
            <w:pPr>
              <w:pStyle w:val="ListParagraph"/>
              <w:numPr>
                <w:ilvl w:val="0"/>
                <w:numId w:val="2"/>
              </w:numPr>
              <w:spacing w:before="40" w:after="40"/>
            </w:pPr>
            <w:r>
              <w:rPr>
                <w:rFonts w:ascii="Arial" w:cs="Arial" w:eastAsia="Arial" w:hAnsi="Arial"/>
                <w:color w:val="3A3A3A"/>
                <w:sz w:val="20"/>
                <w:szCs w:val="20"/>
              </w:rPr>
              <w:t xml:space="preserve">Anti-abuse mechanisms: 3-consecutive-loss cooldown, employer rejection rate monitoring, serial abuser flagging</w:t>
            </w:r>
          </w:p>
          <w:p>
            <w:pPr>
              <w:pStyle w:val="ListParagraph"/>
              <w:numPr>
                <w:ilvl w:val="0"/>
                <w:numId w:val="2"/>
              </w:numPr>
              <w:spacing w:before="40" w:after="40"/>
            </w:pPr>
            <w:r>
              <w:rPr>
                <w:rFonts w:ascii="Arial" w:cs="Arial" w:eastAsia="Arial" w:hAnsi="Arial"/>
                <w:color w:val="3A3A3A"/>
                <w:sz w:val="20"/>
                <w:szCs w:val="20"/>
              </w:rPr>
              <w:t xml:space="preserve">Public dispute transparency ledger: anonymous outcomes published to build ecosystem-wide trust</w:t>
            </w:r>
          </w:p>
          <w:p>
            <w:pPr>
              <w:pStyle w:val="ListParagraph"/>
              <w:numPr>
                <w:ilvl w:val="0"/>
                <w:numId w:val="2"/>
              </w:numPr>
              <w:spacing w:before="40" w:after="40"/>
            </w:pPr>
            <w:r>
              <w:rPr>
                <w:rFonts w:ascii="Arial" w:cs="Arial" w:eastAsia="Arial" w:hAnsi="Arial"/>
                <w:color w:val="3A3A3A"/>
                <w:sz w:val="20"/>
                <w:szCs w:val="20"/>
              </w:rPr>
              <w:t xml:space="preserve">Dispute state machine with full lifecycle tracking from raised through resolution to archived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none"/>
              <w:right w:val="none"/>
            </w:tcBorders>
            <w:shd w:fill="E8F0FA" w:val="clear"/>
            <w:tcMar>
              <w:top w:type="dxa" w:w="140"/>
              <w:left w:type="dxa" w:w="240"/>
              <w:bottom w:type="dxa" w:w="140"/>
              <w:right w:type="dxa" w:w="240"/>
            </w:tcMar>
          </w:tcPr>
          <w:p>
            <w:pPr>
              <w:spacing w:before="0" w:after="100"/>
            </w:pPr>
            <w:r>
              <w:rPr>
                <w:rFonts w:ascii="Arial" w:cs="Arial" w:eastAsia="Arial" w:hAnsi="Arial"/>
                <w:b/>
                <w:bCs/>
                <w:color w:val="1E4D8C"/>
                <w:sz w:val="22"/>
                <w:szCs w:val="22"/>
              </w:rPr>
              <w:t xml:space="preserve">Core Admin Dashboard &amp; Platform Operations</w:t>
            </w:r>
          </w:p>
          <w:p>
            <w:pPr>
              <w:pStyle w:val="ListParagraph"/>
              <w:numPr>
                <w:ilvl w:val="0"/>
                <w:numId w:val="2"/>
              </w:numPr>
              <w:spacing w:before="40" w:after="40"/>
            </w:pPr>
            <w:r>
              <w:rPr>
                <w:rFonts w:ascii="Arial" w:cs="Arial" w:eastAsia="Arial" w:hAnsi="Arial"/>
                <w:color w:val="3A3A3A"/>
                <w:sz w:val="20"/>
                <w:szCs w:val="20"/>
              </w:rPr>
              <w:t xml:space="preserve">Real-time platform overview: active tasks, escrow balance, active users, fraud alerts, pending disputes, fee revenue</w:t>
            </w:r>
          </w:p>
          <w:p>
            <w:pPr>
              <w:pStyle w:val="ListParagraph"/>
              <w:numPr>
                <w:ilvl w:val="0"/>
                <w:numId w:val="2"/>
              </w:numPr>
              <w:spacing w:before="40" w:after="40"/>
            </w:pPr>
            <w:r>
              <w:rPr>
                <w:rFonts w:ascii="Arial" w:cs="Arial" w:eastAsia="Arial" w:hAnsi="Arial"/>
                <w:color w:val="3A3A3A"/>
                <w:sz w:val="20"/>
                <w:szCs w:val="20"/>
              </w:rPr>
              <w:t xml:space="preserve">Immutable AdminAction audit log: append-only table enforced by database trigger — no UPDATE or DELETE ever permitted</w:t>
            </w:r>
          </w:p>
          <w:p>
            <w:pPr>
              <w:pStyle w:val="ListParagraph"/>
              <w:numPr>
                <w:ilvl w:val="0"/>
                <w:numId w:val="2"/>
              </w:numPr>
              <w:spacing w:before="40" w:after="40"/>
            </w:pPr>
            <w:r>
              <w:rPr>
                <w:rFonts w:ascii="Arial" w:cs="Arial" w:eastAsia="Arial" w:hAnsi="Arial"/>
                <w:color w:val="3A3A3A"/>
                <w:sz w:val="20"/>
                <w:szCs w:val="20"/>
              </w:rPr>
              <w:t xml:space="preserve">Basic fraud detection pipeline: velocity checks, duplicate proof detection (SHA-256 + perceptual hash for images), device fingerprint sharing alerts</w:t>
            </w:r>
          </w:p>
          <w:p>
            <w:pPr>
              <w:pStyle w:val="ListParagraph"/>
              <w:numPr>
                <w:ilvl w:val="0"/>
                <w:numId w:val="2"/>
              </w:numPr>
              <w:spacing w:before="40" w:after="40"/>
            </w:pPr>
            <w:r>
              <w:rPr>
                <w:rFonts w:ascii="Arial" w:cs="Arial" w:eastAsia="Arial" w:hAnsi="Arial"/>
                <w:color w:val="3A3A3A"/>
                <w:sz w:val="20"/>
                <w:szCs w:val="20"/>
              </w:rPr>
              <w:t xml:space="preserve">Notification system: in-app and push notifications for task status changes, payment receipts, dispute updates</w:t>
            </w:r>
          </w:p>
          <w:p>
            <w:pPr>
              <w:pStyle w:val="ListParagraph"/>
              <w:numPr>
                <w:ilvl w:val="0"/>
                <w:numId w:val="2"/>
              </w:numPr>
              <w:spacing w:before="40" w:after="40"/>
            </w:pPr>
            <w:r>
              <w:rPr>
                <w:rFonts w:ascii="Arial" w:cs="Arial" w:eastAsia="Arial" w:hAnsi="Arial"/>
                <w:color w:val="3A3A3A"/>
                <w:sz w:val="20"/>
                <w:szCs w:val="20"/>
              </w:rPr>
              <w:t xml:space="preserve">Streak tracking: daily activity monitoring with streak-broken alerts and bonus multiplier calculation</w:t>
            </w:r>
          </w:p>
        </w:tc>
      </w:tr>
    </w:tbl>
    <w:p>
      <w:pPr>
        <w:spacing w:before="160" w:after="0"/>
      </w:pPr>
      <w:r>
        <w:t xml:space="preserve"/>
      </w:r>
    </w:p>
    <w:p>
      <w:pPr>
        <w:pStyle w:val="Heading2"/>
        <w:spacing w:before="280" w:after="120"/>
      </w:pPr>
      <w:r>
        <w:rPr>
          <w:rFonts w:ascii="Arial" w:cs="Arial" w:eastAsia="Arial" w:hAnsi="Arial"/>
          <w:b/>
          <w:bCs/>
          <w:color w:val="1E4D8C"/>
        </w:rPr>
        <w:t xml:space="preserve">1.3  Technical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1E4D8C"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7360"/>
            <w:tcBorders>
              <w:top w:val="single" w:color="DDDDDD" w:sz="4"/>
              <w:left w:val="single" w:color="DDDDDD" w:sz="4"/>
              <w:bottom w:val="single" w:color="DDDDDD" w:sz="4"/>
              <w:right w:val="single" w:color="DDDDDD" w:sz="4"/>
            </w:tcBorders>
            <w:shd w:fill="1E4D8C" w:val="clear"/>
            <w:tcMar>
              <w:top w:type="dxa" w:w="80"/>
              <w:left w:type="dxa" w:w="160"/>
              <w:bottom w:type="dxa" w:w="80"/>
              <w:right w:type="dxa" w:w="120"/>
            </w:tcMar>
          </w:tcPr>
          <w:p>
            <w:pPr>
              <w:spacing w:before="0" w:after="0"/>
            </w:pPr>
            <w:r>
              <w:rPr>
                <w:rFonts w:ascii="Arial" w:cs="Arial" w:eastAsia="Arial" w:hAnsi="Arial"/>
                <w:color w:val="FFFFFF"/>
                <w:sz w:val="20"/>
                <w:szCs w:val="20"/>
              </w:rPr>
              <w:t xml:space="preserve">Technology &amp; Rationale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Frontend</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Next.js 14 (App Router) + Tailwind CSS. Pi Browser-compatible. Server-side rendering for SEO and initial load performance. Single codebase for web and PWA.</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Backend</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Next.js API Routes (Edge Functions on Vercel). Stateless, infinitely horizontally scalable. Zero cold-start latency on Edge runtime.</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Database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Supabase (PostgreSQL). Full schema with 22 tables, RLS policies, materialized views. ACID compliance for all financial transactions.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File Storage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Supabase Storage / S3-compatible CDN. SHA-256 file integrity. Perceptual hash storage for image duplicate detection.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Job Queue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Vercel Cron + Redis (Upstash). Auto-approval (5-min), task expiry (15-min), streak update (hourly), metrics aggregation (daily).</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Authentication</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Pi Network SDK. Pi UID as immutable identity. 1-hour token expiry. No long-lived client-side tokens.</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Pi Payments</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Pi Network Developer API. Every payment verified on-chain before state changes. Txid and block height recorded.</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Caching</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Redis (Upstash). Task feed cache, leaderboard cache, session cache. Cache invalidation on every state change event.</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Security</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Supabase RLS, rate limiting (tiered by endpoint), device fingerprinting, secrets in server-side env only, 90-day key rotation.</w:t>
            </w:r>
          </w:p>
        </w:tc>
      </w:tr>
      <w:tr>
        <w:tc>
          <w:tcPr>
            <w:tcW w:type="dxa" w:w="20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Monitoring</w:t>
            </w:r>
          </w:p>
        </w:tc>
        <w:tc>
          <w:tcPr>
            <w:tcW w:type="dxa" w:w="7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Vercel Analytics + Sentry. Real-time error tracking, performance monitoring, fraud signal alerting.</w:t>
            </w:r>
          </w:p>
        </w:tc>
      </w:tr>
    </w:tbl>
    <w:p>
      <w:pPr>
        <w:spacing w:before="160" w:after="0"/>
      </w:pPr>
      <w:r>
        <w:t xml:space="preserve"/>
      </w:r>
    </w:p>
    <w:p>
      <w:pPr>
        <w:pStyle w:val="Heading2"/>
        <w:spacing w:before="280" w:after="120"/>
      </w:pPr>
      <w:r>
        <w:rPr>
          <w:rFonts w:ascii="Arial" w:cs="Arial" w:eastAsia="Arial" w:hAnsi="Arial"/>
          <w:b/>
          <w:bCs/>
          <w:color w:val="1E4D8C"/>
        </w:rPr>
        <w:t xml:space="preserve">1.4  Database Schema — Part 1 Tables</w:t>
      </w:r>
    </w:p>
    <w:p>
      <w:pPr>
        <w:spacing w:before="80" w:after="0"/>
      </w:pPr>
      <w:r>
        <w:t xml:space="preserve"/>
      </w:r>
    </w:p>
    <w:p>
      <w:pPr>
        <w:spacing w:before="80" w:after="100"/>
      </w:pPr>
      <w:r>
        <w:rPr>
          <w:rFonts w:ascii="Arial" w:cs="Arial" w:eastAsia="Arial" w:hAnsi="Arial"/>
          <w:color w:val="3A3A3A"/>
          <w:sz w:val="22"/>
          <w:szCs w:val="22"/>
        </w:rPr>
        <w:t xml:space="preserve">The full 22-table schema is implemented in Phase 1, even where some tables are lightly populated initially. This is a deliberate architectural decision: schema migrations at 5 million users are dangerous; schema migrations at 5,000 users are trivial. All tables related to PULSE tokens, governance, and developer APIs are created with placeholder data to avoid future breaking migrations.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Table Group</w:t>
            </w:r>
          </w:p>
        </w:tc>
        <w:tc>
          <w:tcPr>
            <w:tcW w:type="dxa" w:w="3120"/>
            <w:tcBorders>
              <w:top w:val="single" w:color="DDDDDD" w:sz="4"/>
              <w:left w:val="single" w:color="DDDDDD" w:sz="4"/>
              <w:bottom w:val="single" w:color="DDDDDD" w:sz="4"/>
              <w:right w:val="single" w:color="DDDDDD"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Tables Included</w:t>
            </w:r>
          </w:p>
        </w:tc>
        <w:tc>
          <w:tcPr>
            <w:tcW w:type="dxa" w:w="3120"/>
            <w:tcBorders>
              <w:top w:val="single" w:color="DDDDDD" w:sz="4"/>
              <w:left w:val="single" w:color="DDDDDD" w:sz="4"/>
              <w:bottom w:val="single" w:color="DDDDDD" w:sz="4"/>
              <w:right w:val="single" w:color="DDDDDD"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Phase 1 Status</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Core Identity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User, ReferralRecord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Fully active from Day 1</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Marketplace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Task, Submission, TaskCategory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Fully active from Day 1</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Finance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EscrowLedger, Transaction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Fully active — immutable audit enforcement on</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Reputation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ReputationHistory, Streak</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Fully active with decay engine running hourly</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Disputes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Dispute, PeerArbitration, AdminAction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Tier 1 + Tier 2 active; Tier 3 admin panel minimal</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Notifications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Notification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Fully active — event-driven triggers wired</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Token Economy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PulseToken, PulseTransaction, TaskBoost, WorkerBoost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Tables created; logic dormant until Part 2</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Developer Platform</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APIKey, WebhookConfig</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Tables created; endpoints dormant until Part 2</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Governance &amp; Analytics</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GovernanceProposal, PlatformMetric, FraudSignal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Tables created; analytics aggregation running daily</w:t>
            </w:r>
          </w:p>
        </w:tc>
      </w:tr>
    </w:tbl>
    <w:p>
      <w:pPr>
        <w:spacing w:before="160" w:after="0"/>
      </w:pPr>
      <w:r>
        <w:t xml:space="preserve"/>
      </w:r>
    </w:p>
    <w:p>
      <w:pPr>
        <w:pStyle w:val="Heading2"/>
        <w:spacing w:before="280" w:after="120"/>
      </w:pPr>
      <w:r>
        <w:rPr>
          <w:rFonts w:ascii="Arial" w:cs="Arial" w:eastAsia="Arial" w:hAnsi="Arial"/>
          <w:b/>
          <w:bCs/>
          <w:color w:val="1E4D8C"/>
        </w:rPr>
        <w:t xml:space="preserve">1.5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none"/>
              <w:right w:val="none"/>
            </w:tcBorders>
            <w:shd w:fill="FFF0F0" w:val="clear"/>
            <w:tcMar>
              <w:top w:type="dxa" w:w="140"/>
              <w:left w:type="dxa" w:w="240"/>
              <w:bottom w:type="dxa" w:w="140"/>
              <w:right w:type="dxa" w:w="240"/>
            </w:tcMar>
          </w:tcPr>
          <w:p>
            <w:pPr>
              <w:spacing w:before="0" w:after="100"/>
            </w:pPr>
            <w:r>
              <w:rPr>
                <w:rFonts w:ascii="Arial" w:cs="Arial" w:eastAsia="Arial" w:hAnsi="Arial"/>
                <w:b/>
                <w:bCs/>
                <w:color w:val="C0392B"/>
                <w:sz w:val="22"/>
                <w:szCs w:val="22"/>
              </w:rPr>
              <w:t xml:space="preserve">External Dependencies (must be secured before launch)</w:t>
            </w:r>
          </w:p>
          <w:p>
            <w:pPr>
              <w:pStyle w:val="ListParagraph"/>
              <w:numPr>
                <w:ilvl w:val="0"/>
                <w:numId w:val="2"/>
              </w:numPr>
              <w:spacing w:before="40" w:after="40"/>
            </w:pPr>
            <w:r>
              <w:rPr>
                <w:rFonts w:ascii="Arial" w:cs="Arial" w:eastAsia="Arial" w:hAnsi="Arial"/>
                <w:color w:val="3A3A3A"/>
                <w:sz w:val="20"/>
                <w:szCs w:val="20"/>
              </w:rPr>
              <w:t xml:space="preserve">Pi Network Developer Account with approved app credentials and Pi SDK access — critical path item, no workaround</w:t>
            </w:r>
          </w:p>
          <w:p>
            <w:pPr>
              <w:pStyle w:val="ListParagraph"/>
              <w:numPr>
                <w:ilvl w:val="0"/>
                <w:numId w:val="2"/>
              </w:numPr>
              <w:spacing w:before="40" w:after="40"/>
            </w:pPr>
            <w:r>
              <w:rPr>
                <w:rFonts w:ascii="Arial" w:cs="Arial" w:eastAsia="Arial" w:hAnsi="Arial"/>
                <w:color w:val="3A3A3A"/>
                <w:sz w:val="20"/>
                <w:szCs w:val="20"/>
              </w:rPr>
              <w:t xml:space="preserve">Pi Network payment API access for escrow funding and developer-to-user payment execution</w:t>
            </w:r>
          </w:p>
          <w:p>
            <w:pPr>
              <w:pStyle w:val="ListParagraph"/>
              <w:numPr>
                <w:ilvl w:val="0"/>
                <w:numId w:val="2"/>
              </w:numPr>
              <w:spacing w:before="40" w:after="40"/>
            </w:pPr>
            <w:r>
              <w:rPr>
                <w:rFonts w:ascii="Arial" w:cs="Arial" w:eastAsia="Arial" w:hAnsi="Arial"/>
                <w:color w:val="3A3A3A"/>
                <w:sz w:val="20"/>
                <w:szCs w:val="20"/>
              </w:rPr>
              <w:t xml:space="preserve">Pi Network KYC data access to determine user verification level at authentication time</w:t>
            </w:r>
          </w:p>
          <w:p>
            <w:pPr>
              <w:pStyle w:val="ListParagraph"/>
              <w:numPr>
                <w:ilvl w:val="0"/>
                <w:numId w:val="2"/>
              </w:numPr>
              <w:spacing w:before="40" w:after="40"/>
            </w:pPr>
            <w:r>
              <w:rPr>
                <w:rFonts w:ascii="Arial" w:cs="Arial" w:eastAsia="Arial" w:hAnsi="Arial"/>
                <w:color w:val="3A3A3A"/>
                <w:sz w:val="20"/>
                <w:szCs w:val="20"/>
              </w:rPr>
              <w:t xml:space="preserve">S3-compatible object storage provisioned with CDN distribution for submission file uploads</w:t>
            </w:r>
          </w:p>
          <w:p>
            <w:pPr>
              <w:pStyle w:val="ListParagraph"/>
              <w:numPr>
                <w:ilvl w:val="0"/>
                <w:numId w:val="2"/>
              </w:numPr>
              <w:spacing w:before="40" w:after="40"/>
            </w:pPr>
            <w:r>
              <w:rPr>
                <w:rFonts w:ascii="Arial" w:cs="Arial" w:eastAsia="Arial" w:hAnsi="Arial"/>
                <w:color w:val="3A3A3A"/>
                <w:sz w:val="20"/>
                <w:szCs w:val="20"/>
              </w:rPr>
              <w:t xml:space="preserve">Redis instance provisioned (Upstash recommended for serverless) for job queue and feed caching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none"/>
              <w:right w:val="none"/>
            </w:tcBorders>
            <w:shd w:fill="E8F0FA" w:val="clear"/>
            <w:tcMar>
              <w:top w:type="dxa" w:w="140"/>
              <w:left w:type="dxa" w:w="240"/>
              <w:bottom w:type="dxa" w:w="140"/>
              <w:right w:type="dxa" w:w="240"/>
            </w:tcMar>
          </w:tcPr>
          <w:p>
            <w:pPr>
              <w:spacing w:before="0" w:after="100"/>
            </w:pPr>
            <w:r>
              <w:rPr>
                <w:rFonts w:ascii="Arial" w:cs="Arial" w:eastAsia="Arial" w:hAnsi="Arial"/>
                <w:b/>
                <w:bCs/>
                <w:color w:val="1E4D8C"/>
                <w:sz w:val="22"/>
                <w:szCs w:val="22"/>
              </w:rPr>
              <w:t xml:space="preserve">Internal Phase Dependencies (nothing in Part 2 can start without these)</w:t>
            </w:r>
          </w:p>
          <w:p>
            <w:pPr>
              <w:pStyle w:val="ListParagraph"/>
              <w:numPr>
                <w:ilvl w:val="0"/>
                <w:numId w:val="2"/>
              </w:numPr>
              <w:spacing w:before="40" w:after="40"/>
            </w:pPr>
            <w:r>
              <w:rPr>
                <w:rFonts w:ascii="Arial" w:cs="Arial" w:eastAsia="Arial" w:hAnsi="Arial"/>
                <w:color w:val="3A3A3A"/>
                <w:sz w:val="20"/>
                <w:szCs w:val="20"/>
              </w:rPr>
              <w:t xml:space="preserve">User authentication and Pi UID storage system must be live and tested before any task or payment logic is built</w:t>
            </w:r>
          </w:p>
          <w:p>
            <w:pPr>
              <w:pStyle w:val="ListParagraph"/>
              <w:numPr>
                <w:ilvl w:val="0"/>
                <w:numId w:val="2"/>
              </w:numPr>
              <w:spacing w:before="40" w:after="40"/>
            </w:pPr>
            <w:r>
              <w:rPr>
                <w:rFonts w:ascii="Arial" w:cs="Arial" w:eastAsia="Arial" w:hAnsi="Arial"/>
                <w:color w:val="3A3A3A"/>
                <w:sz w:val="20"/>
                <w:szCs w:val="20"/>
              </w:rPr>
              <w:t xml:space="preserve">EscrowLedger invariant enforcement (database trigger) must be verified by financial audit before any real Pi is processed</w:t>
            </w:r>
          </w:p>
          <w:p>
            <w:pPr>
              <w:pStyle w:val="ListParagraph"/>
              <w:numPr>
                <w:ilvl w:val="0"/>
                <w:numId w:val="2"/>
              </w:numPr>
              <w:spacing w:before="40" w:after="40"/>
            </w:pPr>
            <w:r>
              <w:rPr>
                <w:rFonts w:ascii="Arial" w:cs="Arial" w:eastAsia="Arial" w:hAnsi="Arial"/>
                <w:color w:val="3A3A3A"/>
                <w:sz w:val="20"/>
                <w:szCs w:val="20"/>
              </w:rPr>
              <w:t xml:space="preserve">Task state machine transitions must be tested exhaustively under concurrent load before slots open to the public</w:t>
            </w:r>
          </w:p>
          <w:p>
            <w:pPr>
              <w:pStyle w:val="ListParagraph"/>
              <w:numPr>
                <w:ilvl w:val="0"/>
                <w:numId w:val="2"/>
              </w:numPr>
              <w:spacing w:before="40" w:after="40"/>
            </w:pPr>
            <w:r>
              <w:rPr>
                <w:rFonts w:ascii="Arial" w:cs="Arial" w:eastAsia="Arial" w:hAnsi="Arial"/>
                <w:color w:val="3A3A3A"/>
                <w:sz w:val="20"/>
                <w:szCs w:val="20"/>
              </w:rPr>
              <w:t xml:space="preserve">Reputation scoring engine must be running for at least 500 test transactions before Part 2 ML matching begins training</w:t>
            </w:r>
          </w:p>
        </w:tc>
      </w:tr>
    </w:tbl>
    <w:p>
      <w:pPr>
        <w:spacing w:before="160" w:after="0"/>
      </w:pPr>
      <w:r>
        <w:t xml:space="preserve"/>
      </w:r>
    </w:p>
    <w:p>
      <w:pPr>
        <w:pStyle w:val="Heading2"/>
        <w:spacing w:before="280" w:after="120"/>
      </w:pPr>
      <w:r>
        <w:rPr>
          <w:rFonts w:ascii="Arial" w:cs="Arial" w:eastAsia="Arial" w:hAnsi="Arial"/>
          <w:b/>
          <w:bCs/>
          <w:color w:val="1E4D8C"/>
        </w:rPr>
        <w:t xml:space="preserve">1.6  Risks &amp; Mitigation Strategies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Risk</w:t>
            </w:r>
          </w:p>
        </w:tc>
        <w:tc>
          <w:tcPr>
            <w:tcW w:type="dxa" w:w="160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Probability</w:t>
            </w:r>
          </w:p>
        </w:tc>
        <w:tc>
          <w:tcPr>
            <w:tcW w:type="dxa" w:w="160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Impact</w:t>
            </w:r>
          </w:p>
        </w:tc>
        <w:tc>
          <w:tcPr>
            <w:tcW w:type="dxa" w:w="396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Mitigation Strategy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Pi Network API changes or restrictions</w:t>
            </w:r>
          </w:p>
        </w:tc>
        <w:tc>
          <w:tcPr>
            <w:tcW w:type="dxa" w:w="1600"/>
            <w:tcBorders>
              <w:top w:val="single" w:color="DDDDDD" w:sz="4"/>
              <w:left w:val="single" w:color="DDDDDD" w:sz="4"/>
              <w:bottom w:val="single" w:color="DDDDDD" w:sz="4"/>
              <w:right w:val="single" w:color="DDDDDD" w:sz="4"/>
            </w:tcBorders>
            <w:shd w:fill="FFE8E8" w:val="clear"/>
            <w:tcMar>
              <w:top w:type="dxa" w:w="80"/>
              <w:left w:type="dxa" w:w="140"/>
              <w:bottom w:type="dxa" w:w="80"/>
              <w:right w:type="dxa" w:w="100"/>
            </w:tcMar>
          </w:tcPr>
          <w:p>
            <w:pPr>
              <w:spacing w:before="0" w:after="0"/>
            </w:pPr>
            <w:r>
              <w:rPr>
                <w:rFonts w:ascii="Arial" w:cs="Arial" w:eastAsia="Arial" w:hAnsi="Arial"/>
                <w:b/>
                <w:bCs/>
                <w:color w:val="C0392B"/>
                <w:sz w:val="18"/>
                <w:szCs w:val="18"/>
              </w:rPr>
              <w:t xml:space="preserve">High</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Abstract all Pi API calls behind a PiPaymentService interface. Changes require updates in one file only. Maintain mock Pi API for staging environment.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Race conditions in concurrent slot reservation</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Database-level row locking (FOR UPDATE) enforced in all slot reservation transactions. Load tested at 10x expected launch concurrency before go-live.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Escrow ledger invariant violation</w:t>
            </w:r>
          </w:p>
        </w:tc>
        <w:tc>
          <w:tcPr>
            <w:tcW w:type="dxa" w:w="1600"/>
            <w:tcBorders>
              <w:top w:val="single" w:color="DDDDDD" w:sz="4"/>
              <w:left w:val="single" w:color="DDDDDD" w:sz="4"/>
              <w:bottom w:val="single" w:color="DDDDDD" w:sz="4"/>
              <w:right w:val="single" w:color="DDDDDD" w:sz="4"/>
            </w:tcBorders>
            <w:shd w:fill="E8F5E9" w:val="clear"/>
            <w:tcMar>
              <w:top w:type="dxa" w:w="80"/>
              <w:left w:type="dxa" w:w="140"/>
              <w:bottom w:type="dxa" w:w="80"/>
              <w:right w:type="dxa" w:w="100"/>
            </w:tcMar>
          </w:tcPr>
          <w:p>
            <w:pPr>
              <w:spacing w:before="0" w:after="0"/>
            </w:pPr>
            <w:r>
              <w:rPr>
                <w:rFonts w:ascii="Arial" w:cs="Arial" w:eastAsia="Arial" w:hAnsi="Arial"/>
                <w:b/>
                <w:bCs/>
                <w:color w:val="1E7E34"/>
                <w:sz w:val="18"/>
                <w:szCs w:val="18"/>
              </w:rPr>
              <w:t xml:space="preserve">Low</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Critical</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DB trigger fires on every EscrowLedger mutation. Any violation immediately alerts admin and pauses all payment operations until investigated.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Fraudulent submissions flooding the platform early</w:t>
            </w:r>
          </w:p>
        </w:tc>
        <w:tc>
          <w:tcPr>
            <w:tcW w:type="dxa" w:w="1600"/>
            <w:tcBorders>
              <w:top w:val="single" w:color="DDDDDD" w:sz="4"/>
              <w:left w:val="single" w:color="DDDDDD" w:sz="4"/>
              <w:bottom w:val="single" w:color="DDDDDD" w:sz="4"/>
              <w:right w:val="single" w:color="DDDDDD" w:sz="4"/>
            </w:tcBorders>
            <w:shd w:fill="FFE8E8" w:val="clear"/>
            <w:tcMar>
              <w:top w:type="dxa" w:w="80"/>
              <w:left w:type="dxa" w:w="140"/>
              <w:bottom w:type="dxa" w:w="80"/>
              <w:right w:type="dxa" w:w="100"/>
            </w:tcMar>
          </w:tcPr>
          <w:p>
            <w:pPr>
              <w:spacing w:before="0" w:after="0"/>
            </w:pPr>
            <w:r>
              <w:rPr>
                <w:rFonts w:ascii="Arial" w:cs="Arial" w:eastAsia="Arial" w:hAnsi="Arial"/>
                <w:b/>
                <w:bCs/>
                <w:color w:val="C0392B"/>
                <w:sz w:val="18"/>
                <w:szCs w:val="18"/>
              </w:rPr>
              <w:t xml:space="preserve">High</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Medium</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Phase 1 fraud pipeline (velocity, duplicate, device) deployed from Day 1. Conservative rate limits enforce gradual growth.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Low initial liquidity (not enough tasks or workers)</w:t>
            </w:r>
          </w:p>
        </w:tc>
        <w:tc>
          <w:tcPr>
            <w:tcW w:type="dxa" w:w="1600"/>
            <w:tcBorders>
              <w:top w:val="single" w:color="DDDDDD" w:sz="4"/>
              <w:left w:val="single" w:color="DDDDDD" w:sz="4"/>
              <w:bottom w:val="single" w:color="DDDDDD" w:sz="4"/>
              <w:right w:val="single" w:color="DDDDDD" w:sz="4"/>
            </w:tcBorders>
            <w:shd w:fill="FFE8E8" w:val="clear"/>
            <w:tcMar>
              <w:top w:type="dxa" w:w="80"/>
              <w:left w:type="dxa" w:w="140"/>
              <w:bottom w:type="dxa" w:w="80"/>
              <w:right w:type="dxa" w:w="100"/>
            </w:tcMar>
          </w:tcPr>
          <w:p>
            <w:pPr>
              <w:spacing w:before="0" w:after="0"/>
            </w:pPr>
            <w:r>
              <w:rPr>
                <w:rFonts w:ascii="Arial" w:cs="Arial" w:eastAsia="Arial" w:hAnsi="Arial"/>
                <w:b/>
                <w:bCs/>
                <w:color w:val="C0392B"/>
                <w:sz w:val="18"/>
                <w:szCs w:val="18"/>
              </w:rPr>
              <w:t xml:space="preserve">High</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Seed employer program: 10 enterprise accounts guaranteed to post 50+ tasks/week at launch. Pre-register 5,000 workers in closed beta.</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Pi Network app store rejection or sandbox limitations</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Full Pi Browser compatibility testing in sandbox. Redundant web access path for all critical flows.</w:t>
            </w:r>
          </w:p>
        </w:tc>
      </w:tr>
    </w:tbl>
    <w:p>
      <w:pPr>
        <w:spacing w:before="160" w:after="0"/>
      </w:pPr>
      <w:r>
        <w:t xml:space="preserve"/>
      </w:r>
    </w:p>
    <w:p>
      <w:pPr>
        <w:pStyle w:val="Heading2"/>
        <w:spacing w:before="280" w:after="120"/>
      </w:pPr>
      <w:r>
        <w:rPr>
          <w:rFonts w:ascii="Arial" w:cs="Arial" w:eastAsia="Arial" w:hAnsi="Arial"/>
          <w:b/>
          <w:bCs/>
          <w:color w:val="1E4D8C"/>
        </w:rPr>
        <w:t xml:space="preserve">1.7  Development Roadmap — Part 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c>
          <w:tcPr>
            <w:tcW w:type="dxa" w:w="120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Milestone</w:t>
            </w:r>
          </w:p>
        </w:tc>
        <w:tc>
          <w:tcPr>
            <w:tcW w:type="dxa" w:w="220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Timeline</w:t>
            </w:r>
          </w:p>
        </w:tc>
        <w:tc>
          <w:tcPr>
            <w:tcW w:type="dxa" w:w="356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Key Deliverables</w:t>
            </w:r>
          </w:p>
        </w:tc>
        <w:tc>
          <w:tcPr>
            <w:tcW w:type="dxa" w:w="2400"/>
            <w:tcBorders>
              <w:top w:val="single" w:color="1E4D8C" w:sz="4"/>
              <w:left w:val="single" w:color="1E4D8C" w:sz="4"/>
              <w:bottom w:val="single" w:color="1E4D8C" w:sz="4"/>
              <w:right w:val="single" w:color="1E4D8C" w:sz="4"/>
            </w:tcBorders>
            <w:shd w:fill="1E4D8C"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Success Criteria</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1–2</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Database schema finalized and deployed. All 22 tables created. RLS policies active. EscrowLedger invariant trigger running.</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Zero invariant violations in 10,000 synthetic transactions.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M1.2</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3–4</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Pi SDK authentication live. User creation, KYC level sync, device fingerprinting operational. Admin dashboard basic.</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500 test users authenticated via Pi Browser in staging.</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5–7</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Task creation and escrow payment flow live end-to-end. All 9 task categories supported. Blockchain verification working.</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10 employer accounts post and fund 100 tasks in staging with real Pi SDK.</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M1.4</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8–10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Worker submission flow live for all proof types. File upload to CDN with integrity hashing. Employer review and approval working.</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200 worker accounts complete and get approved on 300 submissions in staging.</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11–12</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Reputation scoring engine live. 7-tier system enforcing access controls. Decay and recency functions running on cron.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Reputation scores match manually calculated expected values for 50 test accounts.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13–14</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Tier 1 and Tier 2 dispute resolution live. Peer arbitration pool seeded. Anti-abuse rules enforced.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20 staged disputes processed end-to-end with correct Pi release outcomes.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15–16</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Fraud detection pipeline live (velocity, duplicate, device, image hash). Notification system fully wired. Auto-approval cron running.</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Fraud pipeline correctly flags 95%+ of seeded synthetic fraud scenarios.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1E4D8C"/>
                <w:sz w:val="18"/>
                <w:szCs w:val="18"/>
              </w:rPr>
              <w:t xml:space="preserve">M1.8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Week 16</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Closed beta launch: 500 workers, 10 employers. Full monitoring live. Revenue tracking operational.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5,000 Pi circulated in beta with zero escrow invariant violations and zero unrecovered Pi.</w:t>
            </w:r>
          </w:p>
        </w:tc>
      </w:tr>
    </w:tbl>
    <w:p>
      <w:pPr>
        <w:spacing w:before="160" w:after="0"/>
      </w:pPr>
      <w:r>
        <w:t xml:space="preserve"/>
      </w:r>
    </w:p>
    <w:p>
      <w:pPr>
        <w:pStyle w:val="Heading2"/>
        <w:spacing w:before="280" w:after="120"/>
      </w:pPr>
      <w:r>
        <w:rPr>
          <w:rFonts w:ascii="Arial" w:cs="Arial" w:eastAsia="Arial" w:hAnsi="Arial"/>
          <w:b/>
          <w:bCs/>
          <w:color w:val="1E4D8C"/>
        </w:rPr>
        <w:t xml:space="preserve">1.8  Part 1 Exit Criteria</w:t>
      </w:r>
    </w:p>
    <w:p>
      <w:pPr>
        <w:spacing w:before="80" w:after="100"/>
      </w:pPr>
      <w:r>
        <w:rPr>
          <w:rFonts w:ascii="Arial" w:cs="Arial" w:eastAsia="Arial" w:hAnsi="Arial"/>
          <w:color w:val="3A3A3A"/>
          <w:sz w:val="22"/>
          <w:szCs w:val="22"/>
        </w:rPr>
        <w:t xml:space="preserve">Part 1 is not complete until every item below is confirmed. These are non-negotiable gates before Part 2 resources are allocated.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E34" w:sz="8"/>
              <w:left w:val="single" w:color="1E7E34" w:sz="8"/>
              <w:bottom w:val="none"/>
              <w:right w:val="none"/>
            </w:tcBorders>
            <w:shd w:fill="E8F5E9" w:val="clear"/>
            <w:tcMar>
              <w:top w:type="dxa" w:w="140"/>
              <w:left w:type="dxa" w:w="240"/>
              <w:bottom w:type="dxa" w:w="140"/>
              <w:right w:type="dxa" w:w="240"/>
            </w:tcMar>
          </w:tcPr>
          <w:p>
            <w:pPr>
              <w:spacing w:before="0" w:after="100"/>
            </w:pPr>
            <w:r>
              <w:rPr>
                <w:rFonts w:ascii="Arial" w:cs="Arial" w:eastAsia="Arial" w:hAnsi="Arial"/>
                <w:b/>
                <w:bCs/>
                <w:color w:val="1E7E34"/>
                <w:sz w:val="22"/>
                <w:szCs w:val="22"/>
              </w:rPr>
              <w:t xml:space="preserve">Part 1 Exit Gates — All Must Pass</w:t>
            </w:r>
          </w:p>
          <w:p>
            <w:pPr>
              <w:pStyle w:val="ListParagraph"/>
              <w:numPr>
                <w:ilvl w:val="0"/>
                <w:numId w:val="2"/>
              </w:numPr>
              <w:spacing w:before="40" w:after="40"/>
            </w:pPr>
            <w:r>
              <w:rPr>
                <w:rFonts w:ascii="Arial" w:cs="Arial" w:eastAsia="Arial" w:hAnsi="Arial"/>
                <w:color w:val="3A3A3A"/>
                <w:sz w:val="20"/>
                <w:szCs w:val="20"/>
              </w:rPr>
              <w:t xml:space="preserve">FINANCIAL INTEGRITY: Zero escrow invariant violations across 10,000+ live transactions. Every Pi accounted for.</w:t>
            </w:r>
          </w:p>
          <w:p>
            <w:pPr>
              <w:pStyle w:val="ListParagraph"/>
              <w:numPr>
                <w:ilvl w:val="0"/>
                <w:numId w:val="2"/>
              </w:numPr>
              <w:spacing w:before="40" w:after="40"/>
            </w:pPr>
            <w:r>
              <w:rPr>
                <w:rFonts w:ascii="Arial" w:cs="Arial" w:eastAsia="Arial" w:hAnsi="Arial"/>
                <w:color w:val="3A3A3A"/>
                <w:sz w:val="20"/>
                <w:szCs w:val="20"/>
              </w:rPr>
              <w:t xml:space="preserve">CONCURRENCY: Slot reservation system passes load test at 500 concurrent submissions to the same task without race conditions.</w:t>
            </w:r>
          </w:p>
          <w:p>
            <w:pPr>
              <w:pStyle w:val="ListParagraph"/>
              <w:numPr>
                <w:ilvl w:val="0"/>
                <w:numId w:val="2"/>
              </w:numPr>
              <w:spacing w:before="40" w:after="40"/>
            </w:pPr>
            <w:r>
              <w:rPr>
                <w:rFonts w:ascii="Arial" w:cs="Arial" w:eastAsia="Arial" w:hAnsi="Arial"/>
                <w:color w:val="3A3A3A"/>
                <w:sz w:val="20"/>
                <w:szCs w:val="20"/>
              </w:rPr>
              <w:t xml:space="preserve">REPUTATION: Scoring engine produces consistent, decay-adjusted scores verified against manual calculations for 200 accounts.</w:t>
            </w:r>
          </w:p>
          <w:p>
            <w:pPr>
              <w:pStyle w:val="ListParagraph"/>
              <w:numPr>
                <w:ilvl w:val="0"/>
                <w:numId w:val="2"/>
              </w:numPr>
              <w:spacing w:before="40" w:after="40"/>
            </w:pPr>
            <w:r>
              <w:rPr>
                <w:rFonts w:ascii="Arial" w:cs="Arial" w:eastAsia="Arial" w:hAnsi="Arial"/>
                <w:color w:val="3A3A3A"/>
                <w:sz w:val="20"/>
                <w:szCs w:val="20"/>
              </w:rPr>
              <w:t xml:space="preserve">DISPUTE: All three Tier 1 proof-type scenarios auto-resolve correctly. 10 Tier 2 arbitrations complete with correct Pi release.</w:t>
            </w:r>
          </w:p>
          <w:p>
            <w:pPr>
              <w:pStyle w:val="ListParagraph"/>
              <w:numPr>
                <w:ilvl w:val="0"/>
                <w:numId w:val="2"/>
              </w:numPr>
              <w:spacing w:before="40" w:after="40"/>
            </w:pPr>
            <w:r>
              <w:rPr>
                <w:rFonts w:ascii="Arial" w:cs="Arial" w:eastAsia="Arial" w:hAnsi="Arial"/>
                <w:color w:val="3A3A3A"/>
                <w:sz w:val="20"/>
                <w:szCs w:val="20"/>
              </w:rPr>
              <w:t xml:space="preserve">FRAUD: Detection pipeline achieves 95%+ precision on synthetic fraud dataset with less than 2% false positive rate.</w:t>
            </w:r>
          </w:p>
          <w:p>
            <w:pPr>
              <w:pStyle w:val="ListParagraph"/>
              <w:numPr>
                <w:ilvl w:val="0"/>
                <w:numId w:val="2"/>
              </w:numPr>
              <w:spacing w:before="40" w:after="40"/>
            </w:pPr>
            <w:r>
              <w:rPr>
                <w:rFonts w:ascii="Arial" w:cs="Arial" w:eastAsia="Arial" w:hAnsi="Arial"/>
                <w:color w:val="3A3A3A"/>
                <w:sz w:val="20"/>
                <w:szCs w:val="20"/>
              </w:rPr>
              <w:t xml:space="preserve">PERFORMANCE: Task feed loads in under 200ms for 95th percentile of requests. Pi payment confirmations processed in under 30 seconds.</w:t>
            </w:r>
          </w:p>
          <w:p>
            <w:pPr>
              <w:pStyle w:val="ListParagraph"/>
              <w:numPr>
                <w:ilvl w:val="0"/>
                <w:numId w:val="2"/>
              </w:numPr>
              <w:spacing w:before="40" w:after="40"/>
            </w:pPr>
            <w:r>
              <w:rPr>
                <w:rFonts w:ascii="Arial" w:cs="Arial" w:eastAsia="Arial" w:hAnsi="Arial"/>
                <w:color w:val="3A3A3A"/>
                <w:sz w:val="20"/>
                <w:szCs w:val="20"/>
              </w:rPr>
              <w:t xml:space="preserve">SCALE READINESS: Supabase connection pooling configured for 500 concurrent DB connections without timeouts.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E7C86" w:val="clear"/>
            <w:tcMar>
              <w:top w:type="dxa" w:w="200"/>
              <w:left w:type="dxa" w:w="200"/>
              <w:bottom w:type="dxa" w:w="200"/>
              <w:right w:type="dxa" w:w="200"/>
            </w:tcMar>
            <w:vAlign w:val="center"/>
          </w:tcPr>
          <w:p>
            <w:pPr>
              <w:spacing w:before="0" w:after="0"/>
              <w:jc w:val="center"/>
            </w:pPr>
            <w:r>
              <w:rPr>
                <w:rFonts w:ascii="Arial" w:cs="Arial" w:eastAsia="Arial" w:hAnsi="Arial"/>
                <w:b/>
                <w:bCs/>
                <w:color w:val="FFFFFF"/>
                <w:sz w:val="72"/>
                <w:szCs w:val="72"/>
              </w:rPr>
              <w:t xml:space="preserve">PART 2</w:t>
            </w:r>
          </w:p>
        </w:tc>
        <w:tc>
          <w:tcPr>
            <w:tcW w:type="dxa" w:w="7920"/>
            <w:tcBorders>
              <w:top w:val="none" w:color="FFFFFF" w:sz="0"/>
              <w:left w:val="none" w:color="FFFFFF" w:sz="0"/>
              <w:bottom w:val="none" w:color="FFFFFF" w:sz="0"/>
              <w:right w:val="none" w:color="FFFFFF" w:sz="0"/>
            </w:tcBorders>
            <w:shd w:fill="E6F4F5" w:val="clear"/>
            <w:tcMar>
              <w:top w:type="dxa" w:w="160"/>
              <w:left w:type="dxa" w:w="300"/>
              <w:bottom w:type="dxa" w:w="160"/>
              <w:right w:type="dxa" w:w="200"/>
            </w:tcMar>
            <w:vAlign w:val="center"/>
          </w:tcPr>
          <w:p>
            <w:pPr>
              <w:spacing w:before="0" w:after="60"/>
            </w:pPr>
            <w:r>
              <w:rPr>
                <w:rFonts w:ascii="Arial" w:cs="Arial" w:eastAsia="Arial" w:hAnsi="Arial"/>
                <w:b/>
                <w:bCs/>
                <w:color w:val="0E7C86"/>
                <w:sz w:val="40"/>
                <w:szCs w:val="40"/>
              </w:rPr>
              <w:t xml:space="preserve">Growth Engine &amp; Intelligence</w:t>
            </w:r>
          </w:p>
          <w:p>
            <w:pPr>
              <w:spacing w:before="0" w:after="0"/>
            </w:pPr>
            <w:r>
              <w:rPr>
                <w:rFonts w:ascii="Arial" w:cs="Arial" w:eastAsia="Arial" w:hAnsi="Arial"/>
                <w:i/>
                <w:iCs/>
                <w:color w:val="3A3A3A"/>
                <w:sz w:val="22"/>
                <w:szCs w:val="22"/>
              </w:rPr>
              <w:t xml:space="preserve">Activating the Flywheel — Months 5 through 10</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0E7C86" w:sz="4"/>
              <w:left w:val="single" w:color="0E7C86" w:sz="4"/>
              <w:bottom w:val="single" w:color="0E7C86" w:sz="4"/>
              <w:right w:val="single" w:color="0E7C86" w:sz="4"/>
            </w:tcBorders>
            <w:shd w:fill="0E7C86" w:val="clear"/>
            <w:tcMar>
              <w:top w:type="dxa" w:w="120"/>
              <w:left w:type="dxa" w:w="180"/>
              <w:bottom w:type="dxa" w:w="120"/>
              <w:right w:type="dxa" w:w="120"/>
            </w:tcMar>
          </w:tcPr>
          <w:p>
            <w:pPr>
              <w:spacing w:before="0" w:after="40"/>
            </w:pPr>
            <w:r>
              <w:rPr>
                <w:rFonts w:ascii="Arial" w:cs="Arial" w:eastAsia="Arial" w:hAnsi="Arial"/>
                <w:b/>
                <w:bCs/>
                <w:color w:val="FFFFFF"/>
                <w:sz w:val="28"/>
                <w:szCs w:val="28"/>
              </w:rPr>
              <w:t xml:space="preserve">PART 2</w:t>
            </w:r>
          </w:p>
          <w:p>
            <w:pPr>
              <w:spacing w:before="0" w:after="0"/>
            </w:pPr>
            <w:r>
              <w:rPr>
                <w:rFonts w:ascii="Arial" w:cs="Arial" w:eastAsia="Arial" w:hAnsi="Arial"/>
                <w:color w:val="FFFFFF"/>
                <w:sz w:val="19"/>
                <w:szCs w:val="19"/>
              </w:rPr>
              <w:t xml:space="preserve">Growth Engine &amp; Intelligence</w:t>
            </w:r>
          </w:p>
        </w:tc>
        <w:tc>
          <w:tcPr>
            <w:tcW w:type="dxa" w:w="2400"/>
            <w:tcBorders>
              <w:top w:val="single" w:color="0E7C86" w:sz="4"/>
              <w:left w:val="single" w:color="0E7C86" w:sz="4"/>
              <w:bottom w:val="single" w:color="0E7C86" w:sz="4"/>
              <w:right w:val="single" w:color="0E7C86" w:sz="4"/>
            </w:tcBorders>
            <w:shd w:fill="E6F4F5" w:val="clear"/>
            <w:tcMar>
              <w:top w:type="dxa" w:w="120"/>
              <w:left w:type="dxa" w:w="180"/>
              <w:bottom w:type="dxa" w:w="120"/>
              <w:right w:type="dxa" w:w="120"/>
            </w:tcMar>
          </w:tcPr>
          <w:p>
            <w:pPr>
              <w:spacing w:before="0" w:after="40"/>
            </w:pPr>
            <w:r>
              <w:rPr>
                <w:rFonts w:ascii="Arial" w:cs="Arial" w:eastAsia="Arial" w:hAnsi="Arial"/>
                <w:b/>
                <w:bCs/>
                <w:color w:val="0E7C86"/>
                <w:sz w:val="18"/>
                <w:szCs w:val="18"/>
              </w:rPr>
              <w:t xml:space="preserve">Duration</w:t>
            </w:r>
          </w:p>
          <w:p>
            <w:pPr>
              <w:spacing w:before="0" w:after="0"/>
            </w:pPr>
            <w:r>
              <w:rPr>
                <w:rFonts w:ascii="Arial" w:cs="Arial" w:eastAsia="Arial" w:hAnsi="Arial"/>
                <w:color w:val="3A3A3A"/>
                <w:sz w:val="22"/>
                <w:szCs w:val="22"/>
              </w:rPr>
              <w:t xml:space="preserve">Months 5–10</w:t>
            </w:r>
          </w:p>
        </w:tc>
        <w:tc>
          <w:tcPr>
            <w:tcW w:type="dxa" w:w="2400"/>
            <w:tcBorders>
              <w:top w:val="single" w:color="0E7C86" w:sz="4"/>
              <w:left w:val="single" w:color="0E7C86" w:sz="4"/>
              <w:bottom w:val="single" w:color="0E7C86" w:sz="4"/>
              <w:right w:val="single" w:color="0E7C86" w:sz="4"/>
            </w:tcBorders>
            <w:shd w:fill="E6F4F5" w:val="clear"/>
            <w:tcMar>
              <w:top w:type="dxa" w:w="120"/>
              <w:left w:type="dxa" w:w="180"/>
              <w:bottom w:type="dxa" w:w="120"/>
              <w:right w:type="dxa" w:w="120"/>
            </w:tcMar>
          </w:tcPr>
          <w:p>
            <w:pPr>
              <w:spacing w:before="0" w:after="40"/>
            </w:pPr>
            <w:r>
              <w:rPr>
                <w:rFonts w:ascii="Arial" w:cs="Arial" w:eastAsia="Arial" w:hAnsi="Arial"/>
                <w:b/>
                <w:bCs/>
                <w:color w:val="0E7C86"/>
                <w:sz w:val="18"/>
                <w:szCs w:val="18"/>
              </w:rPr>
              <w:t xml:space="preserve">Target Users</w:t>
            </w:r>
          </w:p>
          <w:p>
            <w:pPr>
              <w:spacing w:before="0" w:after="0"/>
            </w:pPr>
            <w:r>
              <w:rPr>
                <w:rFonts w:ascii="Arial" w:cs="Arial" w:eastAsia="Arial" w:hAnsi="Arial"/>
                <w:color w:val="3A3A3A"/>
                <w:sz w:val="22"/>
                <w:szCs w:val="22"/>
              </w:rPr>
              <w:t xml:space="preserve">50K → 500K</w:t>
            </w:r>
          </w:p>
        </w:tc>
        <w:tc>
          <w:tcPr>
            <w:tcW w:type="dxa" w:w="2360"/>
            <w:tcBorders>
              <w:top w:val="single" w:color="0E7C86" w:sz="4"/>
              <w:left w:val="single" w:color="0E7C86" w:sz="4"/>
              <w:bottom w:val="single" w:color="0E7C86" w:sz="4"/>
              <w:right w:val="single" w:color="0E7C86" w:sz="4"/>
            </w:tcBorders>
            <w:shd w:fill="E6F4F5" w:val="clear"/>
            <w:tcMar>
              <w:top w:type="dxa" w:w="120"/>
              <w:left w:type="dxa" w:w="180"/>
              <w:bottom w:type="dxa" w:w="120"/>
              <w:right w:type="dxa" w:w="120"/>
            </w:tcMar>
          </w:tcPr>
          <w:p>
            <w:pPr>
              <w:spacing w:before="0" w:after="40"/>
            </w:pPr>
            <w:r>
              <w:rPr>
                <w:rFonts w:ascii="Arial" w:cs="Arial" w:eastAsia="Arial" w:hAnsi="Arial"/>
                <w:b/>
                <w:bCs/>
                <w:color w:val="0E7C86"/>
                <w:sz w:val="18"/>
                <w:szCs w:val="18"/>
              </w:rPr>
              <w:t xml:space="preserve">Primary Goal</w:t>
            </w:r>
          </w:p>
          <w:p>
            <w:pPr>
              <w:spacing w:before="0" w:after="0"/>
            </w:pPr>
            <w:r>
              <w:rPr>
                <w:rFonts w:ascii="Arial" w:cs="Arial" w:eastAsia="Arial" w:hAnsi="Arial"/>
                <w:color w:val="3A3A3A"/>
                <w:sz w:val="20"/>
                <w:szCs w:val="20"/>
              </w:rPr>
              <w:t xml:space="preserve">Activate the economic flywheel</w:t>
            </w:r>
          </w:p>
        </w:tc>
      </w:tr>
    </w:tbl>
    <w:p>
      <w:pPr>
        <w:spacing w:before="200" w:after="0"/>
      </w:pPr>
      <w:r>
        <w:t xml:space="preserve"/>
      </w:r>
    </w:p>
    <w:p>
      <w:pPr>
        <w:pStyle w:val="Heading2"/>
        <w:spacing w:before="280" w:after="120"/>
      </w:pPr>
      <w:r>
        <w:rPr>
          <w:rFonts w:ascii="Arial" w:cs="Arial" w:eastAsia="Arial" w:hAnsi="Arial"/>
          <w:b/>
          <w:bCs/>
          <w:color w:val="0E7C86"/>
        </w:rPr>
        <w:t xml:space="preserve">2.1  Core Objective</w:t>
      </w:r>
    </w:p>
    <w:p>
      <w:pPr>
        <w:spacing w:before="80" w:after="100"/>
      </w:pPr>
      <w:r>
        <w:rPr>
          <w:rFonts w:ascii="Arial" w:cs="Arial" w:eastAsia="Arial" w:hAnsi="Arial"/>
          <w:color w:val="3A3A3A"/>
          <w:sz w:val="22"/>
          <w:szCs w:val="22"/>
        </w:rPr>
        <w:t xml:space="preserve">Part 2 is about igniting the flywheel and making PiPulse addictive to use, profitable to build on, and impossible to leave. The architecture that made the platform trustworthy in Part 1 now gets layered with intelligence: an AI matching engine that improves with every transaction, a $PULSE token economy that captures value from every interaction, and a developer API that begins making PiPulse infrastructure for the broader Pi ecosystem.</w:t>
      </w:r>
    </w:p>
    <w:p>
      <w:pPr>
        <w:spacing w:before="80" w:after="0"/>
      </w:pPr>
      <w:r>
        <w:t xml:space="preserve"/>
      </w:r>
    </w:p>
    <w:p>
      <w:pPr>
        <w:spacing w:before="80" w:after="100"/>
      </w:pPr>
      <w:r>
        <w:rPr>
          <w:rFonts w:ascii="Arial" w:cs="Arial" w:eastAsia="Arial" w:hAnsi="Arial"/>
          <w:color w:val="3A3A3A"/>
          <w:sz w:val="22"/>
          <w:szCs w:val="22"/>
        </w:rPr>
        <w:t xml:space="preserve">By the end of Part 2, PiPulse should have three distinct revenue streams operating, a token with real utility and real demand, and the beginning of a data moat that no competitor can replicate without years of transaction history.</w:t>
      </w:r>
    </w:p>
    <w:p>
      <w:pPr>
        <w:spacing w:before="160" w:after="0"/>
      </w:pPr>
      <w:r>
        <w:t xml:space="preserve"/>
      </w:r>
    </w:p>
    <w:p>
      <w:pPr>
        <w:pStyle w:val="Heading2"/>
        <w:spacing w:before="280" w:after="120"/>
      </w:pPr>
      <w:r>
        <w:rPr>
          <w:rFonts w:ascii="Arial" w:cs="Arial" w:eastAsia="Arial" w:hAnsi="Arial"/>
          <w:b/>
          <w:bCs/>
          <w:color w:val="0E7C86"/>
        </w:rPr>
        <w:t xml:space="preserve">2.2  Key Features to Be Developed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none"/>
              <w:right w:val="none"/>
            </w:tcBorders>
            <w:shd w:fill="E6F4F5" w:val="clear"/>
            <w:tcMar>
              <w:top w:type="dxa" w:w="140"/>
              <w:left w:type="dxa" w:w="240"/>
              <w:bottom w:type="dxa" w:w="140"/>
              <w:right w:type="dxa" w:w="240"/>
            </w:tcMar>
          </w:tcPr>
          <w:p>
            <w:pPr>
              <w:spacing w:before="0" w:after="100"/>
            </w:pPr>
            <w:r>
              <w:rPr>
                <w:rFonts w:ascii="Arial" w:cs="Arial" w:eastAsia="Arial" w:hAnsi="Arial"/>
                <w:b/>
                <w:bCs/>
                <w:color w:val="0E7C86"/>
                <w:sz w:val="22"/>
                <w:szCs w:val="22"/>
              </w:rPr>
              <w:t xml:space="preserve">AI Matching Engine — Phase 2 ML Model (Month 6+)</w:t>
            </w:r>
          </w:p>
          <w:p>
            <w:pPr>
              <w:pStyle w:val="ListParagraph"/>
              <w:numPr>
                <w:ilvl w:val="0"/>
                <w:numId w:val="2"/>
              </w:numPr>
              <w:spacing w:before="40" w:after="40"/>
            </w:pPr>
            <w:r>
              <w:rPr>
                <w:rFonts w:ascii="Arial" w:cs="Arial" w:eastAsia="Arial" w:hAnsi="Arial"/>
                <w:color w:val="3A3A3A"/>
                <w:sz w:val="20"/>
                <w:szCs w:val="20"/>
              </w:rPr>
              <w:t xml:space="preserve">Feature vector construction for workers: category-level approval rates (9 dimensions), average completion times, employer repeat-hire rate, quality rating averages, hourly activity patterns, and dispute rate</w:t>
            </w:r>
          </w:p>
          <w:p>
            <w:pPr>
              <w:pStyle w:val="ListParagraph"/>
              <w:numPr>
                <w:ilvl w:val="0"/>
                <w:numId w:val="2"/>
              </w:numPr>
              <w:spacing w:before="40" w:after="40"/>
            </w:pPr>
            <w:r>
              <w:rPr>
                <w:rFonts w:ascii="Arial" w:cs="Arial" w:eastAsia="Arial" w:hAnsi="Arial"/>
                <w:color w:val="3A3A3A"/>
                <w:sz w:val="20"/>
                <w:szCs w:val="20"/>
              </w:rPr>
              <w:t xml:space="preserve">Feature vector construction for tasks: category, reward, time estimate, employer approval rate, employer average review time, task complexity score derived from rejection history</w:t>
            </w:r>
          </w:p>
          <w:p>
            <w:pPr>
              <w:pStyle w:val="ListParagraph"/>
              <w:numPr>
                <w:ilvl w:val="0"/>
                <w:numId w:val="2"/>
              </w:numPr>
              <w:spacing w:before="40" w:after="40"/>
            </w:pPr>
            <w:r>
              <w:rPr>
                <w:rFonts w:ascii="Arial" w:cs="Arial" w:eastAsia="Arial" w:hAnsi="Arial"/>
                <w:color w:val="3A3A3A"/>
                <w:sz w:val="20"/>
                <w:szCs w:val="20"/>
              </w:rPr>
              <w:t xml:space="preserve">Model output: P(approval | worker W, task T) — workers ranked by predicted approval probability per task</w:t>
            </w:r>
          </w:p>
          <w:p>
            <w:pPr>
              <w:pStyle w:val="ListParagraph"/>
              <w:numPr>
                <w:ilvl w:val="0"/>
                <w:numId w:val="2"/>
              </w:numPr>
              <w:spacing w:before="40" w:after="40"/>
            </w:pPr>
            <w:r>
              <w:rPr>
                <w:rFonts w:ascii="Arial" w:cs="Arial" w:eastAsia="Arial" w:hAnsi="Arial"/>
                <w:color w:val="3A3A3A"/>
                <w:sz w:val="20"/>
                <w:szCs w:val="20"/>
              </w:rPr>
              <w:t xml:space="preserve">Workers with P &gt; 0.85 shown task prominently; workers with P &lt; 0.40 shown difficulty warning</w:t>
            </w:r>
          </w:p>
          <w:p>
            <w:pPr>
              <w:pStyle w:val="ListParagraph"/>
              <w:numPr>
                <w:ilvl w:val="0"/>
                <w:numId w:val="2"/>
              </w:numPr>
              <w:spacing w:before="40" w:after="40"/>
            </w:pPr>
            <w:r>
              <w:rPr>
                <w:rFonts w:ascii="Arial" w:cs="Arial" w:eastAsia="Arial" w:hAnsi="Arial"/>
                <w:color w:val="3A3A3A"/>
                <w:sz w:val="20"/>
                <w:szCs w:val="20"/>
              </w:rPr>
              <w:t xml:space="preserve">Online learning: model retrained weekly on rolling 30-day transaction window. Accuracy monitored against approval rate baseline.</w:t>
            </w:r>
          </w:p>
          <w:p>
            <w:pPr>
              <w:pStyle w:val="ListParagraph"/>
              <w:numPr>
                <w:ilvl w:val="0"/>
                <w:numId w:val="2"/>
              </w:numPr>
              <w:spacing w:before="40" w:after="40"/>
            </w:pPr>
            <w:r>
              <w:rPr>
                <w:rFonts w:ascii="Arial" w:cs="Arial" w:eastAsia="Arial" w:hAnsi="Arial"/>
                <w:color w:val="3A3A3A"/>
                <w:sz w:val="20"/>
                <w:szCs w:val="20"/>
              </w:rPr>
              <w:t xml:space="preserve">A/B testing framework: 20% of traffic uses rule-based Phase 1 matching as control group throughout Part 2 for continuous calibration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none"/>
              <w:right w:val="none"/>
            </w:tcBorders>
            <w:shd w:fill="E6F4F5" w:val="clear"/>
            <w:tcMar>
              <w:top w:type="dxa" w:w="140"/>
              <w:left w:type="dxa" w:w="240"/>
              <w:bottom w:type="dxa" w:w="140"/>
              <w:right w:type="dxa" w:w="240"/>
            </w:tcMar>
          </w:tcPr>
          <w:p>
            <w:pPr>
              <w:spacing w:before="0" w:after="100"/>
            </w:pPr>
            <w:r>
              <w:rPr>
                <w:rFonts w:ascii="Arial" w:cs="Arial" w:eastAsia="Arial" w:hAnsi="Arial"/>
                <w:b/>
                <w:bCs/>
                <w:color w:val="0E7C86"/>
                <w:sz w:val="22"/>
                <w:szCs w:val="22"/>
              </w:rPr>
              <w:t xml:space="preserve">$PULSE Token Economy — Full Activation</w:t>
            </w:r>
          </w:p>
          <w:p>
            <w:pPr>
              <w:pStyle w:val="ListParagraph"/>
              <w:numPr>
                <w:ilvl w:val="0"/>
                <w:numId w:val="2"/>
              </w:numPr>
              <w:spacing w:before="40" w:after="40"/>
            </w:pPr>
            <w:r>
              <w:rPr>
                <w:rFonts w:ascii="Arial" w:cs="Arial" w:eastAsia="Arial" w:hAnsi="Arial"/>
                <w:color w:val="3A3A3A"/>
                <w:sz w:val="20"/>
                <w:szCs w:val="20"/>
              </w:rPr>
              <w:t xml:space="preserve">PULSE token minting and allocation: 1B total supply, 40% community rewards pool, 20% platform reserve, 15% team vesting (4yr/1yr cliff), 15% investor vesting (2yr), 10% DEX liquidity</w:t>
            </w:r>
          </w:p>
          <w:p>
            <w:pPr>
              <w:pStyle w:val="ListParagraph"/>
              <w:numPr>
                <w:ilvl w:val="0"/>
                <w:numId w:val="2"/>
              </w:numPr>
              <w:spacing w:before="40" w:after="40"/>
            </w:pPr>
            <w:r>
              <w:rPr>
                <w:rFonts w:ascii="Arial" w:cs="Arial" w:eastAsia="Arial" w:hAnsi="Arial"/>
                <w:color w:val="3A3A3A"/>
                <w:sz w:val="20"/>
                <w:szCs w:val="20"/>
              </w:rPr>
              <w:t xml:space="preserve">All 8 utility functions deployed: Task Boost, Submission Priority, Premium Task Access (50π+), Reputation Staking with slashing, Dispute Insurance, Instant Payout (1000+ PULSE holders), Governance Voting, Arbitration Rewards</w:t>
            </w:r>
          </w:p>
          <w:p>
            <w:pPr>
              <w:pStyle w:val="ListParagraph"/>
              <w:numPr>
                <w:ilvl w:val="0"/>
                <w:numId w:val="2"/>
              </w:numPr>
              <w:spacing w:before="40" w:after="40"/>
            </w:pPr>
            <w:r>
              <w:rPr>
                <w:rFonts w:ascii="Arial" w:cs="Arial" w:eastAsia="Arial" w:hAnsi="Arial"/>
                <w:color w:val="3A3A3A"/>
                <w:sz w:val="20"/>
                <w:szCs w:val="20"/>
              </w:rPr>
              <w:t xml:space="preserve">PULSE burn mechanism for Task Boost and Submission Boost (deflationary pressure on circulating supply)</w:t>
            </w:r>
          </w:p>
          <w:p>
            <w:pPr>
              <w:pStyle w:val="ListParagraph"/>
              <w:numPr>
                <w:ilvl w:val="0"/>
                <w:numId w:val="2"/>
              </w:numPr>
              <w:spacing w:before="40" w:after="40"/>
            </w:pPr>
            <w:r>
              <w:rPr>
                <w:rFonts w:ascii="Arial" w:cs="Arial" w:eastAsia="Arial" w:hAnsi="Arial"/>
                <w:color w:val="3A3A3A"/>
                <w:sz w:val="20"/>
                <w:szCs w:val="20"/>
              </w:rPr>
              <w:t xml:space="preserve">PulseToken and PulseTransaction tables fully activated with balance tracking, lock management, and complete history</w:t>
            </w:r>
          </w:p>
          <w:p>
            <w:pPr>
              <w:pStyle w:val="ListParagraph"/>
              <w:numPr>
                <w:ilvl w:val="0"/>
                <w:numId w:val="2"/>
              </w:numPr>
              <w:spacing w:before="40" w:after="40"/>
            </w:pPr>
            <w:r>
              <w:rPr>
                <w:rFonts w:ascii="Arial" w:cs="Arial" w:eastAsia="Arial" w:hAnsi="Arial"/>
                <w:color w:val="3A3A3A"/>
                <w:sz w:val="20"/>
                <w:szCs w:val="20"/>
              </w:rPr>
              <w:t xml:space="preserve">Community rewards distribution: automatic $PULSE issuance to workers on approved submissions (from 40% community pool)</w:t>
            </w:r>
          </w:p>
          <w:p>
            <w:pPr>
              <w:pStyle w:val="ListParagraph"/>
              <w:numPr>
                <w:ilvl w:val="0"/>
                <w:numId w:val="2"/>
              </w:numPr>
              <w:spacing w:before="40" w:after="40"/>
            </w:pPr>
            <w:r>
              <w:rPr>
                <w:rFonts w:ascii="Arial" w:cs="Arial" w:eastAsia="Arial" w:hAnsi="Arial"/>
                <w:color w:val="3A3A3A"/>
                <w:sz w:val="20"/>
                <w:szCs w:val="20"/>
              </w:rPr>
              <w:t xml:space="preserve">Referral reward engine: ReferralRecord table activated, PULSE rewards issued for qualified referrals on daily cron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none"/>
              <w:right w:val="none"/>
            </w:tcBorders>
            <w:shd w:fill="E6F4F5" w:val="clear"/>
            <w:tcMar>
              <w:top w:type="dxa" w:w="140"/>
              <w:left w:type="dxa" w:w="240"/>
              <w:bottom w:type="dxa" w:w="140"/>
              <w:right w:type="dxa" w:w="240"/>
            </w:tcMar>
          </w:tcPr>
          <w:p>
            <w:pPr>
              <w:spacing w:before="0" w:after="100"/>
            </w:pPr>
            <w:r>
              <w:rPr>
                <w:rFonts w:ascii="Arial" w:cs="Arial" w:eastAsia="Arial" w:hAnsi="Arial"/>
                <w:b/>
                <w:bCs/>
                <w:color w:val="0E7C86"/>
                <w:sz w:val="22"/>
                <w:szCs w:val="22"/>
              </w:rPr>
              <w:t xml:space="preserve">Developer API Platform — V1 Launch</w:t>
            </w:r>
          </w:p>
          <w:p>
            <w:pPr>
              <w:pStyle w:val="ListParagraph"/>
              <w:numPr>
                <w:ilvl w:val="0"/>
                <w:numId w:val="2"/>
              </w:numPr>
              <w:spacing w:before="40" w:after="40"/>
            </w:pPr>
            <w:r>
              <w:rPr>
                <w:rFonts w:ascii="Arial" w:cs="Arial" w:eastAsia="Arial" w:hAnsi="Arial"/>
                <w:color w:val="3A3A3A"/>
                <w:sz w:val="20"/>
                <w:szCs w:val="20"/>
              </w:rPr>
              <w:t xml:space="preserve">Public REST API v1 with full authentication via API keys: GET reputation scores, POST tasks, GET task listings, POST submissions, GET submission status</w:t>
            </w:r>
          </w:p>
          <w:p>
            <w:pPr>
              <w:pStyle w:val="ListParagraph"/>
              <w:numPr>
                <w:ilvl w:val="0"/>
                <w:numId w:val="2"/>
              </w:numPr>
              <w:spacing w:before="40" w:after="40"/>
            </w:pPr>
            <w:r>
              <w:rPr>
                <w:rFonts w:ascii="Arial" w:cs="Arial" w:eastAsia="Arial" w:hAnsi="Arial"/>
                <w:color w:val="3A3A3A"/>
                <w:sz w:val="20"/>
                <w:szCs w:val="20"/>
              </w:rPr>
              <w:t xml:space="preserve">Webhook system: real-time event delivery for task.created, submission.received, submission.approved, submission.rejected, payment.sent</w:t>
            </w:r>
          </w:p>
          <w:p>
            <w:pPr>
              <w:pStyle w:val="ListParagraph"/>
              <w:numPr>
                <w:ilvl w:val="0"/>
                <w:numId w:val="2"/>
              </w:numPr>
              <w:spacing w:before="40" w:after="40"/>
            </w:pPr>
            <w:r>
              <w:rPr>
                <w:rFonts w:ascii="Arial" w:cs="Arial" w:eastAsia="Arial" w:hAnsi="Arial"/>
                <w:color w:val="3A3A3A"/>
                <w:sz w:val="20"/>
                <w:szCs w:val="20"/>
              </w:rPr>
              <w:t xml:space="preserve">4 API tier system: Free (100 req/hr), Starter (1,000 req/hr), Business (10,000 req/hr), Enterprise (unlimited + SLA)</w:t>
            </w:r>
          </w:p>
          <w:p>
            <w:pPr>
              <w:pStyle w:val="ListParagraph"/>
              <w:numPr>
                <w:ilvl w:val="0"/>
                <w:numId w:val="2"/>
              </w:numPr>
              <w:spacing w:before="40" w:after="40"/>
            </w:pPr>
            <w:r>
              <w:rPr>
                <w:rFonts w:ascii="Arial" w:cs="Arial" w:eastAsia="Arial" w:hAnsi="Arial"/>
                <w:color w:val="3A3A3A"/>
                <w:sz w:val="20"/>
                <w:szCs w:val="20"/>
              </w:rPr>
              <w:t xml:space="preserve">API key management dashboard: issue, revoke, monitor usage, set scope restrictions</w:t>
            </w:r>
          </w:p>
          <w:p>
            <w:pPr>
              <w:pStyle w:val="ListParagraph"/>
              <w:numPr>
                <w:ilvl w:val="0"/>
                <w:numId w:val="2"/>
              </w:numPr>
              <w:spacing w:before="40" w:after="40"/>
            </w:pPr>
            <w:r>
              <w:rPr>
                <w:rFonts w:ascii="Arial" w:cs="Arial" w:eastAsia="Arial" w:hAnsi="Arial"/>
                <w:color w:val="3A3A3A"/>
                <w:sz w:val="20"/>
                <w:szCs w:val="20"/>
              </w:rPr>
              <w:t xml:space="preserve">Developer documentation portal with interactive API explorer, code examples in JavaScript, Python, and Dart</w:t>
            </w:r>
          </w:p>
          <w:p>
            <w:pPr>
              <w:pStyle w:val="ListParagraph"/>
              <w:numPr>
                <w:ilvl w:val="0"/>
                <w:numId w:val="2"/>
              </w:numPr>
              <w:spacing w:before="40" w:after="40"/>
            </w:pPr>
            <w:r>
              <w:rPr>
                <w:rFonts w:ascii="Arial" w:cs="Arial" w:eastAsia="Arial" w:hAnsi="Arial"/>
                <w:color w:val="3A3A3A"/>
                <w:sz w:val="20"/>
                <w:szCs w:val="20"/>
              </w:rPr>
              <w:t xml:space="preserve">SDK v1 for JavaScript/TypeScript: PiPulse.getReputation(), PiPulse.postTask(), PiPulse.onSubmissionApproved()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none"/>
              <w:right w:val="none"/>
            </w:tcBorders>
            <w:shd w:fill="E6F4F5" w:val="clear"/>
            <w:tcMar>
              <w:top w:type="dxa" w:w="140"/>
              <w:left w:type="dxa" w:w="240"/>
              <w:bottom w:type="dxa" w:w="140"/>
              <w:right w:type="dxa" w:w="240"/>
            </w:tcMar>
          </w:tcPr>
          <w:p>
            <w:pPr>
              <w:spacing w:before="0" w:after="100"/>
            </w:pPr>
            <w:r>
              <w:rPr>
                <w:rFonts w:ascii="Arial" w:cs="Arial" w:eastAsia="Arial" w:hAnsi="Arial"/>
                <w:b/>
                <w:bCs/>
                <w:color w:val="0E7C86"/>
                <w:sz w:val="22"/>
                <w:szCs w:val="22"/>
              </w:rPr>
              <w:t xml:space="preserve">Advanced Analytics &amp; Market Intelligence</w:t>
            </w:r>
          </w:p>
          <w:p>
            <w:pPr>
              <w:pStyle w:val="ListParagraph"/>
              <w:numPr>
                <w:ilvl w:val="0"/>
                <w:numId w:val="2"/>
              </w:numPr>
              <w:spacing w:before="40" w:after="40"/>
            </w:pPr>
            <w:r>
              <w:rPr>
                <w:rFonts w:ascii="Arial" w:cs="Arial" w:eastAsia="Arial" w:hAnsi="Arial"/>
                <w:color w:val="3A3A3A"/>
                <w:sz w:val="20"/>
                <w:szCs w:val="20"/>
              </w:rPr>
              <w:t xml:space="preserve">Worker Performance Dashboard: earnings by category, approval rate trend, streak history, reputation trajectory, earnings vs platform average</w:t>
            </w:r>
          </w:p>
          <w:p>
            <w:pPr>
              <w:pStyle w:val="ListParagraph"/>
              <w:numPr>
                <w:ilvl w:val="0"/>
                <w:numId w:val="2"/>
              </w:numPr>
              <w:spacing w:before="40" w:after="40"/>
            </w:pPr>
            <w:r>
              <w:rPr>
                <w:rFonts w:ascii="Arial" w:cs="Arial" w:eastAsia="Arial" w:hAnsi="Arial"/>
                <w:color w:val="3A3A3A"/>
                <w:sz w:val="20"/>
                <w:szCs w:val="20"/>
              </w:rPr>
              <w:t xml:space="preserve">Employer Analytics Dashboard: task performance (views, acceptance rate, fill rate, rejection rate), cost per completed task, worker quality distribution, time-to-fill trends</w:t>
            </w:r>
          </w:p>
          <w:p>
            <w:pPr>
              <w:pStyle w:val="ListParagraph"/>
              <w:numPr>
                <w:ilvl w:val="0"/>
                <w:numId w:val="2"/>
              </w:numPr>
              <w:spacing w:before="40" w:after="40"/>
            </w:pPr>
            <w:r>
              <w:rPr>
                <w:rFonts w:ascii="Arial" w:cs="Arial" w:eastAsia="Arial" w:hAnsi="Arial"/>
                <w:color w:val="3A3A3A"/>
                <w:sz w:val="20"/>
                <w:szCs w:val="20"/>
              </w:rPr>
              <w:t xml:space="preserve">Market Intelligence Dashboard: category demand growth, average Pi per category, country-level task demand heatmap, peak application time analysis, competition level by category</w:t>
            </w:r>
          </w:p>
          <w:p>
            <w:pPr>
              <w:pStyle w:val="ListParagraph"/>
              <w:numPr>
                <w:ilvl w:val="0"/>
                <w:numId w:val="2"/>
              </w:numPr>
              <w:spacing w:before="40" w:after="40"/>
            </w:pPr>
            <w:r>
              <w:rPr>
                <w:rFonts w:ascii="Arial" w:cs="Arial" w:eastAsia="Arial" w:hAnsi="Arial"/>
                <w:color w:val="3A3A3A"/>
                <w:sz w:val="20"/>
                <w:szCs w:val="20"/>
              </w:rPr>
              <w:t xml:space="preserve">Materialized views refreshed every 5 minutes: leaderboard for workers (by earnings, quality, volume), leaderboard for employers (by task volume, approval fairness)</w:t>
            </w:r>
          </w:p>
          <w:p>
            <w:pPr>
              <w:pStyle w:val="ListParagraph"/>
              <w:numPr>
                <w:ilvl w:val="0"/>
                <w:numId w:val="2"/>
              </w:numPr>
              <w:spacing w:before="40" w:after="40"/>
            </w:pPr>
            <w:r>
              <w:rPr>
                <w:rFonts w:ascii="Arial" w:cs="Arial" w:eastAsia="Arial" w:hAnsi="Arial"/>
                <w:color w:val="3A3A3A"/>
                <w:sz w:val="20"/>
                <w:szCs w:val="20"/>
              </w:rPr>
              <w:t xml:space="preserve">Platform daily metrics aggregation job: archives PlatformMetric record at 02:00 UTC capturing all key performance indicators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none"/>
              <w:right w:val="none"/>
            </w:tcBorders>
            <w:shd w:fill="E6F4F5" w:val="clear"/>
            <w:tcMar>
              <w:top w:type="dxa" w:w="140"/>
              <w:left w:type="dxa" w:w="240"/>
              <w:bottom w:type="dxa" w:w="140"/>
              <w:right w:type="dxa" w:w="240"/>
            </w:tcMar>
          </w:tcPr>
          <w:p>
            <w:pPr>
              <w:spacing w:before="0" w:after="100"/>
            </w:pPr>
            <w:r>
              <w:rPr>
                <w:rFonts w:ascii="Arial" w:cs="Arial" w:eastAsia="Arial" w:hAnsi="Arial"/>
                <w:b/>
                <w:bCs/>
                <w:color w:val="0E7C86"/>
                <w:sz w:val="22"/>
                <w:szCs w:val="22"/>
              </w:rPr>
              <w:t xml:space="preserve">Enhanced Security &amp; Fraud Intelligence</w:t>
            </w:r>
          </w:p>
          <w:p>
            <w:pPr>
              <w:pStyle w:val="ListParagraph"/>
              <w:numPr>
                <w:ilvl w:val="0"/>
                <w:numId w:val="2"/>
              </w:numPr>
              <w:spacing w:before="40" w:after="40"/>
            </w:pPr>
            <w:r>
              <w:rPr>
                <w:rFonts w:ascii="Arial" w:cs="Arial" w:eastAsia="Arial" w:hAnsi="Arial"/>
                <w:color w:val="3A3A3A"/>
                <w:sz w:val="20"/>
                <w:szCs w:val="20"/>
              </w:rPr>
              <w:t xml:space="preserve">ML fraud detection upgrade: model trained on Part 1 rejection patterns, dispute outcomes, and confirmed fraud cases</w:t>
            </w:r>
          </w:p>
          <w:p>
            <w:pPr>
              <w:pStyle w:val="ListParagraph"/>
              <w:numPr>
                <w:ilvl w:val="0"/>
                <w:numId w:val="2"/>
              </w:numPr>
              <w:spacing w:before="40" w:after="40"/>
            </w:pPr>
            <w:r>
              <w:rPr>
                <w:rFonts w:ascii="Arial" w:cs="Arial" w:eastAsia="Arial" w:hAnsi="Arial"/>
                <w:color w:val="3A3A3A"/>
                <w:sz w:val="20"/>
                <w:szCs w:val="20"/>
              </w:rPr>
              <w:t xml:space="preserve">Perceptual image hash database fully operational: stock image detection and cross-user duplicate image flagging</w:t>
            </w:r>
          </w:p>
          <w:p>
            <w:pPr>
              <w:pStyle w:val="ListParagraph"/>
              <w:numPr>
                <w:ilvl w:val="0"/>
                <w:numId w:val="2"/>
              </w:numPr>
              <w:spacing w:before="40" w:after="40"/>
            </w:pPr>
            <w:r>
              <w:rPr>
                <w:rFonts w:ascii="Arial" w:cs="Arial" w:eastAsia="Arial" w:hAnsi="Arial"/>
                <w:color w:val="3A3A3A"/>
                <w:sz w:val="20"/>
                <w:szCs w:val="20"/>
              </w:rPr>
              <w:t xml:space="preserve">IP geolocation vs KYC country mismatch detection with configurable alert thresholds</w:t>
            </w:r>
          </w:p>
          <w:p>
            <w:pPr>
              <w:pStyle w:val="ListParagraph"/>
              <w:numPr>
                <w:ilvl w:val="0"/>
                <w:numId w:val="2"/>
              </w:numPr>
              <w:spacing w:before="40" w:after="40"/>
            </w:pPr>
            <w:r>
              <w:rPr>
                <w:rFonts w:ascii="Arial" w:cs="Arial" w:eastAsia="Arial" w:hAnsi="Arial"/>
                <w:color w:val="3A3A3A"/>
                <w:sz w:val="20"/>
                <w:szCs w:val="20"/>
              </w:rPr>
              <w:t xml:space="preserve">Submission timing pattern analysis: submissions clustered in suspiciously short windows flagged for human review</w:t>
            </w:r>
          </w:p>
          <w:p>
            <w:pPr>
              <w:pStyle w:val="ListParagraph"/>
              <w:numPr>
                <w:ilvl w:val="0"/>
                <w:numId w:val="2"/>
              </w:numPr>
              <w:spacing w:before="40" w:after="40"/>
            </w:pPr>
            <w:r>
              <w:rPr>
                <w:rFonts w:ascii="Arial" w:cs="Arial" w:eastAsia="Arial" w:hAnsi="Arial"/>
                <w:color w:val="3A3A3A"/>
                <w:sz w:val="20"/>
                <w:szCs w:val="20"/>
              </w:rPr>
              <w:t xml:space="preserve">Tier 3 dispute resolution system: Admin Final Ruling panel with full case history, evidence review, and binding outcome publishing</w:t>
            </w:r>
          </w:p>
          <w:p>
            <w:pPr>
              <w:pStyle w:val="ListParagraph"/>
              <w:numPr>
                <w:ilvl w:val="0"/>
                <w:numId w:val="2"/>
              </w:numPr>
              <w:spacing w:before="40" w:after="40"/>
            </w:pPr>
            <w:r>
              <w:rPr>
                <w:rFonts w:ascii="Arial" w:cs="Arial" w:eastAsia="Arial" w:hAnsi="Arial"/>
                <w:color w:val="3A3A3A"/>
                <w:sz w:val="20"/>
                <w:szCs w:val="20"/>
              </w:rPr>
              <w:t xml:space="preserve">Employer 40% rejection rate auto-monitoring: automatic Tier 2 review trigger wired to employer rejection rate metric</w:t>
            </w:r>
          </w:p>
        </w:tc>
      </w:tr>
    </w:tbl>
    <w:p>
      <w:pPr>
        <w:spacing w:before="160" w:after="0"/>
      </w:pPr>
      <w:r>
        <w:t xml:space="preserve"/>
      </w:r>
    </w:p>
    <w:p>
      <w:pPr>
        <w:pStyle w:val="Heading2"/>
        <w:spacing w:before="280" w:after="120"/>
      </w:pPr>
      <w:r>
        <w:rPr>
          <w:rFonts w:ascii="Arial" w:cs="Arial" w:eastAsia="Arial" w:hAnsi="Arial"/>
          <w:b/>
          <w:bCs/>
          <w:color w:val="0E7C86"/>
        </w:rPr>
        <w:t xml:space="preserve">2.3  Technical Architecture — Part 2 Additions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0E7C86"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New Component</w:t>
            </w:r>
          </w:p>
        </w:tc>
        <w:tc>
          <w:tcPr>
            <w:tcW w:type="dxa" w:w="7160"/>
            <w:tcBorders>
              <w:top w:val="single" w:color="DDDDDD" w:sz="4"/>
              <w:left w:val="single" w:color="DDDDDD" w:sz="4"/>
              <w:bottom w:val="single" w:color="DDDDDD" w:sz="4"/>
              <w:right w:val="single" w:color="DDDDDD" w:sz="4"/>
            </w:tcBorders>
            <w:shd w:fill="0E7C86" w:val="clear"/>
            <w:tcMar>
              <w:top w:type="dxa" w:w="80"/>
              <w:left w:type="dxa" w:w="160"/>
              <w:bottom w:type="dxa" w:w="80"/>
              <w:right w:type="dxa" w:w="120"/>
            </w:tcMar>
          </w:tcPr>
          <w:p>
            <w:pPr>
              <w:spacing w:before="0" w:after="0"/>
            </w:pPr>
            <w:r>
              <w:rPr>
                <w:rFonts w:ascii="Arial" w:cs="Arial" w:eastAsia="Arial" w:hAnsi="Arial"/>
                <w:color w:val="FFFFFF"/>
                <w:sz w:val="20"/>
                <w:szCs w:val="20"/>
              </w:rPr>
              <w:t xml:space="preserve">Technology &amp; Rationale</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ML Matching Service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Python FastAPI microservice on Vercel. Scikit-learn gradient boosting model (XGBoost). Feature pipeline pre-computed via nightly batch job. Predictions cached in Redis per worker-category pair for 15 min.</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$PULSE Token Logic</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Next.js server actions for balance mutations. All PULSE operations go through PulseService class — never direct DB writes. Atomic balance updates with optimistic locking.</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API Gateway</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Next.js middleware for API key validation, rate limiting (Redis token bucket algorithm), and request logging to analytics pipeline.</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Webhook Delivery</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Redis-backed job queue with exponential backoff retry (5 attempts, max 24 hour delay). Dead letter queue for failed deliveries. Webhook delivery dashboard for developers.</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Analytics Pipeline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Materialized views on Supabase refreshed by Vercel Cron (5-min). PlatformMetric daily aggregation. Separate read replica for analytics queries to prevent write contention.</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Fraud ML Model</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Isolation Forest anomaly detection trained on Part 1 data. Inference on every new submission within 200ms. Model artifacts versioned and stored in S3.</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CDN &amp; Media</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CloudFront or Cloudflare CDN for submission file delivery. Image optimization pipeline for photo proof thumbnails. Audio transcription pipeline for audio proof indexing.</w:t>
            </w:r>
          </w:p>
        </w:tc>
      </w:tr>
    </w:tbl>
    <w:p>
      <w:pPr>
        <w:spacing w:before="160" w:after="0"/>
      </w:pPr>
      <w:r>
        <w:t xml:space="preserve"/>
      </w:r>
    </w:p>
    <w:p>
      <w:pPr>
        <w:pStyle w:val="Heading2"/>
        <w:spacing w:before="280" w:after="120"/>
      </w:pPr>
      <w:r>
        <w:rPr>
          <w:rFonts w:ascii="Arial" w:cs="Arial" w:eastAsia="Arial" w:hAnsi="Arial"/>
          <w:b/>
          <w:bCs/>
          <w:color w:val="0E7C86"/>
        </w:rPr>
        <w:t xml:space="preserve">2.4  $PULSE Token Economic Model — Deep Architecture</w:t>
      </w:r>
    </w:p>
    <w:p>
      <w:pPr>
        <w:spacing w:before="80" w:after="0"/>
      </w:pPr>
      <w:r>
        <w:t xml:space="preserve"/>
      </w:r>
    </w:p>
    <w:p>
      <w:pPr>
        <w:spacing w:before="80" w:after="100"/>
      </w:pPr>
      <w:r>
        <w:rPr>
          <w:rFonts w:ascii="Arial" w:cs="Arial" w:eastAsia="Arial" w:hAnsi="Arial"/>
          <w:color w:val="3A3A3A"/>
          <w:sz w:val="22"/>
          <w:szCs w:val="22"/>
        </w:rPr>
        <w:t xml:space="preserve">The token economy is designed so that every platform action either burns PULSE (reducing supply) or requires holding PULSE (reducing circulating supply). There is no path to a healthy platform where PULSE has zero demand. The following table shows the complete demand-supply dynamic:</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PULSE Flow</w:t>
            </w:r>
          </w:p>
        </w:tc>
        <w:tc>
          <w:tcPr>
            <w:tcW w:type="dxa" w:w="2340"/>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Direction</w:t>
            </w:r>
          </w:p>
        </w:tc>
        <w:tc>
          <w:tcPr>
            <w:tcW w:type="dxa" w:w="2340"/>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Mechanism</w:t>
            </w:r>
          </w:p>
        </w:tc>
        <w:tc>
          <w:tcPr>
            <w:tcW w:type="dxa" w:w="2340"/>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Economic Effect</w:t>
            </w:r>
          </w:p>
        </w:tc>
      </w:tr>
      <w:tr>
        <w:tc>
          <w:tcPr>
            <w:tcW w:type="dxa" w:w="234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Task Boost purchase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OUT (burned)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Employer spends PULSE to feature task</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Permanent supply reduction — deflationary</w:t>
            </w:r>
          </w:p>
        </w:tc>
      </w:tr>
      <w:tr>
        <w:tc>
          <w:tcPr>
            <w:tcW w:type="dxa" w:w="234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Submission Priority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OUT (burned)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Worker spends PULSE for queue priority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Permanent supply reduction — deflationary</w:t>
            </w:r>
          </w:p>
        </w:tc>
      </w:tr>
      <w:tr>
        <w:tc>
          <w:tcPr>
            <w:tcW w:type="dxa" w:w="234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Premium Task Access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HOLD required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Worker must hold PULSE to apply to 50π+ tasks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Supply locked — reduced circulation</w:t>
            </w:r>
          </w:p>
        </w:tc>
      </w:tr>
      <w:tr>
        <w:tc>
          <w:tcPr>
            <w:tcW w:type="dxa" w:w="234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Reputation Staking</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HOLD + SLASH risk</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Worker stakes PULSE against quality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Supply locked; slashing burns on fraud detection</w:t>
            </w:r>
          </w:p>
        </w:tc>
      </w:tr>
      <w:tr>
        <w:tc>
          <w:tcPr>
            <w:tcW w:type="dxa" w:w="234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Dispute Insurance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HOLD required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Priority Tier 3 access requires PULSE balance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Supply locked — floor demand for long-term holders</w:t>
            </w:r>
          </w:p>
        </w:tc>
      </w:tr>
      <w:tr>
        <w:tc>
          <w:tcPr>
            <w:tcW w:type="dxa" w:w="234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Arbitration Rewards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IN (issued)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Sovereigns earn PULSE per resolved dispute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From community pool — not new minting</w:t>
            </w:r>
          </w:p>
        </w:tc>
      </w:tr>
      <w:tr>
        <w:tc>
          <w:tcPr>
            <w:tcW w:type="dxa" w:w="234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Community Rewards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IN (issued)</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Workers earn PULSE on approved submissions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From pre-allocated 40% community pool only</w:t>
            </w:r>
          </w:p>
        </w:tc>
      </w:tr>
    </w:tbl>
    <w:p>
      <w:pPr>
        <w:spacing w:before="160" w:after="0"/>
      </w:pPr>
      <w:r>
        <w:t xml:space="preserve"/>
      </w:r>
    </w:p>
    <w:p>
      <w:pPr>
        <w:pStyle w:val="Heading2"/>
        <w:spacing w:before="280" w:after="120"/>
      </w:pPr>
      <w:r>
        <w:rPr>
          <w:rFonts w:ascii="Arial" w:cs="Arial" w:eastAsia="Arial" w:hAnsi="Arial"/>
          <w:b/>
          <w:bCs/>
          <w:color w:val="0E7C86"/>
        </w:rPr>
        <w:t xml:space="preserve">2.5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none"/>
              <w:right w:val="none"/>
            </w:tcBorders>
            <w:shd w:fill="FFF0F0" w:val="clear"/>
            <w:tcMar>
              <w:top w:type="dxa" w:w="140"/>
              <w:left w:type="dxa" w:w="240"/>
              <w:bottom w:type="dxa" w:w="140"/>
              <w:right w:type="dxa" w:w="240"/>
            </w:tcMar>
          </w:tcPr>
          <w:p>
            <w:pPr>
              <w:spacing w:before="0" w:after="100"/>
            </w:pPr>
            <w:r>
              <w:rPr>
                <w:rFonts w:ascii="Arial" w:cs="Arial" w:eastAsia="Arial" w:hAnsi="Arial"/>
                <w:b/>
                <w:bCs/>
                <w:color w:val="C0392B"/>
                <w:sz w:val="22"/>
                <w:szCs w:val="22"/>
              </w:rPr>
              <w:t xml:space="preserve">Part 1 Completion Requirements (hard gates)</w:t>
            </w:r>
          </w:p>
          <w:p>
            <w:pPr>
              <w:pStyle w:val="ListParagraph"/>
              <w:numPr>
                <w:ilvl w:val="0"/>
                <w:numId w:val="2"/>
              </w:numPr>
              <w:spacing w:before="40" w:after="40"/>
            </w:pPr>
            <w:r>
              <w:rPr>
                <w:rFonts w:ascii="Arial" w:cs="Arial" w:eastAsia="Arial" w:hAnsi="Arial"/>
                <w:color w:val="3A3A3A"/>
                <w:sz w:val="20"/>
                <w:szCs w:val="20"/>
              </w:rPr>
              <w:t xml:space="preserve">Reputation scoring engine must have at minimum 90 days of live data and 10,000+ scored transactions before ML matching model training begins</w:t>
            </w:r>
          </w:p>
          <w:p>
            <w:pPr>
              <w:pStyle w:val="ListParagraph"/>
              <w:numPr>
                <w:ilvl w:val="0"/>
                <w:numId w:val="2"/>
              </w:numPr>
              <w:spacing w:before="40" w:after="40"/>
            </w:pPr>
            <w:r>
              <w:rPr>
                <w:rFonts w:ascii="Arial" w:cs="Arial" w:eastAsia="Arial" w:hAnsi="Arial"/>
                <w:color w:val="3A3A3A"/>
                <w:sz w:val="20"/>
                <w:szCs w:val="20"/>
              </w:rPr>
              <w:t xml:space="preserve">EscrowLedger must have processed 5,000+ transactions cleanly before PULSE token economy activates — financial integrity must be proven first</w:t>
            </w:r>
          </w:p>
          <w:p>
            <w:pPr>
              <w:pStyle w:val="ListParagraph"/>
              <w:numPr>
                <w:ilvl w:val="0"/>
                <w:numId w:val="2"/>
              </w:numPr>
              <w:spacing w:before="40" w:after="40"/>
            </w:pPr>
            <w:r>
              <w:rPr>
                <w:rFonts w:ascii="Arial" w:cs="Arial" w:eastAsia="Arial" w:hAnsi="Arial"/>
                <w:color w:val="3A3A3A"/>
                <w:sz w:val="20"/>
                <w:szCs w:val="20"/>
              </w:rPr>
              <w:t xml:space="preserve">Tier 1 and Tier 2 dispute resolution must be battle-tested and operating before Tier 3 Admin Ruling panel is built (Tier 3 escalates from Tier 2)</w:t>
            </w:r>
          </w:p>
          <w:p>
            <w:pPr>
              <w:pStyle w:val="ListParagraph"/>
              <w:numPr>
                <w:ilvl w:val="0"/>
                <w:numId w:val="2"/>
              </w:numPr>
              <w:spacing w:before="40" w:after="40"/>
            </w:pPr>
            <w:r>
              <w:rPr>
                <w:rFonts w:ascii="Arial" w:cs="Arial" w:eastAsia="Arial" w:hAnsi="Arial"/>
                <w:color w:val="3A3A3A"/>
                <w:sz w:val="20"/>
                <w:szCs w:val="20"/>
              </w:rPr>
              <w:t xml:space="preserve">API key infrastructure (tables and auth middleware) must be created in Part 1 even if dormant — activating in Part 2 requires zero schema changes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none"/>
              <w:right w:val="none"/>
            </w:tcBorders>
            <w:shd w:fill="E6F4F5" w:val="clear"/>
            <w:tcMar>
              <w:top w:type="dxa" w:w="140"/>
              <w:left w:type="dxa" w:w="240"/>
              <w:bottom w:type="dxa" w:w="140"/>
              <w:right w:type="dxa" w:w="240"/>
            </w:tcMar>
          </w:tcPr>
          <w:p>
            <w:pPr>
              <w:spacing w:before="0" w:after="100"/>
            </w:pPr>
            <w:r>
              <w:rPr>
                <w:rFonts w:ascii="Arial" w:cs="Arial" w:eastAsia="Arial" w:hAnsi="Arial"/>
                <w:b/>
                <w:bCs/>
                <w:color w:val="0E7C86"/>
                <w:sz w:val="22"/>
                <w:szCs w:val="22"/>
              </w:rPr>
              <w:t xml:space="preserve">External Dependencies — Part 2</w:t>
            </w:r>
          </w:p>
          <w:p>
            <w:pPr>
              <w:pStyle w:val="ListParagraph"/>
              <w:numPr>
                <w:ilvl w:val="0"/>
                <w:numId w:val="2"/>
              </w:numPr>
              <w:spacing w:before="40" w:after="40"/>
            </w:pPr>
            <w:r>
              <w:rPr>
                <w:rFonts w:ascii="Arial" w:cs="Arial" w:eastAsia="Arial" w:hAnsi="Arial"/>
                <w:color w:val="3A3A3A"/>
                <w:sz w:val="20"/>
                <w:szCs w:val="20"/>
              </w:rPr>
              <w:t xml:space="preserve">Pi DEX integration for $PULSE initial liquidity provision — requires Pi Network DEX API access and approved token listing</w:t>
            </w:r>
          </w:p>
          <w:p>
            <w:pPr>
              <w:pStyle w:val="ListParagraph"/>
              <w:numPr>
                <w:ilvl w:val="0"/>
                <w:numId w:val="2"/>
              </w:numPr>
              <w:spacing w:before="40" w:after="40"/>
            </w:pPr>
            <w:r>
              <w:rPr>
                <w:rFonts w:ascii="Arial" w:cs="Arial" w:eastAsia="Arial" w:hAnsi="Arial"/>
                <w:color w:val="3A3A3A"/>
                <w:sz w:val="20"/>
                <w:szCs w:val="20"/>
              </w:rPr>
              <w:t xml:space="preserve">Audio transcription service (AssemblyAI or similar) for audio proof indexing and quality verification</w:t>
            </w:r>
          </w:p>
          <w:p>
            <w:pPr>
              <w:pStyle w:val="ListParagraph"/>
              <w:numPr>
                <w:ilvl w:val="0"/>
                <w:numId w:val="2"/>
              </w:numPr>
              <w:spacing w:before="40" w:after="40"/>
            </w:pPr>
            <w:r>
              <w:rPr>
                <w:rFonts w:ascii="Arial" w:cs="Arial" w:eastAsia="Arial" w:hAnsi="Arial"/>
                <w:color w:val="3A3A3A"/>
                <w:sz w:val="20"/>
                <w:szCs w:val="20"/>
              </w:rPr>
              <w:t xml:space="preserve">Email delivery service (SendGrid/Resend) for developer API onboarding and webhook failure notifications</w:t>
            </w:r>
          </w:p>
          <w:p>
            <w:pPr>
              <w:pStyle w:val="ListParagraph"/>
              <w:numPr>
                <w:ilvl w:val="0"/>
                <w:numId w:val="2"/>
              </w:numPr>
              <w:spacing w:before="40" w:after="40"/>
            </w:pPr>
            <w:r>
              <w:rPr>
                <w:rFonts w:ascii="Arial" w:cs="Arial" w:eastAsia="Arial" w:hAnsi="Arial"/>
                <w:color w:val="3A3A3A"/>
                <w:sz w:val="20"/>
                <w:szCs w:val="20"/>
              </w:rPr>
              <w:t xml:space="preserve">ML model serving infrastructure — Vercel serverless functions or dedicated Python API layer depending on inference latency requirements</w:t>
            </w:r>
          </w:p>
        </w:tc>
      </w:tr>
    </w:tbl>
    <w:p>
      <w:pPr>
        <w:spacing w:before="160" w:after="0"/>
      </w:pPr>
      <w:r>
        <w:t xml:space="preserve"/>
      </w:r>
    </w:p>
    <w:p>
      <w:pPr>
        <w:pStyle w:val="Heading2"/>
        <w:spacing w:before="280" w:after="120"/>
      </w:pPr>
      <w:r>
        <w:rPr>
          <w:rFonts w:ascii="Arial" w:cs="Arial" w:eastAsia="Arial" w:hAnsi="Arial"/>
          <w:b/>
          <w:bCs/>
          <w:color w:val="0E7C86"/>
        </w:rPr>
        <w:t xml:space="preserve">2.6  Risks &amp; Mitigation Strategies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Risk</w:t>
            </w:r>
          </w:p>
        </w:tc>
        <w:tc>
          <w:tcPr>
            <w:tcW w:type="dxa" w:w="160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Probability</w:t>
            </w:r>
          </w:p>
        </w:tc>
        <w:tc>
          <w:tcPr>
            <w:tcW w:type="dxa" w:w="160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Impact</w:t>
            </w:r>
          </w:p>
        </w:tc>
        <w:tc>
          <w:tcPr>
            <w:tcW w:type="dxa" w:w="396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Mitigation Strategy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ML model recommends bad matches early in training</w:t>
            </w:r>
          </w:p>
        </w:tc>
        <w:tc>
          <w:tcPr>
            <w:tcW w:type="dxa" w:w="1600"/>
            <w:tcBorders>
              <w:top w:val="single" w:color="DDDDDD" w:sz="4"/>
              <w:left w:val="single" w:color="DDDDDD" w:sz="4"/>
              <w:bottom w:val="single" w:color="DDDDDD" w:sz="4"/>
              <w:right w:val="single" w:color="DDDDDD" w:sz="4"/>
            </w:tcBorders>
            <w:shd w:fill="FFE8E8" w:val="clear"/>
            <w:tcMar>
              <w:top w:type="dxa" w:w="80"/>
              <w:left w:type="dxa" w:w="140"/>
              <w:bottom w:type="dxa" w:w="80"/>
              <w:right w:type="dxa" w:w="100"/>
            </w:tcMar>
          </w:tcPr>
          <w:p>
            <w:pPr>
              <w:spacing w:before="0" w:after="0"/>
            </w:pPr>
            <w:r>
              <w:rPr>
                <w:rFonts w:ascii="Arial" w:cs="Arial" w:eastAsia="Arial" w:hAnsi="Arial"/>
                <w:b/>
                <w:bCs/>
                <w:color w:val="C0392B"/>
                <w:sz w:val="18"/>
                <w:szCs w:val="18"/>
              </w:rPr>
              <w:t xml:space="preserve">High</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Medium</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A/B test: 80% ML, 20% rule-based at all times. If ML approval rate drops below rule-based, auto-revert to 100% rule-based. Model only promoted to 100% after outperforming baseline for 30 consecutive days.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$PULSE token demand fails to materialize</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Utility functions activated sequentially — start with Task Boost (highest employer incentive). Monitor PULSE burn rate weekly. If burn rate &lt; issuance rate, increase boost pricing or add new utility.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Developer API abuse or DDoS via public endpoints</w:t>
            </w:r>
          </w:p>
        </w:tc>
        <w:tc>
          <w:tcPr>
            <w:tcW w:type="dxa" w:w="1600"/>
            <w:tcBorders>
              <w:top w:val="single" w:color="DDDDDD" w:sz="4"/>
              <w:left w:val="single" w:color="DDDDDD" w:sz="4"/>
              <w:bottom w:val="single" w:color="DDDDDD" w:sz="4"/>
              <w:right w:val="single" w:color="DDDDDD" w:sz="4"/>
            </w:tcBorders>
            <w:shd w:fill="FFE8E8" w:val="clear"/>
            <w:tcMar>
              <w:top w:type="dxa" w:w="80"/>
              <w:left w:type="dxa" w:w="140"/>
              <w:bottom w:type="dxa" w:w="80"/>
              <w:right w:type="dxa" w:w="100"/>
            </w:tcMar>
          </w:tcPr>
          <w:p>
            <w:pPr>
              <w:spacing w:before="0" w:after="0"/>
            </w:pPr>
            <w:r>
              <w:rPr>
                <w:rFonts w:ascii="Arial" w:cs="Arial" w:eastAsia="Arial" w:hAnsi="Arial"/>
                <w:b/>
                <w:bCs/>
                <w:color w:val="C0392B"/>
                <w:sz w:val="18"/>
                <w:szCs w:val="18"/>
              </w:rPr>
              <w:t xml:space="preserve">High</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Aggressive rate limiting from Day 1. API keys required for all non-public endpoints. CAPTCHA on free tier registration. Cloudflare DDoS protection layer.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Pi DEX liquidity insufficient for PULSE price discovery</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Medium</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Reserve 10% PULSE supply as market stability reserve. Founding team commits to providing initial liquidity. PULSE/PI pair only — no speculative fiat pairs.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Analytics materialized views causing DB write contention</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Medium</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All analytics queries routed to Supabase read replica from Part 2 onwards. Materialized view refresh jobs scheduled during off-peak hours (02:00–06:00 UTC).</w:t>
            </w:r>
          </w:p>
        </w:tc>
      </w:tr>
    </w:tbl>
    <w:p>
      <w:pPr>
        <w:spacing w:before="160" w:after="0"/>
      </w:pPr>
      <w:r>
        <w:t xml:space="preserve"/>
      </w:r>
    </w:p>
    <w:p>
      <w:pPr>
        <w:pStyle w:val="Heading2"/>
        <w:spacing w:before="280" w:after="120"/>
      </w:pPr>
      <w:r>
        <w:rPr>
          <w:rFonts w:ascii="Arial" w:cs="Arial" w:eastAsia="Arial" w:hAnsi="Arial"/>
          <w:b/>
          <w:bCs/>
          <w:color w:val="0E7C86"/>
        </w:rPr>
        <w:t xml:space="preserve">2.7  Development Roadmap — Part 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c>
          <w:tcPr>
            <w:tcW w:type="dxa" w:w="120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Milestone</w:t>
            </w:r>
          </w:p>
        </w:tc>
        <w:tc>
          <w:tcPr>
            <w:tcW w:type="dxa" w:w="220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Timeline</w:t>
            </w:r>
          </w:p>
        </w:tc>
        <w:tc>
          <w:tcPr>
            <w:tcW w:type="dxa" w:w="356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Key Deliverables</w:t>
            </w:r>
          </w:p>
        </w:tc>
        <w:tc>
          <w:tcPr>
            <w:tcW w:type="dxa" w:w="2400"/>
            <w:tcBorders>
              <w:top w:val="single" w:color="0E7C86" w:sz="4"/>
              <w:left w:val="single" w:color="0E7C86" w:sz="4"/>
              <w:bottom w:val="single" w:color="0E7C86" w:sz="4"/>
              <w:right w:val="single" w:color="0E7C86"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Success Criteria</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0E7C86"/>
                <w:sz w:val="18"/>
                <w:szCs w:val="18"/>
              </w:rPr>
              <w:t xml:space="preserve">M2.1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5, Week 1–2</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Feature engineering pipeline for ML matching. Historical data extraction and transformation. Training dataset prepared from Part 1 data.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Feature pipeline produces 9-dimensional worker vectors for 100% of active users.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0E7C86"/>
                <w:sz w:val="18"/>
                <w:szCs w:val="18"/>
              </w:rPr>
              <w:t xml:space="preserve">M2.2</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5, Week 3–4</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ML model v1 trained and validated. A/B testing framework live. Shadow mode: ML predictions logged but rule-based serves responses.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ML model achieves 80%+ accuracy predicting approval outcomes on held-out validation set.</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0E7C86"/>
                <w:sz w:val="18"/>
                <w:szCs w:val="18"/>
              </w:rPr>
              <w:t xml:space="preserve">M2.3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6</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$PULSE token allocated on Pi DEX. PulseToken tables activated. Community rewards issuance running. Task Boost and Submission Boost live.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100+ Task Boost purchases in first 30 days. PULSE burn rate measured and baseline established.</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0E7C86"/>
                <w:sz w:val="18"/>
                <w:szCs w:val="18"/>
              </w:rPr>
              <w:t xml:space="preserve">M2.4</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7</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ML matching live at 50% traffic. API v1 launched. First 10 developer API keys issued to beta partners. Webhook system live.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ML traffic achieves equal or better approval rate vs rule-based. 3+ external integrations calling PiPulse reputation API.</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0E7C86"/>
                <w:sz w:val="18"/>
                <w:szCs w:val="18"/>
              </w:rPr>
              <w:t xml:space="preserve">M2.5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8</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Full analytics dashboards live. Market Intelligence Dashboard live. Materialized views on read replica. Employer analytics active.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Employer task fill rate improves 15%+ with analytics-guided task creation tool.</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0E7C86"/>
                <w:sz w:val="18"/>
                <w:szCs w:val="18"/>
              </w:rPr>
              <w:t xml:space="preserve">M2.6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9</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Advanced fraud ML model deployed. Tier 3 Admin Ruling panel operational. Reputation staking live. Dispute Insurance live.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Fraud false positive rate below 2%. Zero legitimate workers auto-rejected by ML fraud system.</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0E7C86"/>
                <w:sz w:val="18"/>
                <w:szCs w:val="18"/>
              </w:rPr>
              <w:t xml:space="preserve">M2.7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Full public growth launch. Developer portal live. PULSE governance voting infrastructure ready (activation in Part 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50,000+ active users. $PULSE circulating. 3+ external apps integrated via developer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7B3FA0" w:val="clear"/>
            <w:tcMar>
              <w:top w:type="dxa" w:w="200"/>
              <w:left w:type="dxa" w:w="200"/>
              <w:bottom w:type="dxa" w:w="200"/>
              <w:right w:type="dxa" w:w="200"/>
            </w:tcMar>
            <w:vAlign w:val="center"/>
          </w:tcPr>
          <w:p>
            <w:pPr>
              <w:spacing w:before="0" w:after="0"/>
              <w:jc w:val="center"/>
            </w:pPr>
            <w:r>
              <w:rPr>
                <w:rFonts w:ascii="Arial" w:cs="Arial" w:eastAsia="Arial" w:hAnsi="Arial"/>
                <w:b/>
                <w:bCs/>
                <w:color w:val="FFFFFF"/>
                <w:sz w:val="72"/>
                <w:szCs w:val="72"/>
              </w:rPr>
              <w:t xml:space="preserve">PART 3</w:t>
            </w:r>
          </w:p>
        </w:tc>
        <w:tc>
          <w:tcPr>
            <w:tcW w:type="dxa" w:w="7920"/>
            <w:tcBorders>
              <w:top w:val="none" w:color="FFFFFF" w:sz="0"/>
              <w:left w:val="none" w:color="FFFFFF" w:sz="0"/>
              <w:bottom w:val="none" w:color="FFFFFF" w:sz="0"/>
              <w:right w:val="none" w:color="FFFFFF" w:sz="0"/>
            </w:tcBorders>
            <w:shd w:fill="F3EBF8" w:val="clear"/>
            <w:tcMar>
              <w:top w:type="dxa" w:w="160"/>
              <w:left w:type="dxa" w:w="300"/>
              <w:bottom w:type="dxa" w:w="160"/>
              <w:right w:type="dxa" w:w="200"/>
            </w:tcMar>
            <w:vAlign w:val="center"/>
          </w:tcPr>
          <w:p>
            <w:pPr>
              <w:spacing w:before="0" w:after="60"/>
            </w:pPr>
            <w:r>
              <w:rPr>
                <w:rFonts w:ascii="Arial" w:cs="Arial" w:eastAsia="Arial" w:hAnsi="Arial"/>
                <w:b/>
                <w:bCs/>
                <w:color w:val="7B3FA0"/>
                <w:sz w:val="40"/>
                <w:szCs w:val="40"/>
              </w:rPr>
              <w:t xml:space="preserve">Platform Dominance &amp; Ecosystem</w:t>
            </w:r>
          </w:p>
          <w:p>
            <w:pPr>
              <w:spacing w:before="0" w:after="0"/>
            </w:pPr>
            <w:r>
              <w:rPr>
                <w:rFonts w:ascii="Arial" w:cs="Arial" w:eastAsia="Arial" w:hAnsi="Arial"/>
                <w:i/>
                <w:iCs/>
                <w:color w:val="3A3A3A"/>
                <w:sz w:val="22"/>
                <w:szCs w:val="22"/>
              </w:rPr>
              <w:t xml:space="preserve">Becoming Infrastructure — Months 11 through 18</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7B3FA0" w:sz="4"/>
              <w:left w:val="single" w:color="7B3FA0" w:sz="4"/>
              <w:bottom w:val="single" w:color="7B3FA0" w:sz="4"/>
              <w:right w:val="single" w:color="7B3FA0" w:sz="4"/>
            </w:tcBorders>
            <w:shd w:fill="7B3FA0" w:val="clear"/>
            <w:tcMar>
              <w:top w:type="dxa" w:w="120"/>
              <w:left w:type="dxa" w:w="180"/>
              <w:bottom w:type="dxa" w:w="120"/>
              <w:right w:type="dxa" w:w="120"/>
            </w:tcMar>
          </w:tcPr>
          <w:p>
            <w:pPr>
              <w:spacing w:before="0" w:after="40"/>
            </w:pPr>
            <w:r>
              <w:rPr>
                <w:rFonts w:ascii="Arial" w:cs="Arial" w:eastAsia="Arial" w:hAnsi="Arial"/>
                <w:b/>
                <w:bCs/>
                <w:color w:val="FFFFFF"/>
                <w:sz w:val="28"/>
                <w:szCs w:val="28"/>
              </w:rPr>
              <w:t xml:space="preserve">PART 3</w:t>
            </w:r>
          </w:p>
          <w:p>
            <w:pPr>
              <w:spacing w:before="0" w:after="0"/>
            </w:pPr>
            <w:r>
              <w:rPr>
                <w:rFonts w:ascii="Arial" w:cs="Arial" w:eastAsia="Arial" w:hAnsi="Arial"/>
                <w:color w:val="FFFFFF"/>
                <w:sz w:val="19"/>
                <w:szCs w:val="19"/>
              </w:rPr>
              <w:t xml:space="preserve">Platform Dominance &amp; Ecosystem</w:t>
            </w:r>
          </w:p>
        </w:tc>
        <w:tc>
          <w:tcPr>
            <w:tcW w:type="dxa" w:w="2400"/>
            <w:tcBorders>
              <w:top w:val="single" w:color="7B3FA0" w:sz="4"/>
              <w:left w:val="single" w:color="7B3FA0" w:sz="4"/>
              <w:bottom w:val="single" w:color="7B3FA0" w:sz="4"/>
              <w:right w:val="single" w:color="7B3FA0" w:sz="4"/>
            </w:tcBorders>
            <w:shd w:fill="F3EBF8" w:val="clear"/>
            <w:tcMar>
              <w:top w:type="dxa" w:w="120"/>
              <w:left w:type="dxa" w:w="180"/>
              <w:bottom w:type="dxa" w:w="120"/>
              <w:right w:type="dxa" w:w="120"/>
            </w:tcMar>
          </w:tcPr>
          <w:p>
            <w:pPr>
              <w:spacing w:before="0" w:after="40"/>
            </w:pPr>
            <w:r>
              <w:rPr>
                <w:rFonts w:ascii="Arial" w:cs="Arial" w:eastAsia="Arial" w:hAnsi="Arial"/>
                <w:b/>
                <w:bCs/>
                <w:color w:val="7B3FA0"/>
                <w:sz w:val="18"/>
                <w:szCs w:val="18"/>
              </w:rPr>
              <w:t xml:space="preserve">Duration</w:t>
            </w:r>
          </w:p>
          <w:p>
            <w:pPr>
              <w:spacing w:before="0" w:after="0"/>
            </w:pPr>
            <w:r>
              <w:rPr>
                <w:rFonts w:ascii="Arial" w:cs="Arial" w:eastAsia="Arial" w:hAnsi="Arial"/>
                <w:color w:val="3A3A3A"/>
                <w:sz w:val="22"/>
                <w:szCs w:val="22"/>
              </w:rPr>
              <w:t xml:space="preserve">Months 11–18</w:t>
            </w:r>
          </w:p>
        </w:tc>
        <w:tc>
          <w:tcPr>
            <w:tcW w:type="dxa" w:w="2400"/>
            <w:tcBorders>
              <w:top w:val="single" w:color="7B3FA0" w:sz="4"/>
              <w:left w:val="single" w:color="7B3FA0" w:sz="4"/>
              <w:bottom w:val="single" w:color="7B3FA0" w:sz="4"/>
              <w:right w:val="single" w:color="7B3FA0" w:sz="4"/>
            </w:tcBorders>
            <w:shd w:fill="F3EBF8" w:val="clear"/>
            <w:tcMar>
              <w:top w:type="dxa" w:w="120"/>
              <w:left w:type="dxa" w:w="180"/>
              <w:bottom w:type="dxa" w:w="120"/>
              <w:right w:type="dxa" w:w="120"/>
            </w:tcMar>
          </w:tcPr>
          <w:p>
            <w:pPr>
              <w:spacing w:before="0" w:after="40"/>
            </w:pPr>
            <w:r>
              <w:rPr>
                <w:rFonts w:ascii="Arial" w:cs="Arial" w:eastAsia="Arial" w:hAnsi="Arial"/>
                <w:b/>
                <w:bCs/>
                <w:color w:val="7B3FA0"/>
                <w:sz w:val="18"/>
                <w:szCs w:val="18"/>
              </w:rPr>
              <w:t xml:space="preserve">Target Users</w:t>
            </w:r>
          </w:p>
          <w:p>
            <w:pPr>
              <w:spacing w:before="0" w:after="0"/>
            </w:pPr>
            <w:r>
              <w:rPr>
                <w:rFonts w:ascii="Arial" w:cs="Arial" w:eastAsia="Arial" w:hAnsi="Arial"/>
                <w:color w:val="3A3A3A"/>
                <w:sz w:val="22"/>
                <w:szCs w:val="22"/>
              </w:rPr>
              <w:t xml:space="preserve">500K → 5M</w:t>
            </w:r>
          </w:p>
        </w:tc>
        <w:tc>
          <w:tcPr>
            <w:tcW w:type="dxa" w:w="2360"/>
            <w:tcBorders>
              <w:top w:val="single" w:color="7B3FA0" w:sz="4"/>
              <w:left w:val="single" w:color="7B3FA0" w:sz="4"/>
              <w:bottom w:val="single" w:color="7B3FA0" w:sz="4"/>
              <w:right w:val="single" w:color="7B3FA0" w:sz="4"/>
            </w:tcBorders>
            <w:shd w:fill="F3EBF8" w:val="clear"/>
            <w:tcMar>
              <w:top w:type="dxa" w:w="120"/>
              <w:left w:type="dxa" w:w="180"/>
              <w:bottom w:type="dxa" w:w="120"/>
              <w:right w:type="dxa" w:w="120"/>
            </w:tcMar>
          </w:tcPr>
          <w:p>
            <w:pPr>
              <w:spacing w:before="0" w:after="40"/>
            </w:pPr>
            <w:r>
              <w:rPr>
                <w:rFonts w:ascii="Arial" w:cs="Arial" w:eastAsia="Arial" w:hAnsi="Arial"/>
                <w:b/>
                <w:bCs/>
                <w:color w:val="7B3FA0"/>
                <w:sz w:val="18"/>
                <w:szCs w:val="18"/>
              </w:rPr>
              <w:t xml:space="preserve">Primary Goal</w:t>
            </w:r>
          </w:p>
          <w:p>
            <w:pPr>
              <w:spacing w:before="0" w:after="0"/>
            </w:pPr>
            <w:r>
              <w:rPr>
                <w:rFonts w:ascii="Arial" w:cs="Arial" w:eastAsia="Arial" w:hAnsi="Arial"/>
                <w:color w:val="3A3A3A"/>
                <w:sz w:val="20"/>
                <w:szCs w:val="20"/>
              </w:rPr>
              <w:t xml:space="preserve">Become indispensable infrastructure</w:t>
            </w:r>
          </w:p>
        </w:tc>
      </w:tr>
    </w:tbl>
    <w:p>
      <w:pPr>
        <w:spacing w:before="200" w:after="0"/>
      </w:pPr>
      <w:r>
        <w:t xml:space="preserve"/>
      </w:r>
    </w:p>
    <w:p>
      <w:pPr>
        <w:pStyle w:val="Heading2"/>
        <w:spacing w:before="280" w:after="120"/>
      </w:pPr>
      <w:r>
        <w:rPr>
          <w:rFonts w:ascii="Arial" w:cs="Arial" w:eastAsia="Arial" w:hAnsi="Arial"/>
          <w:b/>
          <w:bCs/>
          <w:color w:val="7B3FA0"/>
        </w:rPr>
        <w:t xml:space="preserve">3.1  Core Objective</w:t>
      </w:r>
    </w:p>
    <w:p>
      <w:pPr>
        <w:spacing w:before="80" w:after="100"/>
      </w:pPr>
      <w:r>
        <w:rPr>
          <w:rFonts w:ascii="Arial" w:cs="Arial" w:eastAsia="Arial" w:hAnsi="Arial"/>
          <w:color w:val="3A3A3A"/>
          <w:sz w:val="22"/>
          <w:szCs w:val="22"/>
        </w:rPr>
        <w:t xml:space="preserve">Part 3 is where PiPulse transitions from a product to a platform — and from a platform to infrastructure. The distinction is critical. A product is something users choose to use. Infrastructure is something other builders choose to depend on. When a Pi game integrates PiPulse reputation to gate entry, when an NFT marketplace uses PiPulse identity scores for fraud prevention, when a Pi e-commerce platform uses PiPulse escrow for buyer protection — PiPulse has become infrastructure.</w:t>
      </w:r>
    </w:p>
    <w:p>
      <w:pPr>
        <w:spacing w:before="80" w:after="0"/>
      </w:pPr>
      <w:r>
        <w:t xml:space="preserve"/>
      </w:r>
    </w:p>
    <w:p>
      <w:pPr>
        <w:spacing w:before="80" w:after="100"/>
      </w:pPr>
      <w:r>
        <w:rPr>
          <w:rFonts w:ascii="Arial" w:cs="Arial" w:eastAsia="Arial" w:hAnsi="Arial"/>
          <w:color w:val="3A3A3A"/>
          <w:sz w:val="22"/>
          <w:szCs w:val="22"/>
        </w:rPr>
        <w:t xml:space="preserve">Simultaneously, Part 3 addresses the infrastructure that makes all of this possible at 5 million users: database sharding, geographic CDN routing, dedicated job processing workers, and the beginning of the multi-region architecture that Part 4 completes.</w:t>
      </w:r>
    </w:p>
    <w:p>
      <w:pPr>
        <w:spacing w:before="160" w:after="0"/>
      </w:pPr>
      <w:r>
        <w:t xml:space="preserve"/>
      </w:r>
    </w:p>
    <w:p>
      <w:pPr>
        <w:pStyle w:val="Heading2"/>
        <w:spacing w:before="280" w:after="120"/>
      </w:pPr>
      <w:r>
        <w:rPr>
          <w:rFonts w:ascii="Arial" w:cs="Arial" w:eastAsia="Arial" w:hAnsi="Arial"/>
          <w:b/>
          <w:bCs/>
          <w:color w:val="7B3FA0"/>
        </w:rPr>
        <w:t xml:space="preserve">3.2  Key Features to Be Developed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A0" w:sz="8"/>
              <w:left w:val="single" w:color="7B3FA0" w:sz="8"/>
              <w:bottom w:val="none"/>
              <w:right w:val="none"/>
            </w:tcBorders>
            <w:shd w:fill="F3EBF8" w:val="clear"/>
            <w:tcMar>
              <w:top w:type="dxa" w:w="140"/>
              <w:left w:type="dxa" w:w="240"/>
              <w:bottom w:type="dxa" w:w="140"/>
              <w:right w:type="dxa" w:w="240"/>
            </w:tcMar>
          </w:tcPr>
          <w:p>
            <w:pPr>
              <w:spacing w:before="0" w:after="100"/>
            </w:pPr>
            <w:r>
              <w:rPr>
                <w:rFonts w:ascii="Arial" w:cs="Arial" w:eastAsia="Arial" w:hAnsi="Arial"/>
                <w:b/>
                <w:bCs/>
                <w:color w:val="7B3FA0"/>
                <w:sz w:val="22"/>
                <w:szCs w:val="22"/>
              </w:rPr>
              <w:t xml:space="preserve">Developer Ecosystem Expansion</w:t>
            </w:r>
          </w:p>
          <w:p>
            <w:pPr>
              <w:pStyle w:val="ListParagraph"/>
              <w:numPr>
                <w:ilvl w:val="0"/>
                <w:numId w:val="2"/>
              </w:numPr>
              <w:spacing w:before="40" w:after="40"/>
            </w:pPr>
            <w:r>
              <w:rPr>
                <w:rFonts w:ascii="Arial" w:cs="Arial" w:eastAsia="Arial" w:hAnsi="Arial"/>
                <w:color w:val="3A3A3A"/>
                <w:sz w:val="20"/>
                <w:szCs w:val="20"/>
              </w:rPr>
              <w:t xml:space="preserve">SDK v2: expanded language support (Python, Dart, Java, Swift). Full TypeScript typings. Automatic webhook signature verification library.</w:t>
            </w:r>
          </w:p>
          <w:p>
            <w:pPr>
              <w:pStyle w:val="ListParagraph"/>
              <w:numPr>
                <w:ilvl w:val="0"/>
                <w:numId w:val="2"/>
              </w:numPr>
              <w:spacing w:before="40" w:after="40"/>
            </w:pPr>
            <w:r>
              <w:rPr>
                <w:rFonts w:ascii="Arial" w:cs="Arial" w:eastAsia="Arial" w:hAnsi="Arial"/>
                <w:color w:val="3A3A3A"/>
                <w:sz w:val="20"/>
                <w:szCs w:val="20"/>
              </w:rPr>
              <w:t xml:space="preserve">White-label escrow API: allow third-party Pi applications to use PiPulse's escrow engine for their own transactions with revenue share</w:t>
            </w:r>
          </w:p>
          <w:p>
            <w:pPr>
              <w:pStyle w:val="ListParagraph"/>
              <w:numPr>
                <w:ilvl w:val="0"/>
                <w:numId w:val="2"/>
              </w:numPr>
              <w:spacing w:before="40" w:after="40"/>
            </w:pPr>
            <w:r>
              <w:rPr>
                <w:rFonts w:ascii="Arial" w:cs="Arial" w:eastAsia="Arial" w:hAnsi="Arial"/>
                <w:color w:val="3A3A3A"/>
                <w:sz w:val="20"/>
                <w:szCs w:val="20"/>
              </w:rPr>
              <w:t xml:space="preserve">Reputation score API v2: expanded data fields (category-level breakdown, trend indicators, dispute history summary), bulk reputation queries for employer pre-screening</w:t>
            </w:r>
          </w:p>
          <w:p>
            <w:pPr>
              <w:pStyle w:val="ListParagraph"/>
              <w:numPr>
                <w:ilvl w:val="0"/>
                <w:numId w:val="2"/>
              </w:numPr>
              <w:spacing w:before="40" w:after="40"/>
            </w:pPr>
            <w:r>
              <w:rPr>
                <w:rFonts w:ascii="Arial" w:cs="Arial" w:eastAsia="Arial" w:hAnsi="Arial"/>
                <w:color w:val="3A3A3A"/>
                <w:sz w:val="20"/>
                <w:szCs w:val="20"/>
              </w:rPr>
              <w:t xml:space="preserve">Task posting API with programmatic management: bulk task creation, slot management, deadline extension, budget increase</w:t>
            </w:r>
          </w:p>
          <w:p>
            <w:pPr>
              <w:pStyle w:val="ListParagraph"/>
              <w:numPr>
                <w:ilvl w:val="0"/>
                <w:numId w:val="2"/>
              </w:numPr>
              <w:spacing w:before="40" w:after="40"/>
            </w:pPr>
            <w:r>
              <w:rPr>
                <w:rFonts w:ascii="Arial" w:cs="Arial" w:eastAsia="Arial" w:hAnsi="Arial"/>
                <w:color w:val="3A3A3A"/>
                <w:sz w:val="20"/>
                <w:szCs w:val="20"/>
              </w:rPr>
              <w:t xml:space="preserve">PiPulse App Registry: published directory of Pi apps integrating PiPulse APIs — social proof and discoverability for the developer ecosystem</w:t>
            </w:r>
          </w:p>
          <w:p>
            <w:pPr>
              <w:pStyle w:val="ListParagraph"/>
              <w:numPr>
                <w:ilvl w:val="0"/>
                <w:numId w:val="2"/>
              </w:numPr>
              <w:spacing w:before="40" w:after="40"/>
            </w:pPr>
            <w:r>
              <w:rPr>
                <w:rFonts w:ascii="Arial" w:cs="Arial" w:eastAsia="Arial" w:hAnsi="Arial"/>
                <w:color w:val="3A3A3A"/>
                <w:sz w:val="20"/>
                <w:szCs w:val="20"/>
              </w:rPr>
              <w:t xml:space="preserve">Sandbox environment: full mock Pi Network environment for developer testing without real Pi. Separate sandbox credentials and test data sets.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A0" w:sz="8"/>
              <w:left w:val="single" w:color="7B3FA0" w:sz="8"/>
              <w:bottom w:val="none"/>
              <w:right w:val="none"/>
            </w:tcBorders>
            <w:shd w:fill="F3EBF8" w:val="clear"/>
            <w:tcMar>
              <w:top w:type="dxa" w:w="140"/>
              <w:left w:type="dxa" w:w="240"/>
              <w:bottom w:type="dxa" w:w="140"/>
              <w:right w:type="dxa" w:w="240"/>
            </w:tcMar>
          </w:tcPr>
          <w:p>
            <w:pPr>
              <w:spacing w:before="0" w:after="100"/>
            </w:pPr>
            <w:r>
              <w:rPr>
                <w:rFonts w:ascii="Arial" w:cs="Arial" w:eastAsia="Arial" w:hAnsi="Arial"/>
                <w:b/>
                <w:bCs/>
                <w:color w:val="7B3FA0"/>
                <w:sz w:val="22"/>
                <w:szCs w:val="22"/>
              </w:rPr>
              <w:t xml:space="preserve">$PULSE Governance Activation</w:t>
            </w:r>
          </w:p>
          <w:p>
            <w:pPr>
              <w:pStyle w:val="ListParagraph"/>
              <w:numPr>
                <w:ilvl w:val="0"/>
                <w:numId w:val="2"/>
              </w:numPr>
              <w:spacing w:before="40" w:after="40"/>
            </w:pPr>
            <w:r>
              <w:rPr>
                <w:rFonts w:ascii="Arial" w:cs="Arial" w:eastAsia="Arial" w:hAnsi="Arial"/>
                <w:color w:val="3A3A3A"/>
                <w:sz w:val="20"/>
                <w:szCs w:val="20"/>
              </w:rPr>
              <w:t xml:space="preserve">GovernanceProposal table fully activated: any user with 10,000+ PULSE can submit a platform proposal</w:t>
            </w:r>
          </w:p>
          <w:p>
            <w:pPr>
              <w:pStyle w:val="ListParagraph"/>
              <w:numPr>
                <w:ilvl w:val="0"/>
                <w:numId w:val="2"/>
              </w:numPr>
              <w:spacing w:before="40" w:after="40"/>
            </w:pPr>
            <w:r>
              <w:rPr>
                <w:rFonts w:ascii="Arial" w:cs="Arial" w:eastAsia="Arial" w:hAnsi="Arial"/>
                <w:color w:val="3A3A3A"/>
                <w:sz w:val="20"/>
                <w:szCs w:val="20"/>
              </w:rPr>
              <w:t xml:space="preserve">On-chain voting: each PULSE = 1 vote. Proposals require 7-day voting window and 5% quorum of circulating supply</w:t>
            </w:r>
          </w:p>
          <w:p>
            <w:pPr>
              <w:pStyle w:val="ListParagraph"/>
              <w:numPr>
                <w:ilvl w:val="0"/>
                <w:numId w:val="2"/>
              </w:numPr>
              <w:spacing w:before="40" w:after="40"/>
            </w:pPr>
            <w:r>
              <w:rPr>
                <w:rFonts w:ascii="Arial" w:cs="Arial" w:eastAsia="Arial" w:hAnsi="Arial"/>
                <w:color w:val="3A3A3A"/>
                <w:sz w:val="20"/>
                <w:szCs w:val="20"/>
              </w:rPr>
              <w:t xml:space="preserve">Decision scope for token governance: fee rate changes (within ±2% band), new task category approvals, new API partner approvals, community reward rate adjustments</w:t>
            </w:r>
          </w:p>
          <w:p>
            <w:pPr>
              <w:pStyle w:val="ListParagraph"/>
              <w:numPr>
                <w:ilvl w:val="0"/>
                <w:numId w:val="2"/>
              </w:numPr>
              <w:spacing w:before="40" w:after="40"/>
            </w:pPr>
            <w:r>
              <w:rPr>
                <w:rFonts w:ascii="Arial" w:cs="Arial" w:eastAsia="Arial" w:hAnsi="Arial"/>
                <w:color w:val="3A3A3A"/>
                <w:sz w:val="20"/>
                <w:szCs w:val="20"/>
              </w:rPr>
              <w:t xml:space="preserve">Founding team retains veto on security, legal, and regulatory matters — explicitly documented in governance charter</w:t>
            </w:r>
          </w:p>
          <w:p>
            <w:pPr>
              <w:pStyle w:val="ListParagraph"/>
              <w:numPr>
                <w:ilvl w:val="0"/>
                <w:numId w:val="2"/>
              </w:numPr>
              <w:spacing w:before="40" w:after="40"/>
            </w:pPr>
            <w:r>
              <w:rPr>
                <w:rFonts w:ascii="Arial" w:cs="Arial" w:eastAsia="Arial" w:hAnsi="Arial"/>
                <w:color w:val="3A3A3A"/>
                <w:sz w:val="20"/>
                <w:szCs w:val="20"/>
              </w:rPr>
              <w:t xml:space="preserve">Advisory Council: Top 100 PULSE holders invited to monthly governance calls. Transparency reports published monthly.</w:t>
            </w:r>
          </w:p>
          <w:p>
            <w:pPr>
              <w:pStyle w:val="ListParagraph"/>
              <w:numPr>
                <w:ilvl w:val="0"/>
                <w:numId w:val="2"/>
              </w:numPr>
              <w:spacing w:before="40" w:after="40"/>
            </w:pPr>
            <w:r>
              <w:rPr>
                <w:rFonts w:ascii="Arial" w:cs="Arial" w:eastAsia="Arial" w:hAnsi="Arial"/>
                <w:color w:val="3A3A3A"/>
                <w:sz w:val="20"/>
                <w:szCs w:val="20"/>
              </w:rPr>
              <w:t xml:space="preserve">Governance UI: proposal browsing, voting interface, historical vote outcomes, PULSE balance verification for voting eligibility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A0" w:sz="8"/>
              <w:left w:val="single" w:color="7B3FA0" w:sz="8"/>
              <w:bottom w:val="none"/>
              <w:right w:val="none"/>
            </w:tcBorders>
            <w:shd w:fill="F3EBF8" w:val="clear"/>
            <w:tcMar>
              <w:top w:type="dxa" w:w="140"/>
              <w:left w:type="dxa" w:w="240"/>
              <w:bottom w:type="dxa" w:w="140"/>
              <w:right w:type="dxa" w:w="240"/>
            </w:tcMar>
          </w:tcPr>
          <w:p>
            <w:pPr>
              <w:spacing w:before="0" w:after="100"/>
            </w:pPr>
            <w:r>
              <w:rPr>
                <w:rFonts w:ascii="Arial" w:cs="Arial" w:eastAsia="Arial" w:hAnsi="Arial"/>
                <w:b/>
                <w:bCs/>
                <w:color w:val="7B3FA0"/>
                <w:sz w:val="22"/>
                <w:szCs w:val="22"/>
              </w:rPr>
              <w:t xml:space="preserve">Infrastructure Scaling — Growth to Scale Transition</w:t>
            </w:r>
          </w:p>
          <w:p>
            <w:pPr>
              <w:pStyle w:val="ListParagraph"/>
              <w:numPr>
                <w:ilvl w:val="0"/>
                <w:numId w:val="2"/>
              </w:numPr>
              <w:spacing w:before="40" w:after="40"/>
            </w:pPr>
            <w:r>
              <w:rPr>
                <w:rFonts w:ascii="Arial" w:cs="Arial" w:eastAsia="Arial" w:hAnsi="Arial"/>
                <w:color w:val="3A3A3A"/>
                <w:sz w:val="20"/>
                <w:szCs w:val="20"/>
              </w:rPr>
              <w:t xml:space="preserve">Database connection pooling via PgBouncer or Supabase pooler: configured for 2,000+ concurrent connections without timeouts</w:t>
            </w:r>
          </w:p>
          <w:p>
            <w:pPr>
              <w:pStyle w:val="ListParagraph"/>
              <w:numPr>
                <w:ilvl w:val="0"/>
                <w:numId w:val="2"/>
              </w:numPr>
              <w:spacing w:before="40" w:after="40"/>
            </w:pPr>
            <w:r>
              <w:rPr>
                <w:rFonts w:ascii="Arial" w:cs="Arial" w:eastAsia="Arial" w:hAnsi="Arial"/>
                <w:color w:val="3A3A3A"/>
                <w:sz w:val="20"/>
                <w:szCs w:val="20"/>
              </w:rPr>
              <w:t xml:space="preserve">Read replica promotion: all analytics, leaderboard, and reporting queries routed to dedicated read replica(s) in each primary region</w:t>
            </w:r>
          </w:p>
          <w:p>
            <w:pPr>
              <w:pStyle w:val="ListParagraph"/>
              <w:numPr>
                <w:ilvl w:val="0"/>
                <w:numId w:val="2"/>
              </w:numPr>
              <w:spacing w:before="40" w:after="40"/>
            </w:pPr>
            <w:r>
              <w:rPr>
                <w:rFonts w:ascii="Arial" w:cs="Arial" w:eastAsia="Arial" w:hAnsi="Arial"/>
                <w:color w:val="3A3A3A"/>
                <w:sz w:val="20"/>
                <w:szCs w:val="20"/>
              </w:rPr>
              <w:t xml:space="preserve">CDN for all media: CloudFront or Cloudflare distribution of submission files, audio recordings, and photos. Latency under 50ms globally.</w:t>
            </w:r>
          </w:p>
          <w:p>
            <w:pPr>
              <w:pStyle w:val="ListParagraph"/>
              <w:numPr>
                <w:ilvl w:val="0"/>
                <w:numId w:val="2"/>
              </w:numPr>
              <w:spacing w:before="40" w:after="40"/>
            </w:pPr>
            <w:r>
              <w:rPr>
                <w:rFonts w:ascii="Arial" w:cs="Arial" w:eastAsia="Arial" w:hAnsi="Arial"/>
                <w:color w:val="3A3A3A"/>
                <w:sz w:val="20"/>
                <w:szCs w:val="20"/>
              </w:rPr>
              <w:t xml:space="preserve">Dedicated job worker fleet: separate compute instances for AutoApproval, TaskExpiry, ReputationDecay, and FraudReview jobs — no longer sharing Vercel cron capacity</w:t>
            </w:r>
          </w:p>
          <w:p>
            <w:pPr>
              <w:pStyle w:val="ListParagraph"/>
              <w:numPr>
                <w:ilvl w:val="0"/>
                <w:numId w:val="2"/>
              </w:numPr>
              <w:spacing w:before="40" w:after="40"/>
            </w:pPr>
            <w:r>
              <w:rPr>
                <w:rFonts w:ascii="Arial" w:cs="Arial" w:eastAsia="Arial" w:hAnsi="Arial"/>
                <w:color w:val="3A3A3A"/>
                <w:sz w:val="20"/>
                <w:szCs w:val="20"/>
              </w:rPr>
              <w:t xml:space="preserve">Database partitioning strategy: Transaction table partitioned by month (range partitioning). Submission table partitioned by created year. Maintains sub-100ms queries at 50M+ rows.</w:t>
            </w:r>
          </w:p>
          <w:p>
            <w:pPr>
              <w:pStyle w:val="ListParagraph"/>
              <w:numPr>
                <w:ilvl w:val="0"/>
                <w:numId w:val="2"/>
              </w:numPr>
              <w:spacing w:before="40" w:after="40"/>
            </w:pPr>
            <w:r>
              <w:rPr>
                <w:rFonts w:ascii="Arial" w:cs="Arial" w:eastAsia="Arial" w:hAnsi="Arial"/>
                <w:color w:val="3A3A3A"/>
                <w:sz w:val="20"/>
                <w:szCs w:val="20"/>
              </w:rPr>
              <w:t xml:space="preserve">Monitoring upgrade: full distributed tracing (OpenTelemetry), custom alerting for escrow anomalies, Pi payment failure rates, and ML model performance drift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A0" w:sz="8"/>
              <w:left w:val="single" w:color="7B3FA0" w:sz="8"/>
              <w:bottom w:val="none"/>
              <w:right w:val="none"/>
            </w:tcBorders>
            <w:shd w:fill="F3EBF8" w:val="clear"/>
            <w:tcMar>
              <w:top w:type="dxa" w:w="140"/>
              <w:left w:type="dxa" w:w="240"/>
              <w:bottom w:type="dxa" w:w="140"/>
              <w:right w:type="dxa" w:w="240"/>
            </w:tcMar>
          </w:tcPr>
          <w:p>
            <w:pPr>
              <w:spacing w:before="0" w:after="100"/>
            </w:pPr>
            <w:r>
              <w:rPr>
                <w:rFonts w:ascii="Arial" w:cs="Arial" w:eastAsia="Arial" w:hAnsi="Arial"/>
                <w:b/>
                <w:bCs/>
                <w:color w:val="7B3FA0"/>
                <w:sz w:val="22"/>
                <w:szCs w:val="22"/>
              </w:rPr>
              <w:t xml:space="preserve">Advanced Platform Features</w:t>
            </w:r>
          </w:p>
          <w:p>
            <w:pPr>
              <w:pStyle w:val="ListParagraph"/>
              <w:numPr>
                <w:ilvl w:val="0"/>
                <w:numId w:val="2"/>
              </w:numPr>
              <w:spacing w:before="40" w:after="40"/>
            </w:pPr>
            <w:r>
              <w:rPr>
                <w:rFonts w:ascii="Arial" w:cs="Arial" w:eastAsia="Arial" w:hAnsi="Arial"/>
                <w:color w:val="3A3A3A"/>
                <w:sz w:val="20"/>
                <w:szCs w:val="20"/>
              </w:rPr>
              <w:t xml:space="preserve">Task templates library: most-used task configurations pre-saved. Employers replicate past successful tasks in one click. Reduces time-to-post by 80%.</w:t>
            </w:r>
          </w:p>
          <w:p>
            <w:pPr>
              <w:pStyle w:val="ListParagraph"/>
              <w:numPr>
                <w:ilvl w:val="0"/>
                <w:numId w:val="2"/>
              </w:numPr>
              <w:spacing w:before="40" w:after="40"/>
            </w:pPr>
            <w:r>
              <w:rPr>
                <w:rFonts w:ascii="Arial" w:cs="Arial" w:eastAsia="Arial" w:hAnsi="Arial"/>
                <w:color w:val="3A3A3A"/>
                <w:sz w:val="20"/>
                <w:szCs w:val="20"/>
              </w:rPr>
              <w:t xml:space="preserve">Employer workforce pools: employers can create private worker pools from their best-performing workers. Repeat-hire direct invite system.</w:t>
            </w:r>
          </w:p>
          <w:p>
            <w:pPr>
              <w:pStyle w:val="ListParagraph"/>
              <w:numPr>
                <w:ilvl w:val="0"/>
                <w:numId w:val="2"/>
              </w:numPr>
              <w:spacing w:before="40" w:after="40"/>
            </w:pPr>
            <w:r>
              <w:rPr>
                <w:rFonts w:ascii="Arial" w:cs="Arial" w:eastAsia="Arial" w:hAnsi="Arial"/>
                <w:color w:val="3A3A3A"/>
                <w:sz w:val="20"/>
                <w:szCs w:val="20"/>
              </w:rPr>
              <w:t xml:space="preserve">Worker earnings optimization AI: personalized recommendations based on worker's skill vector. 'Tasks you are 90% likely to have approved' feed.</w:t>
            </w:r>
          </w:p>
          <w:p>
            <w:pPr>
              <w:pStyle w:val="ListParagraph"/>
              <w:numPr>
                <w:ilvl w:val="0"/>
                <w:numId w:val="2"/>
              </w:numPr>
              <w:spacing w:before="40" w:after="40"/>
            </w:pPr>
            <w:r>
              <w:rPr>
                <w:rFonts w:ascii="Arial" w:cs="Arial" w:eastAsia="Arial" w:hAnsi="Arial"/>
                <w:color w:val="3A3A3A"/>
                <w:sz w:val="20"/>
                <w:szCs w:val="20"/>
              </w:rPr>
              <w:t xml:space="preserve">Multi-currency reward support: tasks can offer Pi + PULSE bundle rewards. Worker can choose preferred reward composition.</w:t>
            </w:r>
          </w:p>
          <w:p>
            <w:pPr>
              <w:pStyle w:val="ListParagraph"/>
              <w:numPr>
                <w:ilvl w:val="0"/>
                <w:numId w:val="2"/>
              </w:numPr>
              <w:spacing w:before="40" w:after="40"/>
            </w:pPr>
            <w:r>
              <w:rPr>
                <w:rFonts w:ascii="Arial" w:cs="Arial" w:eastAsia="Arial" w:hAnsi="Arial"/>
                <w:color w:val="3A3A3A"/>
                <w:sz w:val="20"/>
                <w:szCs w:val="20"/>
              </w:rPr>
              <w:t xml:space="preserve">Subscription task plans: employers can set up recurring weekly task batches. Auto-escrow from employer wallet balance. Reduces task management overhead.</w:t>
            </w:r>
          </w:p>
          <w:p>
            <w:pPr>
              <w:pStyle w:val="ListParagraph"/>
              <w:numPr>
                <w:ilvl w:val="0"/>
                <w:numId w:val="2"/>
              </w:numPr>
              <w:spacing w:before="40" w:after="40"/>
            </w:pPr>
            <w:r>
              <w:rPr>
                <w:rFonts w:ascii="Arial" w:cs="Arial" w:eastAsia="Arial" w:hAnsi="Arial"/>
                <w:color w:val="3A3A3A"/>
                <w:sz w:val="20"/>
                <w:szCs w:val="20"/>
              </w:rPr>
              <w:t xml:space="preserve">PiPulse Verified Business accounts: enhanced employer profiles with logo, company description, and verified entity badge. Annual subscription fee in Pi.</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A0" w:sz="8"/>
              <w:left w:val="single" w:color="7B3FA0" w:sz="8"/>
              <w:bottom w:val="none"/>
              <w:right w:val="none"/>
            </w:tcBorders>
            <w:shd w:fill="F3EBF8" w:val="clear"/>
            <w:tcMar>
              <w:top w:type="dxa" w:w="140"/>
              <w:left w:type="dxa" w:w="240"/>
              <w:bottom w:type="dxa" w:w="140"/>
              <w:right w:type="dxa" w:w="240"/>
            </w:tcMar>
          </w:tcPr>
          <w:p>
            <w:pPr>
              <w:spacing w:before="0" w:after="100"/>
            </w:pPr>
            <w:r>
              <w:rPr>
                <w:rFonts w:ascii="Arial" w:cs="Arial" w:eastAsia="Arial" w:hAnsi="Arial"/>
                <w:b/>
                <w:bCs/>
                <w:color w:val="7B3FA0"/>
                <w:sz w:val="22"/>
                <w:szCs w:val="22"/>
              </w:rPr>
              <w:t xml:space="preserve">Regulatory Compliance Infrastructure</w:t>
            </w:r>
          </w:p>
          <w:p>
            <w:pPr>
              <w:pStyle w:val="ListParagraph"/>
              <w:numPr>
                <w:ilvl w:val="0"/>
                <w:numId w:val="2"/>
              </w:numPr>
              <w:spacing w:before="40" w:after="40"/>
            </w:pPr>
            <w:r>
              <w:rPr>
                <w:rFonts w:ascii="Arial" w:cs="Arial" w:eastAsia="Arial" w:hAnsi="Arial"/>
                <w:color w:val="3A3A3A"/>
                <w:sz w:val="20"/>
                <w:szCs w:val="20"/>
              </w:rPr>
              <w:t xml:space="preserve">Data residency controls: user data routed to regional Supabase instances (EU, APAC, Americas) based on user KYC country</w:t>
            </w:r>
          </w:p>
          <w:p>
            <w:pPr>
              <w:pStyle w:val="ListParagraph"/>
              <w:numPr>
                <w:ilvl w:val="0"/>
                <w:numId w:val="2"/>
              </w:numPr>
              <w:spacing w:before="40" w:after="40"/>
            </w:pPr>
            <w:r>
              <w:rPr>
                <w:rFonts w:ascii="Arial" w:cs="Arial" w:eastAsia="Arial" w:hAnsi="Arial"/>
                <w:color w:val="3A3A3A"/>
                <w:sz w:val="20"/>
                <w:szCs w:val="20"/>
              </w:rPr>
              <w:t xml:space="preserve">GDPR compliance toolkit: user data export, right-to-erasure (soft delete with data anonymization), consent management</w:t>
            </w:r>
          </w:p>
          <w:p>
            <w:pPr>
              <w:pStyle w:val="ListParagraph"/>
              <w:numPr>
                <w:ilvl w:val="0"/>
                <w:numId w:val="2"/>
              </w:numPr>
              <w:spacing w:before="40" w:after="40"/>
            </w:pPr>
            <w:r>
              <w:rPr>
                <w:rFonts w:ascii="Arial" w:cs="Arial" w:eastAsia="Arial" w:hAnsi="Arial"/>
                <w:color w:val="3A3A3A"/>
                <w:sz w:val="20"/>
                <w:szCs w:val="20"/>
              </w:rPr>
              <w:t xml:space="preserve">Annual earnings report generation: PDF reports with complete Pi earnings history for every user. Available for download in worker dashboard.</w:t>
            </w:r>
          </w:p>
          <w:p>
            <w:pPr>
              <w:pStyle w:val="ListParagraph"/>
              <w:numPr>
                <w:ilvl w:val="0"/>
                <w:numId w:val="2"/>
              </w:numPr>
              <w:spacing w:before="40" w:after="40"/>
            </w:pPr>
            <w:r>
              <w:rPr>
                <w:rFonts w:ascii="Arial" w:cs="Arial" w:eastAsia="Arial" w:hAnsi="Arial"/>
                <w:color w:val="3A3A3A"/>
                <w:sz w:val="20"/>
                <w:szCs w:val="20"/>
              </w:rPr>
              <w:t xml:space="preserve">Geographic restriction system: task visibility and participation restrictions enforced at database level by country code</w:t>
            </w:r>
          </w:p>
          <w:p>
            <w:pPr>
              <w:pStyle w:val="ListParagraph"/>
              <w:numPr>
                <w:ilvl w:val="0"/>
                <w:numId w:val="2"/>
              </w:numPr>
              <w:spacing w:before="40" w:after="40"/>
            </w:pPr>
            <w:r>
              <w:rPr>
                <w:rFonts w:ascii="Arial" w:cs="Arial" w:eastAsia="Arial" w:hAnsi="Arial"/>
                <w:color w:val="3A3A3A"/>
                <w:sz w:val="20"/>
                <w:szCs w:val="20"/>
              </w:rPr>
              <w:t xml:space="preserve">10% reserve fund established: escrow account holding 10% of all platform fees. Immutable, auditable, never used for operations.</w:t>
            </w:r>
          </w:p>
          <w:p>
            <w:pPr>
              <w:pStyle w:val="ListParagraph"/>
              <w:numPr>
                <w:ilvl w:val="0"/>
                <w:numId w:val="2"/>
              </w:numPr>
              <w:spacing w:before="40" w:after="40"/>
            </w:pPr>
            <w:r>
              <w:rPr>
                <w:rFonts w:ascii="Arial" w:cs="Arial" w:eastAsia="Arial" w:hAnsi="Arial"/>
                <w:color w:val="3A3A3A"/>
                <w:sz w:val="20"/>
                <w:szCs w:val="20"/>
              </w:rPr>
              <w:t xml:space="preserve">Legal entity and Terms of Service update: workers explicitly classified as independent contractors in updated TOS with jurisdictional addenda</w:t>
            </w:r>
          </w:p>
        </w:tc>
      </w:tr>
    </w:tbl>
    <w:p>
      <w:pPr>
        <w:spacing w:before="160" w:after="0"/>
      </w:pPr>
      <w:r>
        <w:t xml:space="preserve"/>
      </w:r>
    </w:p>
    <w:p>
      <w:pPr>
        <w:pStyle w:val="Heading2"/>
        <w:spacing w:before="280" w:after="120"/>
      </w:pPr>
      <w:r>
        <w:rPr>
          <w:rFonts w:ascii="Arial" w:cs="Arial" w:eastAsia="Arial" w:hAnsi="Arial"/>
          <w:b/>
          <w:bCs/>
          <w:color w:val="7B3FA0"/>
        </w:rPr>
        <w:t xml:space="preserve">3.3  Technical Architecture — Part 3 Additions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7B3FA0"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New Component</w:t>
            </w:r>
          </w:p>
        </w:tc>
        <w:tc>
          <w:tcPr>
            <w:tcW w:type="dxa" w:w="7160"/>
            <w:tcBorders>
              <w:top w:val="single" w:color="DDDDDD" w:sz="4"/>
              <w:left w:val="single" w:color="DDDDDD" w:sz="4"/>
              <w:bottom w:val="single" w:color="DDDDDD" w:sz="4"/>
              <w:right w:val="single" w:color="DDDDDD" w:sz="4"/>
            </w:tcBorders>
            <w:shd w:fill="7B3FA0" w:val="clear"/>
            <w:tcMar>
              <w:top w:type="dxa" w:w="80"/>
              <w:left w:type="dxa" w:w="160"/>
              <w:bottom w:type="dxa" w:w="80"/>
              <w:right w:type="dxa" w:w="120"/>
            </w:tcMar>
          </w:tcPr>
          <w:p>
            <w:pPr>
              <w:spacing w:before="0" w:after="0"/>
            </w:pPr>
            <w:r>
              <w:rPr>
                <w:rFonts w:ascii="Arial" w:cs="Arial" w:eastAsia="Arial" w:hAnsi="Arial"/>
                <w:color w:val="FFFFFF"/>
                <w:sz w:val="20"/>
                <w:szCs w:val="20"/>
              </w:rPr>
              <w:t xml:space="preserve">Technology &amp; Rationale</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Multi-Region DB</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Supabase Business tier with read replicas in EU, APAC, and Americas. Write operations to primary (US-East). Read operations geo-routed to nearest replica.</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Job Worker Fleet</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Dedicated EC2 or Railway worker instances for heavy cron jobs. Separate from application tier. Autoscaling based on job queue depth.</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Table Partitioning</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PostgreSQL range partitioning on Transaction (by month) and Submission (by year). Partition pruning ensures queries only scan relevant partitions.</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Governance Engine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Smart contract on Pi Network (if supported) or off-chain vote tallying with on-chain result anchoring. Quadratic voting considered for Part 4.</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White-Label Escrow API</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Isolated EscrowService module exposed via REST API. Third-party apps submit payment details; PiPulse holds and releases on webhook callbacks.</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Developer Portal</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Dedicated subdomain (developers.pipulse.io). Docusaurus or custom Next.js portal. Interactive API playground powered by Swagger UI.</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Analytics Data Warehouse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Nightly export of PlatformMetric aggregates to BigQuery or Clickhouse. Enables complex historical analysis without impacting primary DB.</w:t>
            </w:r>
          </w:p>
        </w:tc>
      </w:tr>
    </w:tbl>
    <w:p>
      <w:pPr>
        <w:spacing w:before="160" w:after="0"/>
      </w:pPr>
      <w:r>
        <w:t xml:space="preserve"/>
      </w:r>
    </w:p>
    <w:p>
      <w:pPr>
        <w:pStyle w:val="Heading2"/>
        <w:spacing w:before="280" w:after="120"/>
      </w:pPr>
      <w:r>
        <w:rPr>
          <w:rFonts w:ascii="Arial" w:cs="Arial" w:eastAsia="Arial" w:hAnsi="Arial"/>
          <w:b/>
          <w:bCs/>
          <w:color w:val="7B3FA0"/>
        </w:rPr>
        <w:t xml:space="preserve">3.4  The Developer Ecosystem Flywheel</w:t>
      </w:r>
    </w:p>
    <w:p>
      <w:pPr>
        <w:spacing w:before="80" w:after="0"/>
      </w:pPr>
      <w:r>
        <w:t xml:space="preserve"/>
      </w:r>
    </w:p>
    <w:p>
      <w:pPr>
        <w:spacing w:before="80" w:after="100"/>
      </w:pPr>
      <w:r>
        <w:rPr>
          <w:rFonts w:ascii="Arial" w:cs="Arial" w:eastAsia="Arial" w:hAnsi="Arial"/>
          <w:color w:val="3A3A3A"/>
          <w:sz w:val="22"/>
          <w:szCs w:val="22"/>
        </w:rPr>
        <w:t xml:space="preserve">The most powerful compounding dynamic in Part 3 is the developer ecosystem flywheel. Understanding this flywheel explains why the developer API is not a feature — it is a moat-creation mechanism.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Flywheel Stage</w:t>
            </w:r>
          </w:p>
        </w:tc>
        <w:tc>
          <w:tcPr>
            <w:tcW w:type="dxa" w:w="3120"/>
            <w:tcBorders>
              <w:top w:val="single" w:color="DDDDDD" w:sz="4"/>
              <w:left w:val="single" w:color="DDDDDD" w:sz="4"/>
              <w:bottom w:val="single" w:color="DDDDDD" w:sz="4"/>
              <w:right w:val="single" w:color="DDDDDD"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What Happens</w:t>
            </w:r>
          </w:p>
        </w:tc>
        <w:tc>
          <w:tcPr>
            <w:tcW w:type="dxa" w:w="3120"/>
            <w:tcBorders>
              <w:top w:val="single" w:color="DDDDDD" w:sz="4"/>
              <w:left w:val="single" w:color="DDDDDD" w:sz="4"/>
              <w:bottom w:val="single" w:color="DDDDDD" w:sz="4"/>
              <w:right w:val="single" w:color="DDDDDD"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Resulting Moat</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Stage 1: Integrate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Pi game integrates PiPulse reputation API to gate entry (min score 300 required)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PiPulse becomes valuable to game players — they need PiPulse score to play</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Stage 2: Demand</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Players actively use PiPulse to build reputation so they can access the game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PiPulse user base grows from external app's user acquisition</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Stage 3: Data</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More PiPulse usage generates more reputation data, improving ML matching accuracy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PiPulse data moat deepens — competitor cannot replicate without years of transaction history</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Stage 4: Dependency</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Game's user trust now depends on PiPulse reputation. Removing integration would break user trust.</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PiPulse becomes infrastructure — removing it breaks dependent apps</w:t>
            </w:r>
          </w:p>
        </w:tc>
      </w:tr>
      <w:tr>
        <w:tc>
          <w:tcPr>
            <w:tcW w:type="dxa" w:w="312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Stage 5: Expansion</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Seeing success, more Pi apps integrate PiPulse. Each integration deepens the flywheel.</w:t>
            </w:r>
          </w:p>
        </w:tc>
        <w:tc>
          <w:tcPr>
            <w:tcW w:type="dxa" w:w="312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PiPulse reputation becomes the universal identity layer for all Pi commerce</w:t>
            </w:r>
          </w:p>
        </w:tc>
      </w:tr>
    </w:tbl>
    <w:p>
      <w:pPr>
        <w:spacing w:before="160" w:after="0"/>
      </w:pPr>
      <w:r>
        <w:t xml:space="preserve"/>
      </w:r>
    </w:p>
    <w:p>
      <w:pPr>
        <w:pStyle w:val="Heading2"/>
        <w:spacing w:before="280" w:after="120"/>
      </w:pPr>
      <w:r>
        <w:rPr>
          <w:rFonts w:ascii="Arial" w:cs="Arial" w:eastAsia="Arial" w:hAnsi="Arial"/>
          <w:b/>
          <w:bCs/>
          <w:color w:val="7B3FA0"/>
        </w:rPr>
        <w:t xml:space="preserve">3.5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none"/>
              <w:right w:val="none"/>
            </w:tcBorders>
            <w:shd w:fill="FFF0F0" w:val="clear"/>
            <w:tcMar>
              <w:top w:type="dxa" w:w="140"/>
              <w:left w:type="dxa" w:w="240"/>
              <w:bottom w:type="dxa" w:w="140"/>
              <w:right w:type="dxa" w:w="240"/>
            </w:tcMar>
          </w:tcPr>
          <w:p>
            <w:pPr>
              <w:spacing w:before="0" w:after="100"/>
            </w:pPr>
            <w:r>
              <w:rPr>
                <w:rFonts w:ascii="Arial" w:cs="Arial" w:eastAsia="Arial" w:hAnsi="Arial"/>
                <w:b/>
                <w:bCs/>
                <w:color w:val="C0392B"/>
                <w:sz w:val="22"/>
                <w:szCs w:val="22"/>
              </w:rPr>
              <w:t xml:space="preserve">Part 2 Completion Requirements (hard gates for Part 3)</w:t>
            </w:r>
          </w:p>
          <w:p>
            <w:pPr>
              <w:pStyle w:val="ListParagraph"/>
              <w:numPr>
                <w:ilvl w:val="0"/>
                <w:numId w:val="2"/>
              </w:numPr>
              <w:spacing w:before="40" w:after="40"/>
            </w:pPr>
            <w:r>
              <w:rPr>
                <w:rFonts w:ascii="Arial" w:cs="Arial" w:eastAsia="Arial" w:hAnsi="Arial"/>
                <w:color w:val="3A3A3A"/>
                <w:sz w:val="20"/>
                <w:szCs w:val="20"/>
              </w:rPr>
              <w:t xml:space="preserve">$PULSE token must be live with demonstrable demand (daily burn rate &gt; daily issuance) before governance activation — governance with a worthless token is theater</w:t>
            </w:r>
          </w:p>
          <w:p>
            <w:pPr>
              <w:pStyle w:val="ListParagraph"/>
              <w:numPr>
                <w:ilvl w:val="0"/>
                <w:numId w:val="2"/>
              </w:numPr>
              <w:spacing w:before="40" w:after="40"/>
            </w:pPr>
            <w:r>
              <w:rPr>
                <w:rFonts w:ascii="Arial" w:cs="Arial" w:eastAsia="Arial" w:hAnsi="Arial"/>
                <w:color w:val="3A3A3A"/>
                <w:sz w:val="20"/>
                <w:szCs w:val="20"/>
              </w:rPr>
              <w:t xml:space="preserve">ML matching model must be at 90%+ recall on known fraud patterns before white-label escrow API is offered to third parties — third-party Pi is our responsibility</w:t>
            </w:r>
          </w:p>
          <w:p>
            <w:pPr>
              <w:pStyle w:val="ListParagraph"/>
              <w:numPr>
                <w:ilvl w:val="0"/>
                <w:numId w:val="2"/>
              </w:numPr>
              <w:spacing w:before="40" w:after="40"/>
            </w:pPr>
            <w:r>
              <w:rPr>
                <w:rFonts w:ascii="Arial" w:cs="Arial" w:eastAsia="Arial" w:hAnsi="Arial"/>
                <w:color w:val="3A3A3A"/>
                <w:sz w:val="20"/>
                <w:szCs w:val="20"/>
              </w:rPr>
              <w:t xml:space="preserve">Developer API v1 must have at least 5 active external integrations in production before SDK v2 and App Registry are prioritized</w:t>
            </w:r>
          </w:p>
          <w:p>
            <w:pPr>
              <w:pStyle w:val="ListParagraph"/>
              <w:numPr>
                <w:ilvl w:val="0"/>
                <w:numId w:val="2"/>
              </w:numPr>
              <w:spacing w:before="40" w:after="40"/>
            </w:pPr>
            <w:r>
              <w:rPr>
                <w:rFonts w:ascii="Arial" w:cs="Arial" w:eastAsia="Arial" w:hAnsi="Arial"/>
                <w:color w:val="3A3A3A"/>
                <w:sz w:val="20"/>
                <w:szCs w:val="20"/>
              </w:rPr>
              <w:t xml:space="preserve">Database table partitioning strategy must be finalized and migration path documented before Part 3 user growth targets are pursued</w:t>
            </w:r>
          </w:p>
        </w:tc>
      </w:tr>
    </w:tbl>
    <w:p>
      <w:pPr>
        <w:spacing w:before="160" w:after="0"/>
      </w:pPr>
      <w:r>
        <w:t xml:space="preserve"/>
      </w:r>
    </w:p>
    <w:p>
      <w:pPr>
        <w:pStyle w:val="Heading2"/>
        <w:spacing w:before="280" w:after="120"/>
      </w:pPr>
      <w:r>
        <w:rPr>
          <w:rFonts w:ascii="Arial" w:cs="Arial" w:eastAsia="Arial" w:hAnsi="Arial"/>
          <w:b/>
          <w:bCs/>
          <w:color w:val="7B3FA0"/>
        </w:rPr>
        <w:t xml:space="preserve">3.6  Risks &amp; Mitigation Strategies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Risk</w:t>
            </w:r>
          </w:p>
        </w:tc>
        <w:tc>
          <w:tcPr>
            <w:tcW w:type="dxa" w:w="160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Probability</w:t>
            </w:r>
          </w:p>
        </w:tc>
        <w:tc>
          <w:tcPr>
            <w:tcW w:type="dxa" w:w="160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Impact</w:t>
            </w:r>
          </w:p>
        </w:tc>
        <w:tc>
          <w:tcPr>
            <w:tcW w:type="dxa" w:w="396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Mitigation Strategy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Governance captured by whale PULSE holders</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Quadratic voting mechanism considered (voting power = sqrt of PULSE held). Hard veto for founding team on security and legal matters. Quorum requirement prevents small-group decisions.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White-label escrow API misused by bad-actor Pi apps</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API key required with KYC'd entity verification for escrow access. Smart contract rate limits on escrow volume per API key. Anomaly detection on escrow patterns from third-party apps.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Database partitioning migration causing downtime</w:t>
            </w:r>
          </w:p>
        </w:tc>
        <w:tc>
          <w:tcPr>
            <w:tcW w:type="dxa" w:w="1600"/>
            <w:tcBorders>
              <w:top w:val="single" w:color="DDDDDD" w:sz="4"/>
              <w:left w:val="single" w:color="DDDDDD" w:sz="4"/>
              <w:bottom w:val="single" w:color="DDDDDD" w:sz="4"/>
              <w:right w:val="single" w:color="DDDDDD" w:sz="4"/>
            </w:tcBorders>
            <w:shd w:fill="E8F5E9" w:val="clear"/>
            <w:tcMar>
              <w:top w:type="dxa" w:w="80"/>
              <w:left w:type="dxa" w:w="140"/>
              <w:bottom w:type="dxa" w:w="80"/>
              <w:right w:type="dxa" w:w="100"/>
            </w:tcMar>
          </w:tcPr>
          <w:p>
            <w:pPr>
              <w:spacing w:before="0" w:after="0"/>
            </w:pPr>
            <w:r>
              <w:rPr>
                <w:rFonts w:ascii="Arial" w:cs="Arial" w:eastAsia="Arial" w:hAnsi="Arial"/>
                <w:b/>
                <w:bCs/>
                <w:color w:val="1E7E34"/>
                <w:sz w:val="18"/>
                <w:szCs w:val="18"/>
              </w:rPr>
              <w:t xml:space="preserve">Low</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Partitioning migration executed during planned maintenance window with full DB snapshot. Rollback procedure tested on staging with production data clone.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Regulatory action in key markets (EU, India, Nigeria)</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Data residency controls reduce EU exposure. Geographic restriction system allows market-specific compliance. Legal counsel retained in top-5 user markets by Month 12.</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Competitor platform (another Pi app) copies architecture</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Medium</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Data moat and network effects are the primary defense — not code secrecy. First-mover advantage in reputation data is irreplicable. Accelerate ecosystem integrations to increase switching cost.</w:t>
            </w:r>
          </w:p>
        </w:tc>
      </w:tr>
    </w:tbl>
    <w:p>
      <w:pPr>
        <w:spacing w:before="160" w:after="0"/>
      </w:pPr>
      <w:r>
        <w:t xml:space="preserve"/>
      </w:r>
    </w:p>
    <w:p>
      <w:pPr>
        <w:pStyle w:val="Heading2"/>
        <w:spacing w:before="280" w:after="120"/>
      </w:pPr>
      <w:r>
        <w:rPr>
          <w:rFonts w:ascii="Arial" w:cs="Arial" w:eastAsia="Arial" w:hAnsi="Arial"/>
          <w:b/>
          <w:bCs/>
          <w:color w:val="7B3FA0"/>
        </w:rPr>
        <w:t xml:space="preserve">3.7  Development Roadmap — Part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c>
          <w:tcPr>
            <w:tcW w:type="dxa" w:w="120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Milestone</w:t>
            </w:r>
          </w:p>
        </w:tc>
        <w:tc>
          <w:tcPr>
            <w:tcW w:type="dxa" w:w="220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Timeline</w:t>
            </w:r>
          </w:p>
        </w:tc>
        <w:tc>
          <w:tcPr>
            <w:tcW w:type="dxa" w:w="356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Key Deliverables</w:t>
            </w:r>
          </w:p>
        </w:tc>
        <w:tc>
          <w:tcPr>
            <w:tcW w:type="dxa" w:w="2400"/>
            <w:tcBorders>
              <w:top w:val="single" w:color="7B3FA0" w:sz="4"/>
              <w:left w:val="single" w:color="7B3FA0" w:sz="4"/>
              <w:bottom w:val="single" w:color="7B3FA0" w:sz="4"/>
              <w:right w:val="single" w:color="7B3FA0" w:sz="4"/>
            </w:tcBorders>
            <w:shd w:fill="7B3FA0"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Success Criteria</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7B3FA0"/>
                <w:sz w:val="18"/>
                <w:szCs w:val="18"/>
              </w:rPr>
              <w:t xml:space="preserve">M3.1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11–12</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Database partitioning live. Read replicas deployed. Job worker fleet migrated off Vercel cron. Performance benchmarks validated at 1M+ row scale.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Sub-100ms p95 query latency maintained at 5x current data volume in load testing.</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7B3FA0"/>
                <w:sz w:val="18"/>
                <w:szCs w:val="18"/>
              </w:rPr>
              <w:t xml:space="preserve">M3.2</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12–13</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Developer SDK v2 published (Python, Dart, TypeScript). Sandbox environment live. Developer portal launched at developers.pipulse.io.</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10+ new external integrations within 60 days of SDK v2 launch.</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7B3FA0"/>
                <w:sz w:val="18"/>
                <w:szCs w:val="18"/>
              </w:rPr>
              <w:t xml:space="preserve">M3.3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13–14</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White-label escrow API v1 live. First 3 partner Pi apps using PiPulse escrow for their own transactions. Revenue share model active.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Partner apps process 1,000+ escrow transactions via API in first 30 days.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7B3FA0"/>
                <w:sz w:val="18"/>
                <w:szCs w:val="18"/>
              </w:rPr>
              <w:t xml:space="preserve">M3.4</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14–15</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$PULSE governance activated. GovernanceProposal live. Advisory Council formed. First 3 community proposals submitted and voted.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Governance participation rate: 15%+ of eligible PULSE holders vote on first proposal.</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7B3FA0"/>
                <w:sz w:val="18"/>
                <w:szCs w:val="18"/>
              </w:rPr>
              <w:t xml:space="preserve">M3.5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15–16</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Employer workforce pools live. Task templates library. Worker earnings optimization AI deployed. Multi-currency reward bundles.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Employer repeat-hire rate increases 25%+ from Part 2 baseline.</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7B3FA0"/>
                <w:sz w:val="18"/>
                <w:szCs w:val="18"/>
              </w:rPr>
              <w:t xml:space="preserve">M3.6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16–17</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GDPR compliance toolkit live. Earnings report generation live. Data residency routing active for EU and APAC users. Reserve fund established.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Zero GDPR complaints unresolved within 30 days. Reserve fund holds 10% of all fees.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7B3FA0"/>
                <w:sz w:val="18"/>
                <w:szCs w:val="18"/>
              </w:rPr>
              <w:t xml:space="preserve">M3.7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18</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Analytics data warehouse operational. Market Intelligence Dashboard v2 live. PiPulse App Registry published with 20+ integrations.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500,000 active users. 20+ external apps integrated. Monthly Pi circulation exceeds 1,000,000 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8922A" w:val="clear"/>
            <w:tcMar>
              <w:top w:type="dxa" w:w="200"/>
              <w:left w:type="dxa" w:w="200"/>
              <w:bottom w:type="dxa" w:w="200"/>
              <w:right w:type="dxa" w:w="200"/>
            </w:tcMar>
            <w:vAlign w:val="center"/>
          </w:tcPr>
          <w:p>
            <w:pPr>
              <w:spacing w:before="0" w:after="0"/>
              <w:jc w:val="center"/>
            </w:pPr>
            <w:r>
              <w:rPr>
                <w:rFonts w:ascii="Arial" w:cs="Arial" w:eastAsia="Arial" w:hAnsi="Arial"/>
                <w:b/>
                <w:bCs/>
                <w:color w:val="FFFFFF"/>
                <w:sz w:val="72"/>
                <w:szCs w:val="72"/>
              </w:rPr>
              <w:t xml:space="preserve">PART 4</w:t>
            </w:r>
          </w:p>
        </w:tc>
        <w:tc>
          <w:tcPr>
            <w:tcW w:type="dxa" w:w="7920"/>
            <w:tcBorders>
              <w:top w:val="none" w:color="FFFFFF" w:sz="0"/>
              <w:left w:val="none" w:color="FFFFFF" w:sz="0"/>
              <w:bottom w:val="none" w:color="FFFFFF" w:sz="0"/>
              <w:right w:val="none" w:color="FFFFFF" w:sz="0"/>
            </w:tcBorders>
            <w:shd w:fill="FDF3E3" w:val="clear"/>
            <w:tcMar>
              <w:top w:type="dxa" w:w="160"/>
              <w:left w:type="dxa" w:w="300"/>
              <w:bottom w:type="dxa" w:w="160"/>
              <w:right w:type="dxa" w:w="200"/>
            </w:tcMar>
            <w:vAlign w:val="center"/>
          </w:tcPr>
          <w:p>
            <w:pPr>
              <w:spacing w:before="0" w:after="60"/>
            </w:pPr>
            <w:r>
              <w:rPr>
                <w:rFonts w:ascii="Arial" w:cs="Arial" w:eastAsia="Arial" w:hAnsi="Arial"/>
                <w:b/>
                <w:bCs/>
                <w:color w:val="C8922A"/>
                <w:sz w:val="40"/>
                <w:szCs w:val="40"/>
              </w:rPr>
              <w:t xml:space="preserve">Global Infrastructure &amp; Legacy</w:t>
            </w:r>
          </w:p>
          <w:p>
            <w:pPr>
              <w:spacing w:before="0" w:after="0"/>
            </w:pPr>
            <w:r>
              <w:rPr>
                <w:rFonts w:ascii="Arial" w:cs="Arial" w:eastAsia="Arial" w:hAnsi="Arial"/>
                <w:i/>
                <w:iCs/>
                <w:color w:val="3A3A3A"/>
                <w:sz w:val="22"/>
                <w:szCs w:val="22"/>
              </w:rPr>
              <w:t xml:space="preserve">The Indispensable Layer — Months 19 through 36</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8922A" w:sz="4"/>
              <w:left w:val="single" w:color="C8922A" w:sz="4"/>
              <w:bottom w:val="single" w:color="C8922A" w:sz="4"/>
              <w:right w:val="single" w:color="C8922A" w:sz="4"/>
            </w:tcBorders>
            <w:shd w:fill="C8922A" w:val="clear"/>
            <w:tcMar>
              <w:top w:type="dxa" w:w="120"/>
              <w:left w:type="dxa" w:w="180"/>
              <w:bottom w:type="dxa" w:w="120"/>
              <w:right w:type="dxa" w:w="120"/>
            </w:tcMar>
          </w:tcPr>
          <w:p>
            <w:pPr>
              <w:spacing w:before="0" w:after="40"/>
            </w:pPr>
            <w:r>
              <w:rPr>
                <w:rFonts w:ascii="Arial" w:cs="Arial" w:eastAsia="Arial" w:hAnsi="Arial"/>
                <w:b/>
                <w:bCs/>
                <w:color w:val="FFFFFF"/>
                <w:sz w:val="28"/>
                <w:szCs w:val="28"/>
              </w:rPr>
              <w:t xml:space="preserve">PART 4</w:t>
            </w:r>
          </w:p>
          <w:p>
            <w:pPr>
              <w:spacing w:before="0" w:after="0"/>
            </w:pPr>
            <w:r>
              <w:rPr>
                <w:rFonts w:ascii="Arial" w:cs="Arial" w:eastAsia="Arial" w:hAnsi="Arial"/>
                <w:color w:val="FFFFFF"/>
                <w:sz w:val="19"/>
                <w:szCs w:val="19"/>
              </w:rPr>
              <w:t xml:space="preserve">Global Infrastructure &amp; Legacy</w:t>
            </w:r>
          </w:p>
        </w:tc>
        <w:tc>
          <w:tcPr>
            <w:tcW w:type="dxa" w:w="2400"/>
            <w:tcBorders>
              <w:top w:val="single" w:color="C8922A" w:sz="4"/>
              <w:left w:val="single" w:color="C8922A" w:sz="4"/>
              <w:bottom w:val="single" w:color="C8922A" w:sz="4"/>
              <w:right w:val="single" w:color="C8922A" w:sz="4"/>
            </w:tcBorders>
            <w:shd w:fill="FDF3E3" w:val="clear"/>
            <w:tcMar>
              <w:top w:type="dxa" w:w="120"/>
              <w:left w:type="dxa" w:w="180"/>
              <w:bottom w:type="dxa" w:w="120"/>
              <w:right w:type="dxa" w:w="120"/>
            </w:tcMar>
          </w:tcPr>
          <w:p>
            <w:pPr>
              <w:spacing w:before="0" w:after="40"/>
            </w:pPr>
            <w:r>
              <w:rPr>
                <w:rFonts w:ascii="Arial" w:cs="Arial" w:eastAsia="Arial" w:hAnsi="Arial"/>
                <w:b/>
                <w:bCs/>
                <w:color w:val="C8922A"/>
                <w:sz w:val="18"/>
                <w:szCs w:val="18"/>
              </w:rPr>
              <w:t xml:space="preserve">Duration</w:t>
            </w:r>
          </w:p>
          <w:p>
            <w:pPr>
              <w:spacing w:before="0" w:after="0"/>
            </w:pPr>
            <w:r>
              <w:rPr>
                <w:rFonts w:ascii="Arial" w:cs="Arial" w:eastAsia="Arial" w:hAnsi="Arial"/>
                <w:color w:val="3A3A3A"/>
                <w:sz w:val="22"/>
                <w:szCs w:val="22"/>
              </w:rPr>
              <w:t xml:space="preserve">Months 19–36</w:t>
            </w:r>
          </w:p>
        </w:tc>
        <w:tc>
          <w:tcPr>
            <w:tcW w:type="dxa" w:w="2400"/>
            <w:tcBorders>
              <w:top w:val="single" w:color="C8922A" w:sz="4"/>
              <w:left w:val="single" w:color="C8922A" w:sz="4"/>
              <w:bottom w:val="single" w:color="C8922A" w:sz="4"/>
              <w:right w:val="single" w:color="C8922A" w:sz="4"/>
            </w:tcBorders>
            <w:shd w:fill="FDF3E3" w:val="clear"/>
            <w:tcMar>
              <w:top w:type="dxa" w:w="120"/>
              <w:left w:type="dxa" w:w="180"/>
              <w:bottom w:type="dxa" w:w="120"/>
              <w:right w:type="dxa" w:w="120"/>
            </w:tcMar>
          </w:tcPr>
          <w:p>
            <w:pPr>
              <w:spacing w:before="0" w:after="40"/>
            </w:pPr>
            <w:r>
              <w:rPr>
                <w:rFonts w:ascii="Arial" w:cs="Arial" w:eastAsia="Arial" w:hAnsi="Arial"/>
                <w:b/>
                <w:bCs/>
                <w:color w:val="C8922A"/>
                <w:sz w:val="18"/>
                <w:szCs w:val="18"/>
              </w:rPr>
              <w:t xml:space="preserve">Target Users</w:t>
            </w:r>
          </w:p>
          <w:p>
            <w:pPr>
              <w:spacing w:before="0" w:after="0"/>
            </w:pPr>
            <w:r>
              <w:rPr>
                <w:rFonts w:ascii="Arial" w:cs="Arial" w:eastAsia="Arial" w:hAnsi="Arial"/>
                <w:color w:val="3A3A3A"/>
                <w:sz w:val="22"/>
                <w:szCs w:val="22"/>
              </w:rPr>
              <w:t xml:space="preserve">5M → 50M+</w:t>
            </w:r>
          </w:p>
        </w:tc>
        <w:tc>
          <w:tcPr>
            <w:tcW w:type="dxa" w:w="2360"/>
            <w:tcBorders>
              <w:top w:val="single" w:color="C8922A" w:sz="4"/>
              <w:left w:val="single" w:color="C8922A" w:sz="4"/>
              <w:bottom w:val="single" w:color="C8922A" w:sz="4"/>
              <w:right w:val="single" w:color="C8922A" w:sz="4"/>
            </w:tcBorders>
            <w:shd w:fill="FDF3E3" w:val="clear"/>
            <w:tcMar>
              <w:top w:type="dxa" w:w="120"/>
              <w:left w:type="dxa" w:w="180"/>
              <w:bottom w:type="dxa" w:w="120"/>
              <w:right w:type="dxa" w:w="120"/>
            </w:tcMar>
          </w:tcPr>
          <w:p>
            <w:pPr>
              <w:spacing w:before="0" w:after="40"/>
            </w:pPr>
            <w:r>
              <w:rPr>
                <w:rFonts w:ascii="Arial" w:cs="Arial" w:eastAsia="Arial" w:hAnsi="Arial"/>
                <w:b/>
                <w:bCs/>
                <w:color w:val="C8922A"/>
                <w:sz w:val="18"/>
                <w:szCs w:val="18"/>
              </w:rPr>
              <w:t xml:space="preserve">Primary Goal</w:t>
            </w:r>
          </w:p>
          <w:p>
            <w:pPr>
              <w:spacing w:before="0" w:after="0"/>
            </w:pPr>
            <w:r>
              <w:rPr>
                <w:rFonts w:ascii="Arial" w:cs="Arial" w:eastAsia="Arial" w:hAnsi="Arial"/>
                <w:color w:val="3A3A3A"/>
                <w:sz w:val="20"/>
                <w:szCs w:val="20"/>
              </w:rPr>
              <w:t xml:space="preserve">Achieve infrastructure-layer dominance</w:t>
            </w:r>
          </w:p>
        </w:tc>
      </w:tr>
    </w:tbl>
    <w:p>
      <w:pPr>
        <w:spacing w:before="200" w:after="0"/>
      </w:pPr>
      <w:r>
        <w:t xml:space="preserve"/>
      </w:r>
    </w:p>
    <w:p>
      <w:pPr>
        <w:pStyle w:val="Heading2"/>
        <w:spacing w:before="280" w:after="120"/>
      </w:pPr>
      <w:r>
        <w:rPr>
          <w:rFonts w:ascii="Arial" w:cs="Arial" w:eastAsia="Arial" w:hAnsi="Arial"/>
          <w:b/>
          <w:bCs/>
          <w:color w:val="C8922A"/>
        </w:rPr>
        <w:t xml:space="preserve">4.1  Core Objective</w:t>
      </w:r>
    </w:p>
    <w:p>
      <w:pPr>
        <w:spacing w:before="80" w:after="100"/>
      </w:pPr>
      <w:r>
        <w:rPr>
          <w:rFonts w:ascii="Arial" w:cs="Arial" w:eastAsia="Arial" w:hAnsi="Arial"/>
          <w:color w:val="3A3A3A"/>
          <w:sz w:val="22"/>
          <w:szCs w:val="22"/>
        </w:rPr>
        <w:t xml:space="preserve">Part 4 is the realization of the founding mandate. By this phase, PiPulse is no longer competing to be the dominant Pi platform — it is the dominant Pi platform, and the work is to make that dominance permanent, technically unassailable, and economically self-reinforcing. This phase completes the multi-region architecture, activates full microservices decomposition, implements event sourcing for perfect auditability, and launches the enterprise-grade API tier that makes PiPulse revenue from large organizations, not just individual Pioneers.</w:t>
      </w:r>
    </w:p>
    <w:p>
      <w:pPr>
        <w:spacing w:before="80" w:after="0"/>
      </w:pPr>
      <w:r>
        <w:t xml:space="preserve"/>
      </w:r>
    </w:p>
    <w:p>
      <w:pPr>
        <w:spacing w:before="80" w:after="100"/>
      </w:pPr>
      <w:r>
        <w:rPr>
          <w:rFonts w:ascii="Arial" w:cs="Arial" w:eastAsia="Arial" w:hAnsi="Arial"/>
          <w:color w:val="3A3A3A"/>
          <w:sz w:val="22"/>
          <w:szCs w:val="22"/>
        </w:rPr>
        <w:t xml:space="preserve">The metric that defines Part 4 success is not user count or revenue — it is irreversibility. PiPulse must become so deeply embedded in the Pi ecosystem that removing it would require rebuilding the trust infrastructure of the entire network from scratch. That is the Binance standard. That is the only acceptable goal.</w:t>
      </w:r>
    </w:p>
    <w:p>
      <w:pPr>
        <w:spacing w:before="160" w:after="0"/>
      </w:pPr>
      <w:r>
        <w:t xml:space="preserve"/>
      </w:r>
    </w:p>
    <w:p>
      <w:pPr>
        <w:pStyle w:val="Heading2"/>
        <w:spacing w:before="280" w:after="120"/>
      </w:pPr>
      <w:r>
        <w:rPr>
          <w:rFonts w:ascii="Arial" w:cs="Arial" w:eastAsia="Arial" w:hAnsi="Arial"/>
          <w:b/>
          <w:bCs/>
          <w:color w:val="C8922A"/>
        </w:rPr>
        <w:t xml:space="preserve">4.2  Key Features to Be Developed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8"/>
              <w:left w:val="single" w:color="C8922A" w:sz="8"/>
              <w:bottom w:val="none"/>
              <w:right w:val="none"/>
            </w:tcBorders>
            <w:shd w:fill="FDF3E3" w:val="clear"/>
            <w:tcMar>
              <w:top w:type="dxa" w:w="140"/>
              <w:left w:type="dxa" w:w="240"/>
              <w:bottom w:type="dxa" w:w="140"/>
              <w:right w:type="dxa" w:w="240"/>
            </w:tcMar>
          </w:tcPr>
          <w:p>
            <w:pPr>
              <w:spacing w:before="0" w:after="100"/>
            </w:pPr>
            <w:r>
              <w:rPr>
                <w:rFonts w:ascii="Arial" w:cs="Arial" w:eastAsia="Arial" w:hAnsi="Arial"/>
                <w:b/>
                <w:bCs/>
                <w:color w:val="C8922A"/>
                <w:sz w:val="22"/>
                <w:szCs w:val="22"/>
              </w:rPr>
              <w:t xml:space="preserve">Multi-Region Infrastructure — True Global Architecture</w:t>
            </w:r>
          </w:p>
          <w:p>
            <w:pPr>
              <w:pStyle w:val="ListParagraph"/>
              <w:numPr>
                <w:ilvl w:val="0"/>
                <w:numId w:val="2"/>
              </w:numPr>
              <w:spacing w:before="40" w:after="40"/>
            </w:pPr>
            <w:r>
              <w:rPr>
                <w:rFonts w:ascii="Arial" w:cs="Arial" w:eastAsia="Arial" w:hAnsi="Arial"/>
                <w:color w:val="3A3A3A"/>
                <w:sz w:val="20"/>
                <w:szCs w:val="20"/>
              </w:rPr>
              <w:t xml:space="preserve">Geographic routing via Cloudflare or AWS Route53: users automatically routed to nearest PiPulse cluster (Americas, EMEA, APAC)</w:t>
            </w:r>
          </w:p>
          <w:p>
            <w:pPr>
              <w:pStyle w:val="ListParagraph"/>
              <w:numPr>
                <w:ilvl w:val="0"/>
                <w:numId w:val="2"/>
              </w:numPr>
              <w:spacing w:before="40" w:after="40"/>
            </w:pPr>
            <w:r>
              <w:rPr>
                <w:rFonts w:ascii="Arial" w:cs="Arial" w:eastAsia="Arial" w:hAnsi="Arial"/>
                <w:color w:val="3A3A3A"/>
                <w:sz w:val="20"/>
                <w:szCs w:val="20"/>
              </w:rPr>
              <w:t xml:space="preserve">Multi-master database write capability via CockroachDB or Citus extension on Postgres — eliminates single-region write bottleneck</w:t>
            </w:r>
          </w:p>
          <w:p>
            <w:pPr>
              <w:pStyle w:val="ListParagraph"/>
              <w:numPr>
                <w:ilvl w:val="0"/>
                <w:numId w:val="2"/>
              </w:numPr>
              <w:spacing w:before="40" w:after="40"/>
            </w:pPr>
            <w:r>
              <w:rPr>
                <w:rFonts w:ascii="Arial" w:cs="Arial" w:eastAsia="Arial" w:hAnsi="Arial"/>
                <w:color w:val="3A3A3A"/>
                <w:sz w:val="20"/>
                <w:szCs w:val="20"/>
              </w:rPr>
              <w:t xml:space="preserve">99.99% uptime SLA: active-active multi-region with automatic failover. Recovery Time Objective (RTO) under 30 seconds for any single region failure.</w:t>
            </w:r>
          </w:p>
          <w:p>
            <w:pPr>
              <w:pStyle w:val="ListParagraph"/>
              <w:numPr>
                <w:ilvl w:val="0"/>
                <w:numId w:val="2"/>
              </w:numPr>
              <w:spacing w:before="40" w:after="40"/>
            </w:pPr>
            <w:r>
              <w:rPr>
                <w:rFonts w:ascii="Arial" w:cs="Arial" w:eastAsia="Arial" w:hAnsi="Arial"/>
                <w:color w:val="3A3A3A"/>
                <w:sz w:val="20"/>
                <w:szCs w:val="20"/>
              </w:rPr>
              <w:t xml:space="preserve">Dedicated Pi Network API relay nodes in each region: reduces Pi payment confirmation latency from 15s (US only) to under 5s globally</w:t>
            </w:r>
          </w:p>
          <w:p>
            <w:pPr>
              <w:pStyle w:val="ListParagraph"/>
              <w:numPr>
                <w:ilvl w:val="0"/>
                <w:numId w:val="2"/>
              </w:numPr>
              <w:spacing w:before="40" w:after="40"/>
            </w:pPr>
            <w:r>
              <w:rPr>
                <w:rFonts w:ascii="Arial" w:cs="Arial" w:eastAsia="Arial" w:hAnsi="Arial"/>
                <w:color w:val="3A3A3A"/>
                <w:sz w:val="20"/>
                <w:szCs w:val="20"/>
              </w:rPr>
              <w:t xml:space="preserve">Global CDN edge network: submission files, media, and API responses cached at Cloudflare edge nodes (300+ PoPs). Sub-50ms latency for 99% of global users.</w:t>
            </w:r>
          </w:p>
          <w:p>
            <w:pPr>
              <w:pStyle w:val="ListParagraph"/>
              <w:numPr>
                <w:ilvl w:val="0"/>
                <w:numId w:val="2"/>
              </w:numPr>
              <w:spacing w:before="40" w:after="40"/>
            </w:pPr>
            <w:r>
              <w:rPr>
                <w:rFonts w:ascii="Arial" w:cs="Arial" w:eastAsia="Arial" w:hAnsi="Arial"/>
                <w:color w:val="3A3A3A"/>
                <w:sz w:val="20"/>
                <w:szCs w:val="20"/>
              </w:rPr>
              <w:t xml:space="preserve">Regional compliance zones: automatic data residency enforcement per user KYC country. Zero cross-region PII transfer without explicit consent.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8"/>
              <w:left w:val="single" w:color="C8922A" w:sz="8"/>
              <w:bottom w:val="none"/>
              <w:right w:val="none"/>
            </w:tcBorders>
            <w:shd w:fill="FDF3E3" w:val="clear"/>
            <w:tcMar>
              <w:top w:type="dxa" w:w="140"/>
              <w:left w:type="dxa" w:w="240"/>
              <w:bottom w:type="dxa" w:w="140"/>
              <w:right w:type="dxa" w:w="240"/>
            </w:tcMar>
          </w:tcPr>
          <w:p>
            <w:pPr>
              <w:spacing w:before="0" w:after="100"/>
            </w:pPr>
            <w:r>
              <w:rPr>
                <w:rFonts w:ascii="Arial" w:cs="Arial" w:eastAsia="Arial" w:hAnsi="Arial"/>
                <w:b/>
                <w:bCs/>
                <w:color w:val="C8922A"/>
                <w:sz w:val="22"/>
                <w:szCs w:val="22"/>
              </w:rPr>
              <w:t xml:space="preserve">Full Microservices Architecture — Event Sourcing &amp; CQRS</w:t>
            </w:r>
          </w:p>
          <w:p>
            <w:pPr>
              <w:pStyle w:val="ListParagraph"/>
              <w:numPr>
                <w:ilvl w:val="0"/>
                <w:numId w:val="2"/>
              </w:numPr>
              <w:spacing w:before="40" w:after="40"/>
            </w:pPr>
            <w:r>
              <w:rPr>
                <w:rFonts w:ascii="Arial" w:cs="Arial" w:eastAsia="Arial" w:hAnsi="Arial"/>
                <w:color w:val="3A3A3A"/>
                <w:sz w:val="20"/>
                <w:szCs w:val="20"/>
              </w:rPr>
              <w:t xml:space="preserve">Service decomposition: AuthService, TaskService, EscrowService, ReputationService, DisputeService, NotificationService, TokenService, AnalyticsService, FraudService</w:t>
            </w:r>
          </w:p>
          <w:p>
            <w:pPr>
              <w:pStyle w:val="ListParagraph"/>
              <w:numPr>
                <w:ilvl w:val="0"/>
                <w:numId w:val="2"/>
              </w:numPr>
              <w:spacing w:before="40" w:after="40"/>
            </w:pPr>
            <w:r>
              <w:rPr>
                <w:rFonts w:ascii="Arial" w:cs="Arial" w:eastAsia="Arial" w:hAnsi="Arial"/>
                <w:color w:val="3A3A3A"/>
                <w:sz w:val="20"/>
                <w:szCs w:val="20"/>
              </w:rPr>
              <w:t xml:space="preserve">Event sourcing: every state change emitted as immutable event to event store (Kafka or AWS EventBridge). System state reconstructable from event log at any point in time.</w:t>
            </w:r>
          </w:p>
          <w:p>
            <w:pPr>
              <w:pStyle w:val="ListParagraph"/>
              <w:numPr>
                <w:ilvl w:val="0"/>
                <w:numId w:val="2"/>
              </w:numPr>
              <w:spacing w:before="40" w:after="40"/>
            </w:pPr>
            <w:r>
              <w:rPr>
                <w:rFonts w:ascii="Arial" w:cs="Arial" w:eastAsia="Arial" w:hAnsi="Arial"/>
                <w:color w:val="3A3A3A"/>
                <w:sz w:val="20"/>
                <w:szCs w:val="20"/>
              </w:rPr>
              <w:t xml:space="preserve">CQRS: write operations handled by command services, read operations served from pre-computed projections updated by event consumers</w:t>
            </w:r>
          </w:p>
          <w:p>
            <w:pPr>
              <w:pStyle w:val="ListParagraph"/>
              <w:numPr>
                <w:ilvl w:val="0"/>
                <w:numId w:val="2"/>
              </w:numPr>
              <w:spacing w:before="40" w:after="40"/>
            </w:pPr>
            <w:r>
              <w:rPr>
                <w:rFonts w:ascii="Arial" w:cs="Arial" w:eastAsia="Arial" w:hAnsi="Arial"/>
                <w:color w:val="3A3A3A"/>
                <w:sz w:val="20"/>
                <w:szCs w:val="20"/>
              </w:rPr>
              <w:t xml:space="preserve">Service mesh (Istio or similar): inter-service communication secured by mTLS. Circuit breakers prevent cascading failures. Distributed tracing across all services.</w:t>
            </w:r>
          </w:p>
          <w:p>
            <w:pPr>
              <w:pStyle w:val="ListParagraph"/>
              <w:numPr>
                <w:ilvl w:val="0"/>
                <w:numId w:val="2"/>
              </w:numPr>
              <w:spacing w:before="40" w:after="40"/>
            </w:pPr>
            <w:r>
              <w:rPr>
                <w:rFonts w:ascii="Arial" w:cs="Arial" w:eastAsia="Arial" w:hAnsi="Arial"/>
                <w:color w:val="3A3A3A"/>
                <w:sz w:val="20"/>
                <w:szCs w:val="20"/>
              </w:rPr>
              <w:t xml:space="preserve">Kubernetes orchestration: each microservice deployed as autoscaling Kubernetes deployment. Resource-based autoscaling with custom metrics (queue depth, API latency).</w:t>
            </w:r>
          </w:p>
          <w:p>
            <w:pPr>
              <w:pStyle w:val="ListParagraph"/>
              <w:numPr>
                <w:ilvl w:val="0"/>
                <w:numId w:val="2"/>
              </w:numPr>
              <w:spacing w:before="40" w:after="40"/>
            </w:pPr>
            <w:r>
              <w:rPr>
                <w:rFonts w:ascii="Arial" w:cs="Arial" w:eastAsia="Arial" w:hAnsi="Arial"/>
                <w:color w:val="3A3A3A"/>
                <w:sz w:val="20"/>
                <w:szCs w:val="20"/>
              </w:rPr>
              <w:t xml:space="preserve">Chaos engineering: monthly chaos experiments (random service kills, network partitions, DB failovers) to verify resilience before failures occur in production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8"/>
              <w:left w:val="single" w:color="C8922A" w:sz="8"/>
              <w:bottom w:val="none"/>
              <w:right w:val="none"/>
            </w:tcBorders>
            <w:shd w:fill="FDF3E3" w:val="clear"/>
            <w:tcMar>
              <w:top w:type="dxa" w:w="140"/>
              <w:left w:type="dxa" w:w="240"/>
              <w:bottom w:type="dxa" w:w="140"/>
              <w:right w:type="dxa" w:w="240"/>
            </w:tcMar>
          </w:tcPr>
          <w:p>
            <w:pPr>
              <w:spacing w:before="0" w:after="100"/>
            </w:pPr>
            <w:r>
              <w:rPr>
                <w:rFonts w:ascii="Arial" w:cs="Arial" w:eastAsia="Arial" w:hAnsi="Arial"/>
                <w:b/>
                <w:bCs/>
                <w:color w:val="C8922A"/>
                <w:sz w:val="22"/>
                <w:szCs w:val="22"/>
              </w:rPr>
              <w:t xml:space="preserve">Enterprise API &amp; B2B Revenue Layer</w:t>
            </w:r>
          </w:p>
          <w:p>
            <w:pPr>
              <w:pStyle w:val="ListParagraph"/>
              <w:numPr>
                <w:ilvl w:val="0"/>
                <w:numId w:val="2"/>
              </w:numPr>
              <w:spacing w:before="40" w:after="40"/>
            </w:pPr>
            <w:r>
              <w:rPr>
                <w:rFonts w:ascii="Arial" w:cs="Arial" w:eastAsia="Arial" w:hAnsi="Arial"/>
                <w:color w:val="3A3A3A"/>
                <w:sz w:val="20"/>
                <w:szCs w:val="20"/>
              </w:rPr>
              <w:t xml:space="preserve">Enterprise API tier: unlimited requests, dedicated API infrastructure, 99.9% API uptime SLA, direct engineering support, custom rate limit configurations</w:t>
            </w:r>
          </w:p>
          <w:p>
            <w:pPr>
              <w:pStyle w:val="ListParagraph"/>
              <w:numPr>
                <w:ilvl w:val="0"/>
                <w:numId w:val="2"/>
              </w:numPr>
              <w:spacing w:before="40" w:after="40"/>
            </w:pPr>
            <w:r>
              <w:rPr>
                <w:rFonts w:ascii="Arial" w:cs="Arial" w:eastAsia="Arial" w:hAnsi="Arial"/>
                <w:color w:val="3A3A3A"/>
                <w:sz w:val="20"/>
                <w:szCs w:val="20"/>
              </w:rPr>
              <w:t xml:space="preserve">Bulk task management API: create/manage 10,000+ task slots in a single API call. Designed for research firms, marketing agencies, and AI training data companies</w:t>
            </w:r>
          </w:p>
          <w:p>
            <w:pPr>
              <w:pStyle w:val="ListParagraph"/>
              <w:numPr>
                <w:ilvl w:val="0"/>
                <w:numId w:val="2"/>
              </w:numPr>
              <w:spacing w:before="40" w:after="40"/>
            </w:pPr>
            <w:r>
              <w:rPr>
                <w:rFonts w:ascii="Arial" w:cs="Arial" w:eastAsia="Arial" w:hAnsi="Arial"/>
                <w:color w:val="3A3A3A"/>
                <w:sz w:val="20"/>
                <w:szCs w:val="20"/>
              </w:rPr>
              <w:t xml:space="preserve">Enterprise escrow API: organizations can escrow large Pi amounts ($100K+ equivalent) with multi-sig approval workflow and compliance reporting</w:t>
            </w:r>
          </w:p>
          <w:p>
            <w:pPr>
              <w:pStyle w:val="ListParagraph"/>
              <w:numPr>
                <w:ilvl w:val="0"/>
                <w:numId w:val="2"/>
              </w:numPr>
              <w:spacing w:before="40" w:after="40"/>
            </w:pPr>
            <w:r>
              <w:rPr>
                <w:rFonts w:ascii="Arial" w:cs="Arial" w:eastAsia="Arial" w:hAnsi="Arial"/>
                <w:color w:val="3A3A3A"/>
                <w:sz w:val="20"/>
                <w:szCs w:val="20"/>
              </w:rPr>
              <w:t xml:space="preserve">White-label PiPulse: enterprise clients can embed PiPulse task marketplace within their own Pi apps under their own branding</w:t>
            </w:r>
          </w:p>
          <w:p>
            <w:pPr>
              <w:pStyle w:val="ListParagraph"/>
              <w:numPr>
                <w:ilvl w:val="0"/>
                <w:numId w:val="2"/>
              </w:numPr>
              <w:spacing w:before="40" w:after="40"/>
            </w:pPr>
            <w:r>
              <w:rPr>
                <w:rFonts w:ascii="Arial" w:cs="Arial" w:eastAsia="Arial" w:hAnsi="Arial"/>
                <w:color w:val="3A3A3A"/>
                <w:sz w:val="20"/>
                <w:szCs w:val="20"/>
              </w:rPr>
              <w:t xml:space="preserve">Data licensing program: anonymized aggregate market intelligence data licensed to Pi Network analytics providers, research firms, and ecosystem funds</w:t>
            </w:r>
          </w:p>
          <w:p>
            <w:pPr>
              <w:pStyle w:val="ListParagraph"/>
              <w:numPr>
                <w:ilvl w:val="0"/>
                <w:numId w:val="2"/>
              </w:numPr>
              <w:spacing w:before="40" w:after="40"/>
            </w:pPr>
            <w:r>
              <w:rPr>
                <w:rFonts w:ascii="Arial" w:cs="Arial" w:eastAsia="Arial" w:hAnsi="Arial"/>
                <w:color w:val="3A3A3A"/>
                <w:sz w:val="20"/>
                <w:szCs w:val="20"/>
              </w:rPr>
              <w:t xml:space="preserve">Enterprise SLA contracts: monthly billing in Pi or USD-equivalent, dedicated account management, custom webhook configurations, data export agreements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8"/>
              <w:left w:val="single" w:color="C8922A" w:sz="8"/>
              <w:bottom w:val="none"/>
              <w:right w:val="none"/>
            </w:tcBorders>
            <w:shd w:fill="FDF3E3" w:val="clear"/>
            <w:tcMar>
              <w:top w:type="dxa" w:w="140"/>
              <w:left w:type="dxa" w:w="240"/>
              <w:bottom w:type="dxa" w:w="140"/>
              <w:right w:type="dxa" w:w="240"/>
            </w:tcMar>
          </w:tcPr>
          <w:p>
            <w:pPr>
              <w:spacing w:before="0" w:after="100"/>
            </w:pPr>
            <w:r>
              <w:rPr>
                <w:rFonts w:ascii="Arial" w:cs="Arial" w:eastAsia="Arial" w:hAnsi="Arial"/>
                <w:b/>
                <w:bCs/>
                <w:color w:val="C8922A"/>
                <w:sz w:val="22"/>
                <w:szCs w:val="22"/>
              </w:rPr>
              <w:t xml:space="preserve">Full $PULSE Decentralized Governance</w:t>
            </w:r>
          </w:p>
          <w:p>
            <w:pPr>
              <w:pStyle w:val="ListParagraph"/>
              <w:numPr>
                <w:ilvl w:val="0"/>
                <w:numId w:val="2"/>
              </w:numPr>
              <w:spacing w:before="40" w:after="40"/>
            </w:pPr>
            <w:r>
              <w:rPr>
                <w:rFonts w:ascii="Arial" w:cs="Arial" w:eastAsia="Arial" w:hAnsi="Arial"/>
                <w:color w:val="3A3A3A"/>
                <w:sz w:val="20"/>
                <w:szCs w:val="20"/>
              </w:rPr>
              <w:t xml:space="preserve">Complete transition to DAO governance model: founding team veto power formally sunset on schedule announced in Year 1 governance charter</w:t>
            </w:r>
          </w:p>
          <w:p>
            <w:pPr>
              <w:pStyle w:val="ListParagraph"/>
              <w:numPr>
                <w:ilvl w:val="0"/>
                <w:numId w:val="2"/>
              </w:numPr>
              <w:spacing w:before="40" w:after="40"/>
            </w:pPr>
            <w:r>
              <w:rPr>
                <w:rFonts w:ascii="Arial" w:cs="Arial" w:eastAsia="Arial" w:hAnsi="Arial"/>
                <w:color w:val="3A3A3A"/>
                <w:sz w:val="20"/>
                <w:szCs w:val="20"/>
              </w:rPr>
              <w:t xml:space="preserve">On-chain proposal execution: passed governance proposals automatically trigger smart contract execution for fee rate changes, reward pool distributions, and category activations</w:t>
            </w:r>
          </w:p>
          <w:p>
            <w:pPr>
              <w:pStyle w:val="ListParagraph"/>
              <w:numPr>
                <w:ilvl w:val="0"/>
                <w:numId w:val="2"/>
              </w:numPr>
              <w:spacing w:before="40" w:after="40"/>
            </w:pPr>
            <w:r>
              <w:rPr>
                <w:rFonts w:ascii="Arial" w:cs="Arial" w:eastAsia="Arial" w:hAnsi="Arial"/>
                <w:color w:val="3A3A3A"/>
                <w:sz w:val="20"/>
                <w:szCs w:val="20"/>
              </w:rPr>
              <w:t xml:space="preserve">Quadratic voting fully implemented: voting power = sqrt(PULSE held), preventing plutocratic capture while rewarding committed participants</w:t>
            </w:r>
          </w:p>
          <w:p>
            <w:pPr>
              <w:pStyle w:val="ListParagraph"/>
              <w:numPr>
                <w:ilvl w:val="0"/>
                <w:numId w:val="2"/>
              </w:numPr>
              <w:spacing w:before="40" w:after="40"/>
            </w:pPr>
            <w:r>
              <w:rPr>
                <w:rFonts w:ascii="Arial" w:cs="Arial" w:eastAsia="Arial" w:hAnsi="Arial"/>
                <w:color w:val="3A3A3A"/>
                <w:sz w:val="20"/>
                <w:szCs w:val="20"/>
              </w:rPr>
              <w:t xml:space="preserve">Seasonal governance: major platform decisions batched into quarterly governance cycles with sufficient deliberation time</w:t>
            </w:r>
          </w:p>
          <w:p>
            <w:pPr>
              <w:pStyle w:val="ListParagraph"/>
              <w:numPr>
                <w:ilvl w:val="0"/>
                <w:numId w:val="2"/>
              </w:numPr>
              <w:spacing w:before="40" w:after="40"/>
            </w:pPr>
            <w:r>
              <w:rPr>
                <w:rFonts w:ascii="Arial" w:cs="Arial" w:eastAsia="Arial" w:hAnsi="Arial"/>
                <w:color w:val="3A3A3A"/>
                <w:sz w:val="20"/>
                <w:szCs w:val="20"/>
              </w:rPr>
              <w:t xml:space="preserve">Ecosystem grants program: governance-controlled pool funds external developers building on PiPulse APIs. Community votes on grant recipients.</w:t>
            </w:r>
          </w:p>
          <w:p>
            <w:pPr>
              <w:pStyle w:val="ListParagraph"/>
              <w:numPr>
                <w:ilvl w:val="0"/>
                <w:numId w:val="2"/>
              </w:numPr>
              <w:spacing w:before="40" w:after="40"/>
            </w:pPr>
            <w:r>
              <w:rPr>
                <w:rFonts w:ascii="Arial" w:cs="Arial" w:eastAsia="Arial" w:hAnsi="Arial"/>
                <w:color w:val="3A3A3A"/>
                <w:sz w:val="20"/>
                <w:szCs w:val="20"/>
              </w:rPr>
              <w:t xml:space="preserve">Full financial transparency: all platform fee revenue, PULSE burns, and reserve fund transactions published to public on-chain dashboard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8"/>
              <w:left w:val="single" w:color="C8922A" w:sz="8"/>
              <w:bottom w:val="none"/>
              <w:right w:val="none"/>
            </w:tcBorders>
            <w:shd w:fill="FDF3E3" w:val="clear"/>
            <w:tcMar>
              <w:top w:type="dxa" w:w="140"/>
              <w:left w:type="dxa" w:w="240"/>
              <w:bottom w:type="dxa" w:w="140"/>
              <w:right w:type="dxa" w:w="240"/>
            </w:tcMar>
          </w:tcPr>
          <w:p>
            <w:pPr>
              <w:spacing w:before="0" w:after="100"/>
            </w:pPr>
            <w:r>
              <w:rPr>
                <w:rFonts w:ascii="Arial" w:cs="Arial" w:eastAsia="Arial" w:hAnsi="Arial"/>
                <w:b/>
                <w:bCs/>
                <w:color w:val="C8922A"/>
                <w:sz w:val="22"/>
                <w:szCs w:val="22"/>
              </w:rPr>
              <w:t xml:space="preserve">Data Intelligence Monopoly — The Unreplicable Moat</w:t>
            </w:r>
          </w:p>
          <w:p>
            <w:pPr>
              <w:pStyle w:val="ListParagraph"/>
              <w:numPr>
                <w:ilvl w:val="0"/>
                <w:numId w:val="2"/>
              </w:numPr>
              <w:spacing w:before="40" w:after="40"/>
            </w:pPr>
            <w:r>
              <w:rPr>
                <w:rFonts w:ascii="Arial" w:cs="Arial" w:eastAsia="Arial" w:hAnsi="Arial"/>
                <w:color w:val="3A3A3A"/>
                <w:sz w:val="20"/>
                <w:szCs w:val="20"/>
              </w:rPr>
              <w:t xml:space="preserve">PiPulse Intelligence API: real-time labor market data for the Pi ecosystem. Which skills are in demand, what tasks command premium Pi, how demand varies by country and category</w:t>
            </w:r>
          </w:p>
          <w:p>
            <w:pPr>
              <w:pStyle w:val="ListParagraph"/>
              <w:numPr>
                <w:ilvl w:val="0"/>
                <w:numId w:val="2"/>
              </w:numPr>
              <w:spacing w:before="40" w:after="40"/>
            </w:pPr>
            <w:r>
              <w:rPr>
                <w:rFonts w:ascii="Arial" w:cs="Arial" w:eastAsia="Arial" w:hAnsi="Arial"/>
                <w:color w:val="3A3A3A"/>
                <w:sz w:val="20"/>
                <w:szCs w:val="20"/>
              </w:rPr>
              <w:t xml:space="preserve">Pioneer Economic Index: monthly published report on Pi labor market health. Becomes the authoritative data source cited by Pi Network analysts and investors.</w:t>
            </w:r>
          </w:p>
          <w:p>
            <w:pPr>
              <w:pStyle w:val="ListParagraph"/>
              <w:numPr>
                <w:ilvl w:val="0"/>
                <w:numId w:val="2"/>
              </w:numPr>
              <w:spacing w:before="40" w:after="40"/>
            </w:pPr>
            <w:r>
              <w:rPr>
                <w:rFonts w:ascii="Arial" w:cs="Arial" w:eastAsia="Arial" w:hAnsi="Arial"/>
                <w:color w:val="3A3A3A"/>
                <w:sz w:val="20"/>
                <w:szCs w:val="20"/>
              </w:rPr>
              <w:t xml:space="preserve">Employer AI: predictive employer dashboard — 'Post this task today for fastest fill' recommendations driven by historical demand patterns and worker availability</w:t>
            </w:r>
          </w:p>
          <w:p>
            <w:pPr>
              <w:pStyle w:val="ListParagraph"/>
              <w:numPr>
                <w:ilvl w:val="0"/>
                <w:numId w:val="2"/>
              </w:numPr>
              <w:spacing w:before="40" w:after="40"/>
            </w:pPr>
            <w:r>
              <w:rPr>
                <w:rFonts w:ascii="Arial" w:cs="Arial" w:eastAsia="Arial" w:hAnsi="Arial"/>
                <w:color w:val="3A3A3A"/>
                <w:sz w:val="20"/>
                <w:szCs w:val="20"/>
              </w:rPr>
              <w:t xml:space="preserve">Worker Career Graph: individual skill graph built from approved task history. Shows workers their fastest path to higher reputation and higher-paying task categories.</w:t>
            </w:r>
          </w:p>
          <w:p>
            <w:pPr>
              <w:pStyle w:val="ListParagraph"/>
              <w:numPr>
                <w:ilvl w:val="0"/>
                <w:numId w:val="2"/>
              </w:numPr>
              <w:spacing w:before="40" w:after="40"/>
            </w:pPr>
            <w:r>
              <w:rPr>
                <w:rFonts w:ascii="Arial" w:cs="Arial" w:eastAsia="Arial" w:hAnsi="Arial"/>
                <w:color w:val="3A3A3A"/>
                <w:sz w:val="20"/>
                <w:szCs w:val="20"/>
              </w:rPr>
              <w:t xml:space="preserve">Cross-platform identity: PiPulse reputation score becomes the universal trust layer for Pi commerce. Third-party apps consuming the score for identity, access, and lending decisions.</w:t>
            </w:r>
          </w:p>
          <w:p>
            <w:pPr>
              <w:pStyle w:val="ListParagraph"/>
              <w:numPr>
                <w:ilvl w:val="0"/>
                <w:numId w:val="2"/>
              </w:numPr>
              <w:spacing w:before="40" w:after="40"/>
            </w:pPr>
            <w:r>
              <w:rPr>
                <w:rFonts w:ascii="Arial" w:cs="Arial" w:eastAsia="Arial" w:hAnsi="Arial"/>
                <w:color w:val="3A3A3A"/>
                <w:sz w:val="20"/>
                <w:szCs w:val="20"/>
              </w:rPr>
              <w:t xml:space="preserve">Academic and policy research program: anonymized dataset shared with universities and Pi Foundation for ecosystem health research. Builds PiPulse's position as ecosystem steward.</w:t>
            </w:r>
          </w:p>
        </w:tc>
      </w:tr>
    </w:tbl>
    <w:p>
      <w:pPr>
        <w:spacing w:before="160" w:after="0"/>
      </w:pPr>
      <w:r>
        <w:t xml:space="preserve"/>
      </w:r>
    </w:p>
    <w:p>
      <w:pPr>
        <w:pStyle w:val="Heading2"/>
        <w:spacing w:before="280" w:after="120"/>
      </w:pPr>
      <w:r>
        <w:rPr>
          <w:rFonts w:ascii="Arial" w:cs="Arial" w:eastAsia="Arial" w:hAnsi="Arial"/>
          <w:b/>
          <w:bCs/>
          <w:color w:val="C8922A"/>
        </w:rPr>
        <w:t xml:space="preserve">4.3  Technical Architecture — Part 4 Final State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C8922A"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Architecture Layer</w:t>
            </w:r>
          </w:p>
        </w:tc>
        <w:tc>
          <w:tcPr>
            <w:tcW w:type="dxa" w:w="7160"/>
            <w:tcBorders>
              <w:top w:val="single" w:color="DDDDDD" w:sz="4"/>
              <w:left w:val="single" w:color="DDDDDD" w:sz="4"/>
              <w:bottom w:val="single" w:color="DDDDDD" w:sz="4"/>
              <w:right w:val="single" w:color="DDDDDD" w:sz="4"/>
            </w:tcBorders>
            <w:shd w:fill="C8922A" w:val="clear"/>
            <w:tcMar>
              <w:top w:type="dxa" w:w="80"/>
              <w:left w:type="dxa" w:w="160"/>
              <w:bottom w:type="dxa" w:w="80"/>
              <w:right w:type="dxa" w:w="120"/>
            </w:tcMar>
          </w:tcPr>
          <w:p>
            <w:pPr>
              <w:spacing w:before="0" w:after="0"/>
            </w:pPr>
            <w:r>
              <w:rPr>
                <w:rFonts w:ascii="Arial" w:cs="Arial" w:eastAsia="Arial" w:hAnsi="Arial"/>
                <w:color w:val="FFFFFF"/>
                <w:sz w:val="20"/>
                <w:szCs w:val="20"/>
              </w:rPr>
              <w:t xml:space="preserve">Final State Technology</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Compute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Kubernetes on AWS EKS / GCP GKE. Multi-region active-active. 10+ microservices. Autoscaling 2–200 pods per service based on queue depth and API latency.</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Database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CockroachDB (or Citus) for multi-region write capability. Postgres-compatible. Automatic geographic data placement. Sub-10ms reads globally.</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Event Stream</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Apache Kafka (Confluent Cloud). All domain events published. Event sourcing enables full audit replay. CQRS projections updated by Kafka consumers.</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CDN &amp; Edge</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Cloudflare Enterprise. Global 300+ PoP distribution. API responses cached at edge. Workers (serverless at edge) for auth and rate limiting without cold start.</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Service Mesh</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Istio on Kubernetes. mTLS between all services. Distributed tracing via Jaeger. Circuit breakers via Envoy. Traffic splitting for blue/green deployments.</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Observability</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Prometheus + Grafana for metrics. Jaeger for tracing. ELK stack for log aggregation. PagerDuty for alerts. Full SLO dashboard per service.</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Security</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Zero-trust network: no implicit internal trust. Every service authenticates with short-lived certs. Secrets managed by HashiCorp Vault. SOC 2 Type II compliance.</w:t>
            </w:r>
          </w:p>
        </w:tc>
      </w:tr>
      <w:tr>
        <w:tc>
          <w:tcPr>
            <w:tcW w:type="dxa" w:w="22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Blockchain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Pi Network smart contract integration (when available). All PULSE governance decisions anchored on-chain. EscrowLedger events optionally anchored to Pi blockchain.</w:t>
            </w:r>
          </w:p>
        </w:tc>
      </w:tr>
    </w:tbl>
    <w:p>
      <w:pPr>
        <w:spacing w:before="160" w:after="0"/>
      </w:pPr>
      <w:r>
        <w:t xml:space="preserve"/>
      </w:r>
    </w:p>
    <w:p>
      <w:pPr>
        <w:pStyle w:val="Heading2"/>
        <w:spacing w:before="280" w:after="120"/>
      </w:pPr>
      <w:r>
        <w:rPr>
          <w:rFonts w:ascii="Arial" w:cs="Arial" w:eastAsia="Arial" w:hAnsi="Arial"/>
          <w:b/>
          <w:bCs/>
          <w:color w:val="C8922A"/>
        </w:rPr>
        <w:t xml:space="preserve">4.4  Revenue Architecture — Full Scale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Revenue Stream</w:t>
            </w:r>
          </w:p>
        </w:tc>
        <w:tc>
          <w:tcPr>
            <w:tcW w:type="dxa" w:w="1872"/>
            <w:tcBorders>
              <w:top w:val="single" w:color="DDDDDD" w:sz="4"/>
              <w:left w:val="single" w:color="DDDDDD" w:sz="4"/>
              <w:bottom w:val="single" w:color="DDDDDD" w:sz="4"/>
              <w:right w:val="single" w:color="DDDDDD"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1</w:t>
            </w:r>
          </w:p>
        </w:tc>
        <w:tc>
          <w:tcPr>
            <w:tcW w:type="dxa" w:w="1872"/>
            <w:tcBorders>
              <w:top w:val="single" w:color="DDDDDD" w:sz="4"/>
              <w:left w:val="single" w:color="DDDDDD" w:sz="4"/>
              <w:bottom w:val="single" w:color="DDDDDD" w:sz="4"/>
              <w:right w:val="single" w:color="DDDDDD"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2</w:t>
            </w:r>
          </w:p>
        </w:tc>
        <w:tc>
          <w:tcPr>
            <w:tcW w:type="dxa" w:w="1872"/>
            <w:tcBorders>
              <w:top w:val="single" w:color="DDDDDD" w:sz="4"/>
              <w:left w:val="single" w:color="DDDDDD" w:sz="4"/>
              <w:bottom w:val="single" w:color="DDDDDD" w:sz="4"/>
              <w:right w:val="single" w:color="DDDDDD"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3</w:t>
            </w:r>
          </w:p>
        </w:tc>
        <w:tc>
          <w:tcPr>
            <w:tcW w:type="dxa" w:w="1872"/>
            <w:tcBorders>
              <w:top w:val="single" w:color="DDDDDD" w:sz="4"/>
              <w:left w:val="single" w:color="DDDDDD" w:sz="4"/>
              <w:bottom w:val="single" w:color="DDDDDD" w:sz="4"/>
              <w:right w:val="single" w:color="DDDDDD"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4 (Full Scale)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Platform Fee (5%)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Active — core revenue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Scaling</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Scaling</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Core stream: 73M+ Pi/year at dominant scale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Task Boost ($PULSE)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Active — burn stream</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Growing</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High volume: burns 10M+ PULSE/year</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Submission Boost ($PULSE)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Active — burn stream</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Growing</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Significant burn: priority queue high demand</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Developer API (Pi)</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Beta tier active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Business tier growing</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Enterprise tier: large B2B contracts in Pi</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White-Label Escrow</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3 partners active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20+ enterprise partners at revenue share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Data Intelligence Licensing</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Analytics basic</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B2B data licensing: research and fund clients</w:t>
            </w:r>
          </w:p>
        </w:tc>
      </w:tr>
    </w:tbl>
    <w:p>
      <w:pPr>
        <w:spacing w:before="160" w:after="0"/>
      </w:pPr>
      <w:r>
        <w:t xml:space="preserve"/>
      </w:r>
    </w:p>
    <w:p>
      <w:pPr>
        <w:pStyle w:val="Heading2"/>
        <w:spacing w:before="280" w:after="120"/>
      </w:pPr>
      <w:r>
        <w:rPr>
          <w:rFonts w:ascii="Arial" w:cs="Arial" w:eastAsia="Arial" w:hAnsi="Arial"/>
          <w:b/>
          <w:bCs/>
          <w:color w:val="C8922A"/>
        </w:rPr>
        <w:t xml:space="preserve">4.5  Dependencies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none"/>
              <w:right w:val="none"/>
            </w:tcBorders>
            <w:shd w:fill="FFF0F0" w:val="clear"/>
            <w:tcMar>
              <w:top w:type="dxa" w:w="140"/>
              <w:left w:type="dxa" w:w="240"/>
              <w:bottom w:type="dxa" w:w="140"/>
              <w:right w:type="dxa" w:w="240"/>
            </w:tcMar>
          </w:tcPr>
          <w:p>
            <w:pPr>
              <w:spacing w:before="0" w:after="100"/>
            </w:pPr>
            <w:r>
              <w:rPr>
                <w:rFonts w:ascii="Arial" w:cs="Arial" w:eastAsia="Arial" w:hAnsi="Arial"/>
                <w:b/>
                <w:bCs/>
                <w:color w:val="C0392B"/>
                <w:sz w:val="22"/>
                <w:szCs w:val="22"/>
              </w:rPr>
              <w:t xml:space="preserve">Part 3 Completion Requirements (hard gates for Part 4)</w:t>
            </w:r>
          </w:p>
          <w:p>
            <w:pPr>
              <w:pStyle w:val="ListParagraph"/>
              <w:numPr>
                <w:ilvl w:val="0"/>
                <w:numId w:val="2"/>
              </w:numPr>
              <w:spacing w:before="40" w:after="40"/>
            </w:pPr>
            <w:r>
              <w:rPr>
                <w:rFonts w:ascii="Arial" w:cs="Arial" w:eastAsia="Arial" w:hAnsi="Arial"/>
                <w:color w:val="3A3A3A"/>
                <w:sz w:val="20"/>
                <w:szCs w:val="20"/>
              </w:rPr>
              <w:t xml:space="preserve">Multi-region database strategy must be finalized and tested at 5M row scale before microservices decomposition begins — data migration at microservices boundary is catastrophic</w:t>
            </w:r>
          </w:p>
          <w:p>
            <w:pPr>
              <w:pStyle w:val="ListParagraph"/>
              <w:numPr>
                <w:ilvl w:val="0"/>
                <w:numId w:val="2"/>
              </w:numPr>
              <w:spacing w:before="40" w:after="40"/>
            </w:pPr>
            <w:r>
              <w:rPr>
                <w:rFonts w:ascii="Arial" w:cs="Arial" w:eastAsia="Arial" w:hAnsi="Arial"/>
                <w:color w:val="3A3A3A"/>
                <w:sz w:val="20"/>
                <w:szCs w:val="20"/>
              </w:rPr>
              <w:t xml:space="preserve">Governance framework must have completed at least 3 full governance cycles before DAO transition — governance maturity cannot be rushed</w:t>
            </w:r>
          </w:p>
          <w:p>
            <w:pPr>
              <w:pStyle w:val="ListParagraph"/>
              <w:numPr>
                <w:ilvl w:val="0"/>
                <w:numId w:val="2"/>
              </w:numPr>
              <w:spacing w:before="40" w:after="40"/>
            </w:pPr>
            <w:r>
              <w:rPr>
                <w:rFonts w:ascii="Arial" w:cs="Arial" w:eastAsia="Arial" w:hAnsi="Arial"/>
                <w:color w:val="3A3A3A"/>
                <w:sz w:val="20"/>
                <w:szCs w:val="20"/>
              </w:rPr>
              <w:t xml:space="preserve">Developer API must have demonstrable B2B revenue in Part 3 before enterprise tier is designed — enterprise features should solve validated enterprise problems</w:t>
            </w:r>
          </w:p>
          <w:p>
            <w:pPr>
              <w:pStyle w:val="ListParagraph"/>
              <w:numPr>
                <w:ilvl w:val="0"/>
                <w:numId w:val="2"/>
              </w:numPr>
              <w:spacing w:before="40" w:after="40"/>
            </w:pPr>
            <w:r>
              <w:rPr>
                <w:rFonts w:ascii="Arial" w:cs="Arial" w:eastAsia="Arial" w:hAnsi="Arial"/>
                <w:color w:val="3A3A3A"/>
                <w:sz w:val="20"/>
                <w:szCs w:val="20"/>
              </w:rPr>
              <w:t xml:space="preserve">Event sourcing infrastructure must be fully designed before any microservice is decomposed — retrofitting event sourcing onto a running monolith is extremely high risk</w:t>
            </w:r>
          </w:p>
        </w:tc>
      </w:tr>
    </w:tbl>
    <w:p>
      <w:pPr>
        <w:spacing w:before="160" w:after="0"/>
      </w:pPr>
      <w:r>
        <w:t xml:space="preserve"/>
      </w:r>
    </w:p>
    <w:p>
      <w:pPr>
        <w:pStyle w:val="Heading2"/>
        <w:spacing w:before="280" w:after="120"/>
      </w:pPr>
      <w:r>
        <w:rPr>
          <w:rFonts w:ascii="Arial" w:cs="Arial" w:eastAsia="Arial" w:hAnsi="Arial"/>
          <w:b/>
          <w:bCs/>
          <w:color w:val="C8922A"/>
        </w:rPr>
        <w:t xml:space="preserve">4.6  Risks &amp; Mitigation Strategies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Risk</w:t>
            </w:r>
          </w:p>
        </w:tc>
        <w:tc>
          <w:tcPr>
            <w:tcW w:type="dxa" w:w="160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Probability</w:t>
            </w:r>
          </w:p>
        </w:tc>
        <w:tc>
          <w:tcPr>
            <w:tcW w:type="dxa" w:w="160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Impact</w:t>
            </w:r>
          </w:p>
        </w:tc>
        <w:tc>
          <w:tcPr>
            <w:tcW w:type="dxa" w:w="396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Mitigation Strategy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Microservices decomposition causing distributed transaction failures</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Critical</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Saga pattern for all cross-service transactions. Compensation actions defined for every step. Extensive integration testing in staging environment that mirrors production topology.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Event sourcing data volume overwhelming storage</w:t>
            </w:r>
          </w:p>
        </w:tc>
        <w:tc>
          <w:tcPr>
            <w:tcW w:type="dxa" w:w="1600"/>
            <w:tcBorders>
              <w:top w:val="single" w:color="DDDDDD" w:sz="4"/>
              <w:left w:val="single" w:color="DDDDDD" w:sz="4"/>
              <w:bottom w:val="single" w:color="DDDDDD" w:sz="4"/>
              <w:right w:val="single" w:color="DDDDDD" w:sz="4"/>
            </w:tcBorders>
            <w:shd w:fill="E8F5E9" w:val="clear"/>
            <w:tcMar>
              <w:top w:type="dxa" w:w="80"/>
              <w:left w:type="dxa" w:w="140"/>
              <w:bottom w:type="dxa" w:w="80"/>
              <w:right w:type="dxa" w:w="100"/>
            </w:tcMar>
          </w:tcPr>
          <w:p>
            <w:pPr>
              <w:spacing w:before="0" w:after="0"/>
            </w:pPr>
            <w:r>
              <w:rPr>
                <w:rFonts w:ascii="Arial" w:cs="Arial" w:eastAsia="Arial" w:hAnsi="Arial"/>
                <w:b/>
                <w:bCs/>
                <w:color w:val="1E7E34"/>
                <w:sz w:val="18"/>
                <w:szCs w:val="18"/>
              </w:rPr>
              <w:t xml:space="preserve">Low</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Event retention policy: hot events (90 days) in Kafka, warm events (2 years) in S3, cold events (permanent) in Glacier. Projections rebuilt from snapshots + recent events only.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Pi Network fundamental changes breaking payment model</w:t>
            </w:r>
          </w:p>
        </w:tc>
        <w:tc>
          <w:tcPr>
            <w:tcW w:type="dxa" w:w="1600"/>
            <w:tcBorders>
              <w:top w:val="single" w:color="DDDDDD" w:sz="4"/>
              <w:left w:val="single" w:color="DDDDDD" w:sz="4"/>
              <w:bottom w:val="single" w:color="DDDDDD" w:sz="4"/>
              <w:right w:val="single" w:color="DDDDDD" w:sz="4"/>
            </w:tcBorders>
            <w:shd w:fill="E8F5E9" w:val="clear"/>
            <w:tcMar>
              <w:top w:type="dxa" w:w="80"/>
              <w:left w:type="dxa" w:w="140"/>
              <w:bottom w:type="dxa" w:w="80"/>
              <w:right w:type="dxa" w:w="100"/>
            </w:tcMar>
          </w:tcPr>
          <w:p>
            <w:pPr>
              <w:spacing w:before="0" w:after="0"/>
            </w:pPr>
            <w:r>
              <w:rPr>
                <w:rFonts w:ascii="Arial" w:cs="Arial" w:eastAsia="Arial" w:hAnsi="Arial"/>
                <w:b/>
                <w:bCs/>
                <w:color w:val="1E7E34"/>
                <w:sz w:val="18"/>
                <w:szCs w:val="18"/>
              </w:rPr>
              <w:t xml:space="preserve">Low</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Critical</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Pi payment abstraction layer (PiPaymentService) isolates all Pi-specific logic. Migration to any new Pi API version requires changes in one service only. Diplomatic relationship with Pi Foundation maintained.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DAO governance leading to platform-hostile decisions</w:t>
            </w:r>
          </w:p>
        </w:tc>
        <w:tc>
          <w:tcPr>
            <w:tcW w:type="dxa" w:w="1600"/>
            <w:tcBorders>
              <w:top w:val="single" w:color="DDDDDD" w:sz="4"/>
              <w:left w:val="single" w:color="DDDDDD" w:sz="4"/>
              <w:bottom w:val="single" w:color="DDDDDD" w:sz="4"/>
              <w:right w:val="single" w:color="DDDDDD" w:sz="4"/>
            </w:tcBorders>
            <w:shd w:fill="E8F5E9" w:val="clear"/>
            <w:tcMar>
              <w:top w:type="dxa" w:w="80"/>
              <w:left w:type="dxa" w:w="140"/>
              <w:bottom w:type="dxa" w:w="80"/>
              <w:right w:type="dxa" w:w="100"/>
            </w:tcMar>
          </w:tcPr>
          <w:p>
            <w:pPr>
              <w:spacing w:before="0" w:after="0"/>
            </w:pPr>
            <w:r>
              <w:rPr>
                <w:rFonts w:ascii="Arial" w:cs="Arial" w:eastAsia="Arial" w:hAnsi="Arial"/>
                <w:b/>
                <w:bCs/>
                <w:color w:val="1E7E34"/>
                <w:sz w:val="18"/>
                <w:szCs w:val="18"/>
              </w:rPr>
              <w:t xml:space="preserve">Low</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Constitutional safeguards: security, legal, and emergency financial decisions exempt from DAO governance. Circuit breaker: founding team can pause governance for 30 days with public notice and explanation.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Enterprise API used to extract data at scale without proportional value</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Medium</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Data licensing agreements cap query volume and prohibit bulk export of individual user data. Rate limits enforced even for enterprise tier. Legal review of all enterprise data agreements.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bCs/>
                <w:color w:val="3A3A3A"/>
                <w:sz w:val="18"/>
                <w:szCs w:val="18"/>
              </w:rPr>
              <w:t xml:space="preserve">Market correction making Pi value drop significantly</w:t>
            </w:r>
          </w:p>
        </w:tc>
        <w:tc>
          <w:tcPr>
            <w:tcW w:type="dxa" w:w="1600"/>
            <w:tcBorders>
              <w:top w:val="single" w:color="DDDDDD" w:sz="4"/>
              <w:left w:val="single" w:color="DDDDDD" w:sz="4"/>
              <w:bottom w:val="single" w:color="DDDDDD" w:sz="4"/>
              <w:right w:val="single" w:color="DDDDDD" w:sz="4"/>
            </w:tcBorders>
            <w:shd w:fill="FFF3CD"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Medium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High</w:t>
            </w:r>
          </w:p>
        </w:tc>
        <w:tc>
          <w:tcPr>
            <w:tcW w:type="dxa" w:w="3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Revenue diversification: API subscriptions paid in Pi but priced in USD-equivalent. Platform fee generates revenue regardless of Pi price. PULSE burn mechanism provides deflationary protection for token holders.</w:t>
            </w:r>
          </w:p>
        </w:tc>
      </w:tr>
    </w:tbl>
    <w:p>
      <w:pPr>
        <w:spacing w:before="160" w:after="0"/>
      </w:pPr>
      <w:r>
        <w:t xml:space="preserve"/>
      </w:r>
    </w:p>
    <w:p>
      <w:pPr>
        <w:pStyle w:val="Heading2"/>
        <w:spacing w:before="280" w:after="120"/>
      </w:pPr>
      <w:r>
        <w:rPr>
          <w:rFonts w:ascii="Arial" w:cs="Arial" w:eastAsia="Arial" w:hAnsi="Arial"/>
          <w:b/>
          <w:bCs/>
          <w:color w:val="C8922A"/>
        </w:rPr>
        <w:t xml:space="preserve">4.7  Development Roadmap — Part 4</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c>
          <w:tcPr>
            <w:tcW w:type="dxa" w:w="120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Milestone</w:t>
            </w:r>
          </w:p>
        </w:tc>
        <w:tc>
          <w:tcPr>
            <w:tcW w:type="dxa" w:w="220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Timeline</w:t>
            </w:r>
          </w:p>
        </w:tc>
        <w:tc>
          <w:tcPr>
            <w:tcW w:type="dxa" w:w="356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Key Deliverables</w:t>
            </w:r>
          </w:p>
        </w:tc>
        <w:tc>
          <w:tcPr>
            <w:tcW w:type="dxa" w:w="2400"/>
            <w:tcBorders>
              <w:top w:val="single" w:color="C8922A" w:sz="4"/>
              <w:left w:val="single" w:color="C8922A" w:sz="4"/>
              <w:bottom w:val="single" w:color="C8922A" w:sz="4"/>
              <w:right w:val="single" w:color="C8922A" w:sz="4"/>
            </w:tcBorders>
            <w:shd w:fill="C8922A" w:val="clear"/>
            <w:tcMar>
              <w:top w:type="dxa" w:w="80"/>
              <w:left w:type="dxa" w:w="140"/>
              <w:bottom w:type="dxa" w:w="80"/>
              <w:right w:type="dxa" w:w="100"/>
            </w:tcMar>
          </w:tcPr>
          <w:p>
            <w:pPr>
              <w:spacing w:before="0" w:after="0"/>
            </w:pPr>
            <w:r>
              <w:rPr>
                <w:rFonts w:ascii="Arial" w:cs="Arial" w:eastAsia="Arial" w:hAnsi="Arial"/>
                <w:b/>
                <w:bCs/>
                <w:color w:val="FFFFFF"/>
                <w:sz w:val="20"/>
                <w:szCs w:val="20"/>
              </w:rPr>
              <w:t xml:space="preserve">Success Criteria</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M4.1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19–21</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Event sourcing infrastructure deployed. Kafka cluster operational. First 3 domain events (task.created, submission.approved, payment.sent) emitted and consumed.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Zero data loss in event stream under 10,000 events/minute load test.</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M4.2</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21–23</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EscrowService extracted as first microservice. Full saga pattern implemented. Legacy monolith calls EscrowService via REST. No functional change for end users.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EscrowService processes 100% of escrow operations with zero regression in financial accuracy.</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M4.3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23–25</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ReputationService and NotificationService extracted. Kubernetes deployment for all 3 extracted services. Autoscaling validated.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Services autoscale correctly under 5x traffic spike simulation. No cross-service saga failures.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M4.4</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25–27</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Multi-region database live. Geographic routing active. Pi relay nodes in Americas, EMEA, APAC. Payment confirmation latency under 5s globally.</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p99 payment latency under 5s for users in EU, Nigeria, India, and Brazil simultaneously.</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M4.5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27–30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Enterprise API tier launched. First 3 enterprise contracts signed. White-label escrow v2 with multi-sig workflow. Data licensing pilot with 2 research partners.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Enterprise API generates measurable monthly recurring revenue in Pi. Zero SLA violations in first 90 days.</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M4.6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30–33</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Full DAO governance transition. Founding team veto sunset on announced schedule. On-chain proposal execution live. Ecosystem grants program active.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First fully community-governed decision executed and implemented. Governance participation above 20%.</w:t>
            </w:r>
          </w:p>
        </w:tc>
      </w:tr>
      <w:tr>
        <w:tc>
          <w:tcPr>
            <w:tcW w:type="dxa" w:w="1200"/>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bCs/>
                <w:color w:val="C8922A"/>
                <w:sz w:val="18"/>
                <w:szCs w:val="18"/>
              </w:rPr>
              <w:t xml:space="preserve">M4.7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Month 33–36</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Pioneer Economic Index published. Data Intelligence API v1 live. Full microservices architecture (all 9 services) operational. SOC 2 Type II audit completed.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8"/>
                <w:szCs w:val="18"/>
              </w:rPr>
              <w:t xml:space="preserve">PiPulse cited by Pi Foundation or mainstream crypto media as authoritative Pi ecosystem data source.</w:t>
            </w:r>
          </w:p>
        </w:tc>
      </w:tr>
    </w:tbl>
    <w:p>
      <w:r>
        <w:br w:type="page"/>
      </w:r>
    </w:p>
    <w:p>
      <w:pPr>
        <w:pStyle w:val="Heading1"/>
        <w:spacing w:before="360" w:after="160"/>
      </w:pPr>
      <w:r>
        <w:rPr>
          <w:rFonts w:ascii="Arial" w:cs="Arial" w:eastAsia="Arial" w:hAnsi="Arial"/>
          <w:b/>
          <w:bCs/>
          <w:color w:val="1A2B4A"/>
        </w:rPr>
        <w:t xml:space="preserve">Cross-Phase Strategic Architecture</w:t>
      </w:r>
    </w:p>
    <w:p>
      <w:pPr>
        <w:pBdr>
          <w:bottom w:val="single" w:color="C8922A" w:sz="6"/>
        </w:pBdr>
        <w:spacing w:before="0" w:after="0"/>
      </w:pPr>
    </w:p>
    <w:p>
      <w:pPr>
        <w:spacing w:before="160" w:after="0"/>
      </w:pPr>
      <w:r>
        <w:t xml:space="preserve"/>
      </w:r>
    </w:p>
    <w:p>
      <w:pPr>
        <w:pStyle w:val="Heading2"/>
        <w:spacing w:before="280" w:after="120"/>
      </w:pPr>
      <w:r>
        <w:rPr>
          <w:rFonts w:ascii="Arial" w:cs="Arial" w:eastAsia="Arial" w:hAnsi="Arial"/>
          <w:b/>
          <w:bCs/>
          <w:color w:val="1E4D8C"/>
        </w:rPr>
        <w:t xml:space="preserve">Phase Dependency Graph</w:t>
      </w:r>
    </w:p>
    <w:p>
      <w:pPr>
        <w:spacing w:before="80" w:after="100"/>
      </w:pPr>
      <w:r>
        <w:rPr>
          <w:rFonts w:ascii="Arial" w:cs="Arial" w:eastAsia="Arial" w:hAnsi="Arial"/>
          <w:color w:val="3A3A3A"/>
          <w:sz w:val="22"/>
          <w:szCs w:val="22"/>
        </w:rPr>
        <w:t xml:space="preserve">The four phases are sequentially dependent in a specific, non-negotiable order. No phase can be accelerated by bypassing its predecessors.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2B4A" w:val="clear"/>
            <w:tcMar>
              <w:top w:type="dxa" w:w="80"/>
              <w:left w:type="dxa" w:w="160"/>
              <w:bottom w:type="dxa" w:w="80"/>
              <w:right w:type="dxa" w:w="120"/>
            </w:tcMar>
          </w:tcPr>
          <w:p>
            <w:pPr>
              <w:spacing w:before="0" w:after="0"/>
            </w:pPr>
            <w:r>
              <w:rPr>
                <w:rFonts w:ascii="Arial" w:cs="Arial" w:eastAsia="Arial" w:hAnsi="Arial"/>
                <w:b/>
                <w:bCs/>
                <w:color w:val="FFFFFF"/>
                <w:sz w:val="20"/>
                <w:szCs w:val="20"/>
              </w:rPr>
              <w:t xml:space="preserve">Dependency</w:t>
            </w:r>
          </w:p>
        </w:tc>
        <w:tc>
          <w:tcPr>
            <w:tcW w:type="dxa" w:w="6960"/>
            <w:tcBorders>
              <w:top w:val="single" w:color="DDDDDD" w:sz="4"/>
              <w:left w:val="single" w:color="DDDDDD" w:sz="4"/>
              <w:bottom w:val="single" w:color="DDDDDD" w:sz="4"/>
              <w:right w:val="single" w:color="DDDDDD" w:sz="4"/>
            </w:tcBorders>
            <w:shd w:fill="1A2B4A" w:val="clear"/>
            <w:tcMar>
              <w:top w:type="dxa" w:w="80"/>
              <w:left w:type="dxa" w:w="160"/>
              <w:bottom w:type="dxa" w:w="80"/>
              <w:right w:type="dxa" w:w="120"/>
            </w:tcMar>
          </w:tcPr>
          <w:p>
            <w:pPr>
              <w:spacing w:before="0" w:after="0"/>
            </w:pPr>
            <w:r>
              <w:rPr>
                <w:rFonts w:ascii="Arial" w:cs="Arial" w:eastAsia="Arial" w:hAnsi="Arial"/>
                <w:color w:val="FFFFFF"/>
                <w:sz w:val="20"/>
                <w:szCs w:val="20"/>
              </w:rPr>
              <w:t xml:space="preserve">Reason This Order Is Non-Negotiable</w:t>
            </w:r>
          </w:p>
        </w:tc>
      </w:tr>
      <w:tr>
        <w:tc>
          <w:tcPr>
            <w:tcW w:type="dxa" w:w="24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Part 1 → Part 2</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ML matching requires reputation data (90+ days). PULSE economy requires proven escrow integrity. API requires stable authentication.</w:t>
            </w:r>
          </w:p>
        </w:tc>
      </w:tr>
      <w:tr>
        <w:tc>
          <w:tcPr>
            <w:tcW w:type="dxa" w:w="24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Part 2 → Part 3</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Governance requires proven PULSE utility and demand. White-label escrow requires proven fraud detection. Dev ecosystem requires stable API v1.</w:t>
            </w:r>
          </w:p>
        </w:tc>
      </w:tr>
      <w:tr>
        <w:tc>
          <w:tcPr>
            <w:tcW w:type="dxa" w:w="2400"/>
            <w:tcBorders>
              <w:top w:val="single" w:color="DDDDDD" w:sz="4"/>
              <w:left w:val="single" w:color="DDDDDD" w:sz="4"/>
              <w:bottom w:val="single" w:color="DDDDDD" w:sz="4"/>
              <w:right w:val="single" w:color="DDDDDD" w:sz="4"/>
            </w:tcBorders>
            <w:shd w:fill="F5F6F8" w:val="clear"/>
            <w:tcMar>
              <w:top w:type="dxa" w:w="80"/>
              <w:left w:type="dxa" w:w="160"/>
              <w:bottom w:type="dxa" w:w="80"/>
              <w:right w:type="dxa" w:w="120"/>
            </w:tcMar>
          </w:tcPr>
          <w:p>
            <w:pPr>
              <w:spacing w:before="0" w:after="0"/>
            </w:pPr>
            <w:r>
              <w:rPr>
                <w:rFonts w:ascii="Arial" w:cs="Arial" w:eastAsia="Arial" w:hAnsi="Arial"/>
                <w:b w:val="false"/>
                <w:bCs w:val="false"/>
                <w:color w:val="1A2B4A"/>
                <w:sz w:val="20"/>
                <w:szCs w:val="20"/>
              </w:rPr>
              <w:t xml:space="preserve">Part 3 → Part 4</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20"/>
            </w:tcMar>
          </w:tcPr>
          <w:p>
            <w:pPr>
              <w:spacing w:before="0" w:after="0"/>
            </w:pPr>
            <w:r>
              <w:rPr>
                <w:rFonts w:ascii="Arial" w:cs="Arial" w:eastAsia="Arial" w:hAnsi="Arial"/>
                <w:color w:val="3A3A3A"/>
                <w:sz w:val="20"/>
                <w:szCs w:val="20"/>
              </w:rPr>
              <w:t xml:space="preserve">Microservices decomposition requires stable service boundaries proven in Part 3. DAO transition requires governance maturity. Multi-region requires proven data consistency model.</w:t>
            </w:r>
          </w:p>
        </w:tc>
      </w:tr>
    </w:tbl>
    <w:p>
      <w:pPr>
        <w:spacing w:before="160" w:after="0"/>
      </w:pPr>
      <w:r>
        <w:t xml:space="preserve"/>
      </w:r>
    </w:p>
    <w:p>
      <w:pPr>
        <w:pStyle w:val="Heading2"/>
        <w:spacing w:before="280" w:after="120"/>
      </w:pPr>
      <w:r>
        <w:rPr>
          <w:rFonts w:ascii="Arial" w:cs="Arial" w:eastAsia="Arial" w:hAnsi="Arial"/>
          <w:b/>
          <w:bCs/>
          <w:color w:val="1E4D8C"/>
        </w:rPr>
        <w:t xml:space="preserve">The Compounding Moat — How Each Phase Deepens the Next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Moat Dimension</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1</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2</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3</w:t>
            </w:r>
          </w:p>
        </w:tc>
        <w:tc>
          <w:tcPr>
            <w:tcW w:type="dxa" w:w="1872"/>
            <w:tcBorders>
              <w:top w:val="single" w:color="DDDDDD" w:sz="4"/>
              <w:left w:val="single" w:color="DDDDDD" w:sz="4"/>
              <w:bottom w:val="single" w:color="DDDDDD" w:sz="4"/>
              <w:right w:val="single" w:color="DDDDDD" w:sz="4"/>
            </w:tcBorders>
            <w:shd w:fill="1A2B4A"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4</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Transaction Data</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First 100K transactions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1M+ transactions, ML trained</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10M+ transactions, moat deepens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100M+ transactions, irreplicable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Reputation Data</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Scoring engine live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ML predictions improving daily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Universal Pi identity layer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Academic research asset</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Developer Lock-in</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API tables created</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API v1, 5+ integrations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20+ integrations, SDK v2</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 integrations, infrastructure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Token Economy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Dormant</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$PULSE burns daily</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Governance creates stakeholders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DAO: community owns platform</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Network Effects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Direct (worker-employer)</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Data (ML improves)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Platform (devs integrate)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All three compounding simultaneously</w:t>
            </w:r>
          </w:p>
        </w:tc>
      </w:tr>
    </w:tbl>
    <w:p>
      <w:pPr>
        <w:spacing w:before="160" w:after="0"/>
      </w:pPr>
      <w:r>
        <w:t xml:space="preserve"/>
      </w:r>
    </w:p>
    <w:p>
      <w:pPr>
        <w:pStyle w:val="Heading2"/>
        <w:spacing w:before="280" w:after="120"/>
      </w:pPr>
      <w:r>
        <w:rPr>
          <w:rFonts w:ascii="Arial" w:cs="Arial" w:eastAsia="Arial" w:hAnsi="Arial"/>
          <w:b/>
          <w:bCs/>
          <w:color w:val="1E4D8C"/>
        </w:rPr>
        <w:t xml:space="preserve">Revenue Growth Trajectory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Metric</w:t>
            </w:r>
          </w:p>
        </w:tc>
        <w:tc>
          <w:tcPr>
            <w:tcW w:type="dxa" w:w="1872"/>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1 Exit</w:t>
            </w:r>
          </w:p>
        </w:tc>
        <w:tc>
          <w:tcPr>
            <w:tcW w:type="dxa" w:w="1872"/>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2 Exit</w:t>
            </w:r>
          </w:p>
        </w:tc>
        <w:tc>
          <w:tcPr>
            <w:tcW w:type="dxa" w:w="1872"/>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3 Exit</w:t>
            </w:r>
          </w:p>
        </w:tc>
        <w:tc>
          <w:tcPr>
            <w:tcW w:type="dxa" w:w="1872"/>
            <w:tcBorders>
              <w:top w:val="single" w:color="DDDDDD" w:sz="4"/>
              <w:left w:val="single" w:color="DDDDDD" w:sz="4"/>
              <w:bottom w:val="single" w:color="DDDDDD" w:sz="4"/>
              <w:right w:val="single" w:color="DDDDDD" w:sz="4"/>
            </w:tcBorders>
            <w:shd w:fill="0E7C86" w:val="clear"/>
            <w:tcMar>
              <w:top w:type="dxa" w:w="80"/>
              <w:left w:type="dxa" w:w="140"/>
              <w:bottom w:type="dxa" w:w="80"/>
              <w:right w:type="dxa" w:w="100"/>
            </w:tcMar>
          </w:tcPr>
          <w:p>
            <w:pPr>
              <w:spacing w:before="0" w:after="0"/>
            </w:pPr>
            <w:r>
              <w:rPr>
                <w:rFonts w:ascii="Arial" w:cs="Arial" w:eastAsia="Arial" w:hAnsi="Arial"/>
                <w:b/>
                <w:bCs/>
                <w:color w:val="FFFFFF"/>
                <w:sz w:val="19"/>
                <w:szCs w:val="19"/>
              </w:rPr>
              <w:t xml:space="preserve">Part 4 Full Scale</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Active Users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50,000,000+</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Daily Task Completions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5,000,000+</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Daily Pi Circulated</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750 Pi</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12,500 Pi</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200,000 Pi</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2,000,000+ Pi</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Annual Fee Revenue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273,750 Pi</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4,562,500 Pi</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73,000,000 Pi</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730,000,000+ Pi</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Annual Revenue (Pi@$1)</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$273,750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$4,562,500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$73,000,000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$730,000,000+</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Annual Revenue (Pi@$5)</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$1,368,750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$22,812,500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$365,000,000</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$3,650,000,000+</w:t>
            </w:r>
          </w:p>
        </w:tc>
      </w:tr>
      <w:tr>
        <w:tc>
          <w:tcPr>
            <w:tcW w:type="dxa" w:w="1872"/>
            <w:tcBorders>
              <w:top w:val="single" w:color="DDDDDD" w:sz="4"/>
              <w:left w:val="single" w:color="DDDDDD" w:sz="4"/>
              <w:bottom w:val="single" w:color="DDDDDD" w:sz="4"/>
              <w:right w:val="single" w:color="DDDDDD" w:sz="4"/>
            </w:tcBorders>
            <w:shd w:fill="F5F6F8"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Revenue Streams</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1 (platform fee)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3 (fee + 2 PULSE)</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5 (fee + PULSE + API + escrow)</w:t>
            </w:r>
          </w:p>
        </w:tc>
        <w:tc>
          <w:tcPr>
            <w:tcW w:type="dxa" w:w="187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00"/>
            </w:tcMar>
          </w:tcPr>
          <w:p>
            <w:pPr>
              <w:spacing w:before="0" w:after="0"/>
            </w:pPr>
            <w:r>
              <w:rPr>
                <w:rFonts w:ascii="Arial" w:cs="Arial" w:eastAsia="Arial" w:hAnsi="Arial"/>
                <w:b w:val="false"/>
                <w:bCs w:val="false"/>
                <w:color w:val="3A3A3A"/>
                <w:sz w:val="19"/>
                <w:szCs w:val="19"/>
              </w:rPr>
              <w:t xml:space="preserve">6 (all streams + data licensing)</w:t>
            </w:r>
          </w:p>
        </w:tc>
      </w:tr>
    </w:tbl>
    <w:p>
      <w:pPr>
        <w:spacing w:before="160" w:after="0"/>
      </w:pPr>
      <w:r>
        <w:t xml:space="preserve"/>
      </w:r>
    </w:p>
    <w:p>
      <w:pPr>
        <w:pStyle w:val="Heading2"/>
        <w:spacing w:before="280" w:after="120"/>
      </w:pPr>
      <w:r>
        <w:rPr>
          <w:rFonts w:ascii="Arial" w:cs="Arial" w:eastAsia="Arial" w:hAnsi="Arial"/>
          <w:b/>
          <w:bCs/>
          <w:color w:val="1E4D8C"/>
        </w:rPr>
        <w:t xml:space="preserve">The Founding Mandate — Restated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2"/>
              <w:left w:val="none"/>
              <w:bottom w:val="single" w:color="C8922A" w:sz="12"/>
              <w:right w:val="none"/>
            </w:tcBorders>
            <w:shd w:fill="FDF3E3" w:val="clear"/>
            <w:tcMar>
              <w:top w:type="dxa" w:w="240"/>
              <w:left w:type="dxa" w:w="360"/>
              <w:bottom w:type="dxa" w:w="240"/>
              <w:right w:type="dxa" w:w="360"/>
            </w:tcMar>
          </w:tcPr>
          <w:p>
            <w:pPr>
              <w:spacing w:before="0" w:after="80"/>
              <w:jc w:val="center"/>
            </w:pPr>
            <w:r>
              <w:rPr>
                <w:rFonts w:ascii="Arial" w:cs="Arial" w:eastAsia="Arial" w:hAnsi="Arial"/>
                <w:b/>
                <w:bCs/>
                <w:i/>
                <w:iCs/>
                <w:color w:val="1A2B4A"/>
                <w:sz w:val="26"/>
                <w:szCs w:val="26"/>
              </w:rPr>
              <w:t xml:space="preserve">"PiPulse is not built to compete with other Pi apps.</w:t>
            </w:r>
          </w:p>
          <w:p>
            <w:pPr>
              <w:spacing w:before="0" w:after="80"/>
              <w:jc w:val="center"/>
            </w:pPr>
            <w:r>
              <w:rPr>
                <w:rFonts w:ascii="Arial" w:cs="Arial" w:eastAsia="Arial" w:hAnsi="Arial"/>
                <w:b/>
                <w:bCs/>
                <w:i/>
                <w:iCs/>
                <w:color w:val="1A2B4A"/>
                <w:sz w:val="26"/>
                <w:szCs w:val="26"/>
              </w:rPr>
              <w:t xml:space="preserve">It is built to become the economic substrate that other Pi apps rely on.</w:t>
            </w:r>
          </w:p>
          <w:p>
            <w:pPr>
              <w:spacing w:before="0" w:after="0"/>
              <w:jc w:val="center"/>
            </w:pPr>
            <w:r>
              <w:rPr>
                <w:rFonts w:ascii="Arial" w:cs="Arial" w:eastAsia="Arial" w:hAnsi="Arial"/>
                <w:b/>
                <w:bCs/>
                <w:i/>
                <w:iCs/>
                <w:color w:val="C8922A"/>
                <w:sz w:val="28"/>
                <w:szCs w:val="28"/>
              </w:rPr>
              <w:t xml:space="preserve">Build it right. Build it once. Build it to last."</w:t>
            </w:r>
          </w:p>
        </w:tc>
      </w:tr>
    </w:tbl>
    <w:p>
      <w:pPr>
        <w:spacing w:before="160" w:after="0"/>
      </w:pPr>
      <w:r>
        <w:t xml:space="preserve"/>
      </w:r>
    </w:p>
    <w:p>
      <w:pPr>
        <w:spacing w:before="80" w:after="100"/>
      </w:pPr>
      <w:r>
        <w:rPr>
          <w:rFonts w:ascii="Arial" w:cs="Arial" w:eastAsia="Arial" w:hAnsi="Arial"/>
          <w:color w:val="3A3A3A"/>
          <w:sz w:val="22"/>
          <w:szCs w:val="22"/>
        </w:rPr>
        <w:t xml:space="preserve">This execution plan is the precise translation of that mandate into buildable, investable, executable phases. Each phase has clear entry gates, clear exit criteria, clear risk mitigations, and clear revenue outcomes. There is no ambiguity about what must be built first, what must be proven before the next phase begins, or what success looks like at each stage.</w:t>
      </w:r>
    </w:p>
    <w:p>
      <w:pPr>
        <w:spacing w:before="80" w:after="0"/>
      </w:pPr>
      <w:r>
        <w:t xml:space="preserve"/>
      </w:r>
    </w:p>
    <w:p>
      <w:pPr>
        <w:spacing w:before="80" w:after="100"/>
      </w:pPr>
      <w:r>
        <w:rPr>
          <w:rFonts w:ascii="Arial" w:cs="Arial" w:eastAsia="Arial" w:hAnsi="Arial"/>
          <w:color w:val="3A3A3A"/>
          <w:sz w:val="22"/>
          <w:szCs w:val="22"/>
        </w:rPr>
        <w:t xml:space="preserve">The team that builds this will build something that, 10 years from now, will be described as the infrastructure that made Pi Network's economic layer possible. That is the standard. That is the mission. That is PiPulse.</w:t>
      </w:r>
    </w:p>
    <w:p>
      <w:pPr>
        <w:spacing w:before="200" w:after="0"/>
      </w:pPr>
      <w:r>
        <w:t xml:space="preserve"/>
      </w:r>
    </w:p>
    <w:p>
      <w:pPr>
        <w:pBdr>
          <w:bottom w:val="single" w:color="C8922A" w:sz="6"/>
        </w:pBdr>
        <w:spacing w:before="0" w:after="0"/>
      </w:pPr>
    </w:p>
    <w:p>
      <w:pPr>
        <w:spacing w:before="120" w:after="0"/>
      </w:pPr>
      <w:r>
        <w:t xml:space="preserve"/>
      </w:r>
    </w:p>
    <w:p>
      <w:pPr>
        <w:spacing w:before="0" w:after="0"/>
        <w:jc w:val="center"/>
      </w:pPr>
      <w:r>
        <w:rPr>
          <w:rFonts w:ascii="Arial" w:cs="Arial" w:eastAsia="Arial" w:hAnsi="Arial"/>
          <w:color w:val="8A8A8A"/>
          <w:sz w:val="20"/>
          <w:szCs w:val="20"/>
        </w:rPr>
        <w:t xml:space="preserve">PiPulse  |  Strategic Execution Plan  |  Version 1.0  |  2026  |  Confidential</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pBdr>
      <w:tabs>
        <w:tab w:val="right" w:pos="9026"/>
      </w:tabs>
      <w:spacing w:before="0" w:after="80"/>
    </w:pPr>
    <w:r>
      <w:rPr>
        <w:rFonts w:ascii="Arial" w:cs="Arial" w:eastAsia="Arial" w:hAnsi="Arial"/>
        <w:color w:val="8A8A8A"/>
        <w:sz w:val="18"/>
        <w:szCs w:val="18"/>
      </w:rPr>
      <w:t xml:space="preserve">PiPulse  |  Strategic Execution Plan  |  CONFIDENTIAL</w:t>
    </w:r>
    <w:r>
      <w:rPr>
        <w:rFonts w:ascii="Arial" w:cs="Arial" w:eastAsia="Arial" w:hAnsi="Arial"/>
        <w:sz w:val="18"/>
        <w:szCs w:val="18"/>
      </w:rPr>
      <w:t xml:space="preserve">		</w:t>
    </w: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B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4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2026-02-26T19:20:19.339Z</dcterms:created>
  <dcterms:modified xsi:type="dcterms:W3CDTF">2026-02-26T19:20:19.340Z</dcterms:modified>
</cp:coreProperties>
</file>

<file path=docProps/custom.xml><?xml version="1.0" encoding="utf-8"?>
<Properties xmlns="http://schemas.openxmlformats.org/officeDocument/2006/custom-properties" xmlns:vt="http://schemas.openxmlformats.org/officeDocument/2006/docPropsVTypes"/>
</file>