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line="276" w:lineRule="auto"/>
      </w:pPr>
    </w:p>
    <w:p>
      <w:pPr>
        <w:spacing w:before="0" w:after="100" w:line="276" w:lineRule="auto"/>
        <w:jc w:val="center"/>
      </w:pPr>
      <w:r>
        <w:rPr>
          <w:rFonts w:ascii="Arial" w:cs="Arial" w:eastAsia="Arial" w:hAnsi="Arial"/>
          <w:b/>
          <w:bCs/>
          <w:color w:val="1B3A6B"/>
          <w:sz w:val="52"/>
          <w:szCs w:val="52"/>
        </w:rPr>
        <w:t xml:space="preserve">AI AGENT CONTROLS FRAMEWORK</w:t>
      </w:r>
    </w:p>
    <w:p>
      <w:pPr>
        <w:spacing w:before="0" w:after="80" w:line="276" w:lineRule="auto"/>
        <w:jc w:val="center"/>
      </w:pPr>
      <w:r>
        <w:rPr>
          <w:rFonts w:ascii="Arial" w:cs="Arial" w:eastAsia="Arial" w:hAnsi="Arial"/>
          <w:b/>
          <w:bCs/>
          <w:color w:val="2E5FA3"/>
          <w:sz w:val="44"/>
          <w:szCs w:val="44"/>
        </w:rPr>
        <w:t xml:space="preserve">FOR FINANCIAL INSTITUTIONS</w:t>
      </w:r>
    </w:p>
    <w:p>
      <w:pPr>
        <w:spacing w:before="0" w:after="60" w:line="276" w:lineRule="auto"/>
      </w:pPr>
    </w:p>
    <w:p>
      <w:pPr>
        <w:pBdr>
          <w:bottom w:val="single" w:color="C9960C" w:sz="12" w:space="1"/>
        </w:pBdr>
        <w:spacing w:before="0" w:after="60" w:line="276" w:lineRule="auto"/>
        <w:jc w:val="center"/>
      </w:pPr>
    </w:p>
    <w:p>
      <w:pPr>
        <w:spacing w:before="0" w:after="60" w:line="276" w:lineRule="auto"/>
      </w:pPr>
    </w:p>
    <w:p>
      <w:pPr>
        <w:spacing w:before="0" w:after="80" w:line="276" w:lineRule="auto"/>
        <w:jc w:val="center"/>
      </w:pPr>
      <w:r>
        <w:rPr>
          <w:rFonts w:ascii="Arial" w:cs="Arial" w:eastAsia="Arial" w:hAnsi="Arial"/>
          <w:i/>
          <w:iCs/>
          <w:color w:val="5D6D7E"/>
          <w:sz w:val="30"/>
          <w:szCs w:val="30"/>
        </w:rPr>
        <w:t xml:space="preserve">A Governance, Risk &amp; Compliance Perspective</w:t>
      </w:r>
    </w:p>
    <w:p>
      <w:pPr>
        <w:spacing w:before="0" w:after="400" w:line="276" w:lineRule="auto"/>
      </w:pPr>
    </w:p>
    <w:p>
      <w:pPr>
        <w:spacing w:before="0" w:after="60" w:line="276" w:lineRule="auto"/>
        <w:jc w:val="center"/>
      </w:pPr>
      <w:r>
        <w:rPr>
          <w:rFonts w:ascii="Arial" w:cs="Arial" w:eastAsia="Arial" w:hAnsi="Arial"/>
          <w:b/>
          <w:bCs/>
          <w:color w:val="C9960C"/>
          <w:sz w:val="24"/>
          <w:szCs w:val="24"/>
        </w:rPr>
        <w:t xml:space="preserve">RESEARCH DOCUMENT</w:t>
      </w:r>
    </w:p>
    <w:p>
      <w:pPr>
        <w:spacing w:before="0" w:after="60" w:line="276" w:lineRule="auto"/>
        <w:jc w:val="center"/>
      </w:pPr>
      <w:r>
        <w:rPr>
          <w:rFonts w:ascii="Arial" w:cs="Arial" w:eastAsia="Arial" w:hAnsi="Arial"/>
          <w:color w:val="5D6D7E"/>
          <w:sz w:val="22"/>
          <w:szCs w:val="22"/>
        </w:rPr>
        <w:t xml:space="preserve">March 2026  |  Version 1.0</w:t>
      </w:r>
    </w:p>
    <w:p>
      <w:pPr>
        <w:spacing w:before="0" w:after="60" w:line="276" w:lineRule="auto"/>
        <w:jc w:val="center"/>
      </w:pPr>
      <w:r>
        <w:rPr>
          <w:rFonts w:ascii="Arial" w:cs="Arial" w:eastAsia="Arial" w:hAnsi="Arial"/>
          <w:i/>
          <w:iCs/>
          <w:color w:val="5D6D7E"/>
          <w:sz w:val="20"/>
          <w:szCs w:val="20"/>
        </w:rPr>
        <w:t xml:space="preserve">Prepared for: CROs • CCOs • Auditors • Regulators • AI Governance Committees</w:t>
      </w:r>
    </w:p>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1. Executive Summary</w:t>
      </w:r>
    </w:p>
    <w:p>
      <w:pPr>
        <w:spacing w:before="0" w:after="140" w:line="276" w:lineRule="auto"/>
        <w:jc w:val="both"/>
      </w:pPr>
      <w:r>
        <w:rPr>
          <w:rFonts w:ascii="Arial" w:cs="Arial" w:eastAsia="Arial" w:hAnsi="Arial"/>
          <w:color w:val="1A1A1A"/>
          <w:sz w:val="22"/>
          <w:szCs w:val="22"/>
        </w:rPr>
        <w:t xml:space="preserve">Artificial intelligence agents represent the most consequential shift in financial services technology since the automation of trading floors. Unlike traditional AI models that produce outputs for human review, AI agents are autonomous systems that plan, decide, and act — executing multi-step workflows, calling external tools, moving money, communicating with customers, and influencing credit decisions — often without a human in the loop.</w:t>
      </w:r>
    </w:p>
    <w:p>
      <w:pPr>
        <w:spacing w:before="0" w:after="140" w:line="276" w:lineRule="auto"/>
        <w:jc w:val="both"/>
      </w:pPr>
      <w:r>
        <w:rPr>
          <w:rFonts w:ascii="Arial" w:cs="Arial" w:eastAsia="Arial" w:hAnsi="Arial"/>
          <w:color w:val="1A1A1A"/>
          <w:sz w:val="22"/>
          <w:szCs w:val="22"/>
        </w:rPr>
        <w:t xml:space="preserve">This creates a fundamental control gap. The governance frameworks that financial institutions have built over the past two decades — model risk management, IT change control, conduct risk frameworks, algorithmic trading oversight — were designed for a world where AI systems respond, not act. Today's agents do both, and sometimes neither in a way that any single existing framework adequately governs.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1.1  Why Agentic AI Is Fundamentally Different</w:t>
      </w:r>
    </w:p>
    <w:p>
      <w:pPr>
        <w:spacing w:before="0" w:after="140" w:line="276" w:lineRule="auto"/>
        <w:jc w:val="both"/>
      </w:pPr>
      <w:r>
        <w:rPr>
          <w:rFonts w:ascii="Arial" w:cs="Arial" w:eastAsia="Arial" w:hAnsi="Arial"/>
          <w:color w:val="1A1A1A"/>
          <w:sz w:val="22"/>
          <w:szCs w:val="22"/>
        </w:rPr>
        <w:t xml:space="preserve">Traditional AI models in financial services — credit scorecards, fraud detection classifiers, NLP-based customer intent engines — share a common property: they are passive. They receive an input, compute an output, and wait. A human or a rule-based system decides what to do with the result.</w:t>
      </w:r>
    </w:p>
    <w:p>
      <w:pPr>
        <w:spacing w:before="0" w:after="140" w:line="276" w:lineRule="auto"/>
        <w:jc w:val="both"/>
      </w:pPr>
      <w:r>
        <w:rPr>
          <w:rFonts w:ascii="Arial" w:cs="Arial" w:eastAsia="Arial" w:hAnsi="Arial"/>
          <w:color w:val="1A1A1A"/>
          <w:sz w:val="22"/>
          <w:szCs w:val="22"/>
        </w:rPr>
        <w:t xml:space="preserve">AI agents break this paradigm in three critical ways: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Autonomy of action: Agents initiate tool calls — querying databases, sending emails, executing trades, updating records — as part of their reasoning loop. The action is the output.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Multi-step reasoning: Agents decompose goals into sequences of sub-tasks, evaluating intermediate results and adapting their approach. This is not a single model call; it is an extended, stateful reasoning process.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Tool access and real-world impact: Agents are given access to APIs, databases, communication channels, and financial systems. A mistake is not just an incorrect prediction — it may be an executed transaction, a sent communication, or a modified record.</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24"/>
              <w:bottom w:val="single" w:color="2E5FA3" w:sz="4"/>
              <w:right w:val="single" w:color="2E5FA3" w:sz="4"/>
            </w:tcBorders>
            <w:shd w:fill="D6E4F0" w:val="clear"/>
            <w:tcMar>
              <w:top w:type="dxa" w:w="100"/>
              <w:left w:type="dxa" w:w="180"/>
              <w:bottom w:type="dxa" w:w="100"/>
              <w:right w:type="dxa" w:w="180"/>
            </w:tcMar>
          </w:tcPr>
          <w:p>
            <w:pPr>
              <w:spacing w:before="0" w:after="60" w:line="276" w:lineRule="auto"/>
            </w:pPr>
            <w:r>
              <w:rPr>
                <w:rFonts w:ascii="Arial" w:cs="Arial" w:eastAsia="Arial" w:hAnsi="Arial"/>
                <w:b/>
                <w:bCs/>
                <w:color w:val="2E5FA3"/>
                <w:sz w:val="20"/>
                <w:szCs w:val="20"/>
              </w:rPr>
              <w:t xml:space="preserve">ℹ  KEY REGULATORY REQUIREMENT</w:t>
            </w:r>
          </w:p>
          <w:p>
            <w:pPr>
              <w:spacing w:before="0" w:after="40" w:line="276" w:lineRule="auto"/>
              <w:jc w:val="both"/>
            </w:pPr>
            <w:r>
              <w:rPr>
                <w:rFonts w:ascii="Arial" w:cs="Arial" w:eastAsia="Arial" w:hAnsi="Arial"/>
                <w:color w:val="1A1A1A"/>
                <w:sz w:val="20"/>
                <w:szCs w:val="20"/>
              </w:rPr>
              <w:t xml:space="preserve">The Basel Committee on Banking Supervision's Principles for Operational Resilience (2021) require that institutions identify, monitor and manage operational risks arising from the use of technology. Agentic AI systems create novel operational risk exposures that existing frameworks do not fully address. Regulatory supervisors globally are actively developing guidance to close this gap.</w:t>
            </w:r>
          </w:p>
        </w:tc>
      </w:tr>
    </w:tbl>
    <w:p>
      <w:pPr>
        <w:spacing w:before="0" w:after="120" w:line="276" w:lineRule="auto"/>
      </w:pPr>
    </w:p>
    <w:p>
      <w:pPr>
        <w:pStyle w:val="Heading2"/>
        <w:spacing w:before="280" w:after="120" w:line="276" w:lineRule="auto"/>
      </w:pPr>
      <w:r>
        <w:rPr>
          <w:rFonts w:ascii="Arial" w:cs="Arial" w:eastAsia="Arial" w:hAnsi="Arial"/>
          <w:b/>
          <w:bCs/>
          <w:color w:val="2E5FA3"/>
          <w:sz w:val="28"/>
          <w:szCs w:val="28"/>
        </w:rPr>
        <w:t xml:space="preserve">1.2  The Control Gap That Currently Exists</w:t>
      </w:r>
    </w:p>
    <w:p>
      <w:pPr>
        <w:spacing w:before="0" w:after="140" w:line="276" w:lineRule="auto"/>
        <w:jc w:val="both"/>
      </w:pPr>
      <w:r>
        <w:rPr>
          <w:rFonts w:ascii="Arial" w:cs="Arial" w:eastAsia="Arial" w:hAnsi="Arial"/>
          <w:color w:val="1A1A1A"/>
          <w:sz w:val="22"/>
          <w:szCs w:val="22"/>
        </w:rPr>
        <w:t xml:space="preserve">Most financial institutions that have deployed AI agents — whether for customer service, compliance monitoring, or back-office automation — have done so under one of three flawed assumptions: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That existing model risk management (MRM) frameworks (SR 11-7, SS 1/23) adequately govern agents, when in fact they were designed for single-inference statistical models with defined input-output boundaries.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That standard IT change management controls are sufficient, when agents exhibit emergent behaviour that cannot be predicted from reviewing individual components.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That audit and compliance teams can assess agent behaviour through spot-checks and logs, when agent reasoning chains may span hundreds of intermediate steps that require purpose-built observability infrastructure.</w:t>
      </w:r>
    </w:p>
    <w:p>
      <w:pPr>
        <w:spacing w:before="0" w:after="80" w:line="276" w:lineRule="auto"/>
      </w:pPr>
    </w:p>
    <w:p>
      <w:pPr>
        <w:spacing w:before="0" w:after="140" w:line="276" w:lineRule="auto"/>
        <w:jc w:val="both"/>
      </w:pPr>
      <w:r>
        <w:rPr>
          <w:rFonts w:ascii="Arial" w:cs="Arial" w:eastAsia="Arial" w:hAnsi="Arial"/>
          <w:color w:val="1A1A1A"/>
          <w:sz w:val="22"/>
          <w:szCs w:val="22"/>
        </w:rPr>
        <w:t xml:space="preserve">The gap is not theoretical. Financial institutions have already experienced incidents where autonomous agents exceeded their intended scope, generated regulatory compliance breaches through automated customer communications, or accumulated financial exposures beyond their sanctioned limits — not through malicious action, but through the compounding of individually reasonable-seeming decisions.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1.3  Key Recommendations Summary</w:t>
      </w:r>
    </w:p>
    <w:p>
      <w:pPr>
        <w:spacing w:before="0" w:after="140" w:line="276" w:lineRule="auto"/>
        <w:jc w:val="both"/>
      </w:pPr>
      <w:r>
        <w:rPr>
          <w:rFonts w:ascii="Arial" w:cs="Arial" w:eastAsia="Arial" w:hAnsi="Arial"/>
          <w:color w:val="1A1A1A"/>
          <w:sz w:val="22"/>
          <w:szCs w:val="22"/>
        </w:rPr>
        <w:t xml:space="preserve">This document provides a comprehensive framework for governing AI agents in financial institutions. The top-level recommendations are:</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Establish an AI Agent Inventory as the immediate first priority — institutions cannot govern what they cannot see.</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Extend the Model Risk Management framework to include agents as a distinct category, with agent-specific validation methodologies.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Implement mandatory human-in-the-loop checkpoints for all agent actions above defined financial exposure thresholds.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Build immutable, structured audit logs of every agent action, reasoning step, and tool call — treat this as non-negotiable infrastructure.</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Adopt the three-layer control model: Design Controls (pre-deployment), Runtime Controls (in-operation), and Monitoring Controls (ongoing observability).</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Develop an AI Agent Governance Committee with cross-functional representation from Risk, Compliance, Technology, Legal, and Business.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Engage proactively with regulators — particularly the RBI in India — to participate in consultations and position the institution as a leader in responsible AI deployment.</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0C" w:sz="4"/>
              <w:left w:val="single" w:color="C9960C" w:sz="24"/>
              <w:bottom w:val="single" w:color="C9960C" w:sz="4"/>
              <w:right w:val="single" w:color="C9960C" w:sz="4"/>
            </w:tcBorders>
            <w:shd w:fill="FFF3CD" w:val="clear"/>
            <w:tcMar>
              <w:top w:type="dxa" w:w="100"/>
              <w:left w:type="dxa" w:w="180"/>
              <w:bottom w:type="dxa" w:w="100"/>
              <w:right w:type="dxa" w:w="180"/>
            </w:tcMar>
          </w:tcPr>
          <w:p>
            <w:pPr>
              <w:spacing w:before="0" w:after="60" w:line="276" w:lineRule="auto"/>
            </w:pPr>
            <w:r>
              <w:rPr>
                <w:rFonts w:ascii="Arial" w:cs="Arial" w:eastAsia="Arial" w:hAnsi="Arial"/>
                <w:b/>
                <w:bCs/>
                <w:color w:val="C9960C"/>
                <w:sz w:val="20"/>
                <w:szCs w:val="20"/>
              </w:rPr>
              <w:t xml:space="preserve">✎  AUDITOR NOTE</w:t>
            </w:r>
          </w:p>
          <w:p>
            <w:pPr>
              <w:spacing w:before="0" w:after="40" w:line="276" w:lineRule="auto"/>
              <w:jc w:val="both"/>
            </w:pPr>
            <w:r>
              <w:rPr>
                <w:rFonts w:ascii="Arial" w:cs="Arial" w:eastAsia="Arial" w:hAnsi="Arial"/>
                <w:color w:val="1A1A1A"/>
                <w:sz w:val="20"/>
                <w:szCs w:val="20"/>
              </w:rPr>
              <w:t xml:space="preserve">Executive summaries of this type are increasingly requested by audit committees as part of the annual AI risk assessment. Institutions should maintain a version of this document updated annually, signed off by the CRO and CCO, and presented to the Board Risk Committee.</w:t>
            </w:r>
          </w:p>
        </w:tc>
      </w:tr>
    </w:tbl>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2. What Are AI Agents? (Financial Services Context)</w:t>
      </w:r>
    </w:p>
    <w:p>
      <w:pPr>
        <w:pStyle w:val="Heading2"/>
        <w:spacing w:before="280" w:after="120" w:line="276" w:lineRule="auto"/>
      </w:pPr>
      <w:r>
        <w:rPr>
          <w:rFonts w:ascii="Arial" w:cs="Arial" w:eastAsia="Arial" w:hAnsi="Arial"/>
          <w:b/>
          <w:bCs/>
          <w:color w:val="2E5FA3"/>
          <w:sz w:val="28"/>
          <w:szCs w:val="28"/>
        </w:rPr>
        <w:t xml:space="preserve">2.1  Definition: AI Agents vs. Traditional Models</w:t>
      </w:r>
    </w:p>
    <w:p>
      <w:pPr>
        <w:spacing w:before="0" w:after="140" w:line="276" w:lineRule="auto"/>
        <w:jc w:val="both"/>
      </w:pPr>
      <w:r>
        <w:rPr>
          <w:rFonts w:ascii="Arial" w:cs="Arial" w:eastAsia="Arial" w:hAnsi="Arial"/>
          <w:color w:val="1A1A1A"/>
          <w:sz w:val="22"/>
          <w:szCs w:val="22"/>
        </w:rPr>
        <w:t xml:space="preserve">A traditional AI model in financial services is a function: it maps inputs to outputs. A credit scorecard takes applicant data and returns a probability of default. A fraud detection classifier takes transaction features and returns a risk score. These systems are deterministic, bounded, and interpretable in their scope.</w:t>
      </w:r>
    </w:p>
    <w:p>
      <w:pPr>
        <w:spacing w:before="0" w:after="140" w:line="276" w:lineRule="auto"/>
        <w:jc w:val="both"/>
      </w:pPr>
      <w:r>
        <w:rPr>
          <w:rFonts w:ascii="Arial" w:cs="Arial" w:eastAsia="Arial" w:hAnsi="Arial"/>
          <w:color w:val="1A1A1A"/>
          <w:sz w:val="22"/>
          <w:szCs w:val="22"/>
        </w:rPr>
        <w:t xml:space="preserve">An AI agent is fundamentally different. In the academic and engineering literature, an agent is defined as a system that perceives its environment, reasons about goals, selects actions, executes those actions using tools, observes the results, and iterates — all within a single autonomous loop. Large language model (LLM) based agents add a further dimension: they use natural language reasoning as the cognitive substrate, enabling them to handle unstructured inputs, ambiguous goals, and novel situations with a flexibility that no traditional model can match.</w:t>
      </w:r>
    </w:p>
    <w:p>
      <w:pPr>
        <w:spacing w:before="0" w:after="140" w:line="276" w:lineRule="auto"/>
        <w:jc w:val="both"/>
      </w:pPr>
      <w:r>
        <w:rPr>
          <w:rFonts w:ascii="Arial" w:cs="Arial" w:eastAsia="Arial" w:hAnsi="Arial"/>
          <w:color w:val="1A1A1A"/>
          <w:sz w:val="22"/>
          <w:szCs w:val="22"/>
        </w:rPr>
        <w:t xml:space="preserve">In practical financial services terms, an AI agent is any system that: (a) uses an LLM or equivalent reasoning engine as its core; (b) has access to one or more tools (APIs, databases, communication channels, financial systems); and (c) can execute multi-step workflows with minimal human intervention between steps.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2.2  Taxonomy of AI Agents</w:t>
      </w:r>
    </w:p>
    <w:p>
      <w:pPr>
        <w:spacing w:before="0" w:after="140" w:line="276" w:lineRule="auto"/>
        <w:jc w:val="both"/>
      </w:pPr>
      <w:r>
        <w:rPr>
          <w:rFonts w:ascii="Arial" w:cs="Arial" w:eastAsia="Arial" w:hAnsi="Arial"/>
          <w:color w:val="1A1A1A"/>
          <w:sz w:val="22"/>
          <w:szCs w:val="22"/>
        </w:rPr>
        <w:t xml:space="preserve">Not all AI agents present the same risk profile. A structured taxonomy is essential for risk-based governance:</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Agent Type</w:t>
            </w:r>
          </w:p>
        </w:tc>
        <w:tc>
          <w:tcPr>
            <w:tcW w:type="dxa" w:w="358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Characteristics</w:t>
            </w:r>
          </w:p>
        </w:tc>
        <w:tc>
          <w:tcPr>
            <w:tcW w:type="dxa" w:w="358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Financial Services Example</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Single-Agent</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One LLM instance, one goal, access to a defined tool set. Relatively contained.</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customer service bot that checks account balances, answers FAQ, and escalates complex queries.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Multi-Agent Pipeline</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Multiple agents with defined roles; outputs of one feed inputs of the next. Sequential or parallel.</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loan underwriting pipeline: data extraction agent → credit analysis agent → decision agent → notification agent.</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Orchestrator + Sub-Agents</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coordinator agent dynamically delegates to specialist sub-agents based on task requirements.</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compliance monitoring orchestrator that spawns specialist agents for AML, KYC, and conduct risk screening.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Human-in-the-Loop (HITL)</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Agent pauses at defined checkpoints for human review and approval before proceeding.</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trade execution agent that autonomously identifies opportunities but requires a trader to approve each order.</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Fully Autonomous</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Operates without human checkpoints within defined parameters. Highest risk tier.</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 algorithmic market-making agent that continuously quotes and hedges within pre-set limits.</w:t>
            </w:r>
          </w:p>
        </w:tc>
      </w:tr>
    </w:tbl>
    <w:p>
      <w:pPr>
        <w:spacing w:before="0" w:after="160" w:line="276" w:lineRule="auto"/>
      </w:pPr>
    </w:p>
    <w:p>
      <w:pPr>
        <w:pStyle w:val="Heading2"/>
        <w:spacing w:before="280" w:after="120" w:line="276" w:lineRule="auto"/>
      </w:pPr>
      <w:r>
        <w:rPr>
          <w:rFonts w:ascii="Arial" w:cs="Arial" w:eastAsia="Arial" w:hAnsi="Arial"/>
          <w:b/>
          <w:bCs/>
          <w:color w:val="2E5FA3"/>
          <w:sz w:val="28"/>
          <w:szCs w:val="28"/>
        </w:rPr>
        <w:t xml:space="preserve">2.3  Real-World Use Cases in Financial Services</w:t>
      </w:r>
    </w:p>
    <w:p>
      <w:pPr>
        <w:pStyle w:val="Heading3"/>
        <w:spacing w:before="200" w:after="80" w:line="276" w:lineRule="auto"/>
      </w:pPr>
      <w:r>
        <w:rPr>
          <w:rFonts w:ascii="Arial" w:cs="Arial" w:eastAsia="Arial" w:hAnsi="Arial"/>
          <w:b/>
          <w:bCs/>
          <w:color w:val="1B3A6B"/>
          <w:sz w:val="24"/>
          <w:szCs w:val="24"/>
        </w:rPr>
        <w:t xml:space="preserve">2.3.1  Trade Execution Agents</w:t>
      </w:r>
    </w:p>
    <w:p>
      <w:pPr>
        <w:spacing w:before="0" w:after="140" w:line="276" w:lineRule="auto"/>
        <w:jc w:val="both"/>
      </w:pPr>
      <w:r>
        <w:rPr>
          <w:rFonts w:ascii="Arial" w:cs="Arial" w:eastAsia="Arial" w:hAnsi="Arial"/>
          <w:color w:val="1A1A1A"/>
          <w:sz w:val="22"/>
          <w:szCs w:val="22"/>
        </w:rPr>
        <w:t xml:space="preserve">Trade execution agents monitor market conditions, analyse order books, optimise execution timing and routing, and submit orders to exchanges or dark pools. Advanced implementations maintain a dynamic view of market impact and adapt execution strategy in real time. These agents operate in millisecond timeframes where human intervention is operationally impossible, making pre-deployment design controls and real-time circuit breakers the primary risk mitigants.</w:t>
      </w:r>
    </w:p>
    <w:p>
      <w:pPr>
        <w:pStyle w:val="Heading3"/>
        <w:spacing w:before="200" w:after="80" w:line="276" w:lineRule="auto"/>
      </w:pPr>
      <w:r>
        <w:rPr>
          <w:rFonts w:ascii="Arial" w:cs="Arial" w:eastAsia="Arial" w:hAnsi="Arial"/>
          <w:b/>
          <w:bCs/>
          <w:color w:val="1B3A6B"/>
          <w:sz w:val="24"/>
          <w:szCs w:val="24"/>
        </w:rPr>
        <w:t xml:space="preserve">2.3.2  Fraud Detection Agents</w:t>
      </w:r>
    </w:p>
    <w:p>
      <w:pPr>
        <w:spacing w:before="0" w:after="140" w:line="276" w:lineRule="auto"/>
        <w:jc w:val="both"/>
      </w:pPr>
      <w:r>
        <w:rPr>
          <w:rFonts w:ascii="Arial" w:cs="Arial" w:eastAsia="Arial" w:hAnsi="Arial"/>
          <w:color w:val="1A1A1A"/>
          <w:sz w:val="22"/>
          <w:szCs w:val="22"/>
        </w:rPr>
        <w:t xml:space="preserve">Fraud detection agents move beyond traditional rule-based or ML classifiers by conducting active investigation workflows: querying transaction history, cross-referencing device fingerprints, analysing behavioural biometrics, and initiating customer verification challenges — all within a single agent session. The shift from passive detection to active investigation dramatically improves catch rates but introduces new risks around false positives causing legitimate customer friction and data access scope creep.</w:t>
      </w:r>
    </w:p>
    <w:p>
      <w:pPr>
        <w:pStyle w:val="Heading3"/>
        <w:spacing w:before="200" w:after="80" w:line="276" w:lineRule="auto"/>
      </w:pPr>
      <w:r>
        <w:rPr>
          <w:rFonts w:ascii="Arial" w:cs="Arial" w:eastAsia="Arial" w:hAnsi="Arial"/>
          <w:b/>
          <w:bCs/>
          <w:color w:val="1B3A6B"/>
          <w:sz w:val="24"/>
          <w:szCs w:val="24"/>
        </w:rPr>
        <w:t xml:space="preserve">2.3.3  Loan Underwriting Agents</w:t>
      </w:r>
    </w:p>
    <w:p>
      <w:pPr>
        <w:spacing w:before="0" w:after="140" w:line="276" w:lineRule="auto"/>
        <w:jc w:val="both"/>
      </w:pPr>
      <w:r>
        <w:rPr>
          <w:rFonts w:ascii="Arial" w:cs="Arial" w:eastAsia="Arial" w:hAnsi="Arial"/>
          <w:color w:val="1A1A1A"/>
          <w:sz w:val="22"/>
          <w:szCs w:val="22"/>
        </w:rPr>
        <w:t xml:space="preserve">Underwriting agents ingest applicant data from multiple sources, assess creditworthiness, identify documentation gaps, request additional information from applicants, consult bureau data, and produce a structured credit recommendation. In some deployments, they have authority to approve applications below a threshold without human review. These agents sit squarely within the EU AI Act's high-risk AI category and attract significant scrutiny from consumer protection regulators.</w:t>
      </w:r>
    </w:p>
    <w:p>
      <w:pPr>
        <w:pStyle w:val="Heading3"/>
        <w:spacing w:before="200" w:after="80" w:line="276" w:lineRule="auto"/>
      </w:pPr>
      <w:r>
        <w:rPr>
          <w:rFonts w:ascii="Arial" w:cs="Arial" w:eastAsia="Arial" w:hAnsi="Arial"/>
          <w:b/>
          <w:bCs/>
          <w:color w:val="1B3A6B"/>
          <w:sz w:val="24"/>
          <w:szCs w:val="24"/>
        </w:rPr>
        <w:t xml:space="preserve">2.3.4  Customer Advisory Bots</w:t>
      </w:r>
    </w:p>
    <w:p>
      <w:pPr>
        <w:spacing w:before="0" w:after="140" w:line="276" w:lineRule="auto"/>
        <w:jc w:val="both"/>
      </w:pPr>
      <w:r>
        <w:rPr>
          <w:rFonts w:ascii="Arial" w:cs="Arial" w:eastAsia="Arial" w:hAnsi="Arial"/>
          <w:color w:val="1A1A1A"/>
          <w:sz w:val="22"/>
          <w:szCs w:val="22"/>
        </w:rPr>
        <w:t xml:space="preserve">Customer advisory bots engage customers in natural language conversations, provide financial product information, assist with account management, identify cross-sell opportunities, and in some cases provide investment guidance. The conduct risk implications are profound: an agent that provides financial advice must meet the same suitability and disclosure standards as a human advisor, but does so at scale and with less inherent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ADBD8" w:val="clear"/>
            <w:tcMar>
              <w:top w:type="dxa" w:w="100"/>
              <w:left w:type="dxa" w:w="180"/>
              <w:bottom w:type="dxa" w:w="100"/>
              <w:right w:type="dxa" w:w="180"/>
            </w:tcMar>
          </w:tcPr>
          <w:p>
            <w:pPr>
              <w:spacing w:before="0" w:after="60" w:line="276" w:lineRule="auto"/>
            </w:pPr>
            <w:r>
              <w:rPr>
                <w:rFonts w:ascii="Arial" w:cs="Arial" w:eastAsia="Arial" w:hAnsi="Arial"/>
                <w:b/>
                <w:bCs/>
                <w:color w:val="C0392B"/>
                <w:sz w:val="20"/>
                <w:szCs w:val="20"/>
              </w:rPr>
              <w:t xml:space="preserve">⚠  RED FLAG</w:t>
            </w:r>
          </w:p>
          <w:p>
            <w:pPr>
              <w:spacing w:before="0" w:after="40" w:line="276" w:lineRule="auto"/>
              <w:jc w:val="both"/>
            </w:pPr>
            <w:r>
              <w:rPr>
                <w:rFonts w:ascii="Arial" w:cs="Arial" w:eastAsia="Arial" w:hAnsi="Arial"/>
                <w:color w:val="1A1A1A"/>
                <w:sz w:val="20"/>
                <w:szCs w:val="20"/>
              </w:rPr>
              <w:t xml:space="preserve">Customer advisory bots that provide investment or insurance recommendations without explicit suitability assessment, disclosure of limitations, and regulatory approval as a distribution channel represent one of the highest conduct risk exposures in current agent deployments. Regulators in the EU, UK, US, and India have all signalled that existing mis-selling frameworks apply fully to AI-generated advice.</w:t>
            </w:r>
          </w:p>
        </w:tc>
      </w:tr>
    </w:tbl>
    <w:p>
      <w:pPr>
        <w:spacing w:before="0" w:after="120" w:line="276" w:lineRule="auto"/>
      </w:pPr>
    </w:p>
    <w:p>
      <w:pPr>
        <w:pStyle w:val="Heading3"/>
        <w:spacing w:before="200" w:after="80" w:line="276" w:lineRule="auto"/>
      </w:pPr>
      <w:r>
        <w:rPr>
          <w:rFonts w:ascii="Arial" w:cs="Arial" w:eastAsia="Arial" w:hAnsi="Arial"/>
          <w:b/>
          <w:bCs/>
          <w:color w:val="1B3A6B"/>
          <w:sz w:val="24"/>
          <w:szCs w:val="24"/>
        </w:rPr>
        <w:t xml:space="preserve">2.3.5  Compliance Monitoring Agents</w:t>
      </w:r>
    </w:p>
    <w:p>
      <w:pPr>
        <w:spacing w:before="0" w:after="140" w:line="276" w:lineRule="auto"/>
        <w:jc w:val="both"/>
      </w:pPr>
      <w:r>
        <w:rPr>
          <w:rFonts w:ascii="Arial" w:cs="Arial" w:eastAsia="Arial" w:hAnsi="Arial"/>
          <w:color w:val="1A1A1A"/>
          <w:sz w:val="22"/>
          <w:szCs w:val="22"/>
        </w:rPr>
        <w:t xml:space="preserve">Compliance monitoring agents continuously scan transactions, communications, and behaviours for regulatory breaches. Unlike traditional rules-based surveillance systems, agent-based monitors can detect novel patterns, cross-reference multiple data sources, and generate detailed case files for human review. They can also file regulatory reports, trigger controls, and escalate to senior management. Their effectiveness depends critically on the quality of their training data, the robustness of their tool access controls, and the reliability of their anomaly detection thresholds.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2.4  Why Financial Institutions Are Rapidly Adopting Agents</w:t>
      </w:r>
    </w:p>
    <w:p>
      <w:pPr>
        <w:spacing w:before="0" w:after="140" w:line="276" w:lineRule="auto"/>
        <w:jc w:val="both"/>
      </w:pPr>
      <w:r>
        <w:rPr>
          <w:rFonts w:ascii="Arial" w:cs="Arial" w:eastAsia="Arial" w:hAnsi="Arial"/>
          <w:color w:val="1A1A1A"/>
          <w:sz w:val="22"/>
          <w:szCs w:val="22"/>
        </w:rPr>
        <w:t xml:space="preserve">The adoption of AI agents in financial services is being driven by four converging forces: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Cost efficiency: A single agent can handle workloads that previously required teams of analysts, operating continuously at a fraction of the cost and with greater consistency.</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Speed: Agents can compress multi-day processes (loan underwriting, KYC completion, regulatory report generation) into minutes or hours, dramatically improving customer experience and operational throughput.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Regulatory complexity: As regulatory requirements proliferate, agents offer the ability to monitor compliance continuously rather than through periodic sampling, reducing the risk of breaches going undetected.</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Competitive pressure: Early adopters are demonstrating significant competitive advantages in customer acquisition, operational efficiency, and risk management quality. Late adopters face existential pressure to follow.</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24"/>
              <w:bottom w:val="single" w:color="2E5FA3" w:sz="4"/>
              <w:right w:val="single" w:color="2E5FA3" w:sz="4"/>
            </w:tcBorders>
            <w:shd w:fill="D6E4F0" w:val="clear"/>
            <w:tcMar>
              <w:top w:type="dxa" w:w="100"/>
              <w:left w:type="dxa" w:w="180"/>
              <w:bottom w:type="dxa" w:w="100"/>
              <w:right w:type="dxa" w:w="180"/>
            </w:tcMar>
          </w:tcPr>
          <w:p>
            <w:pPr>
              <w:spacing w:before="0" w:after="60" w:line="276" w:lineRule="auto"/>
            </w:pPr>
            <w:r>
              <w:rPr>
                <w:rFonts w:ascii="Arial" w:cs="Arial" w:eastAsia="Arial" w:hAnsi="Arial"/>
                <w:b/>
                <w:bCs/>
                <w:color w:val="2E5FA3"/>
                <w:sz w:val="20"/>
                <w:szCs w:val="20"/>
              </w:rPr>
              <w:t xml:space="preserve">ℹ  KEY REGULATORY REQUIREMENT</w:t>
            </w:r>
          </w:p>
          <w:p>
            <w:pPr>
              <w:spacing w:before="0" w:after="40" w:line="276" w:lineRule="auto"/>
              <w:jc w:val="both"/>
            </w:pPr>
            <w:r>
              <w:rPr>
                <w:rFonts w:ascii="Arial" w:cs="Arial" w:eastAsia="Arial" w:hAnsi="Arial"/>
                <w:color w:val="1A1A1A"/>
                <w:sz w:val="20"/>
                <w:szCs w:val="20"/>
              </w:rPr>
              <w:t xml:space="preserve">The Reserve Bank of India's Digital Lending Guidelines (2022) and subsequent amendments make regulated entities responsible for all customer-facing activities conducted by their technology partners and systems, including AI agents. This means that outsourcing the deployment of an AI agent to a fintech partner does not transfer the regulatory liability — it remains with the licensed entity.</w:t>
            </w:r>
          </w:p>
        </w:tc>
      </w:tr>
    </w:tbl>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3. Regulatory Landscape &amp; Expectations</w:t>
      </w:r>
    </w:p>
    <w:p>
      <w:pPr>
        <w:pStyle w:val="Heading2"/>
        <w:spacing w:before="280" w:after="120" w:line="276" w:lineRule="auto"/>
      </w:pPr>
      <w:r>
        <w:rPr>
          <w:rFonts w:ascii="Arial" w:cs="Arial" w:eastAsia="Arial" w:hAnsi="Arial"/>
          <w:b/>
          <w:bCs/>
          <w:color w:val="2E5FA3"/>
          <w:sz w:val="28"/>
          <w:szCs w:val="28"/>
        </w:rPr>
        <w:t xml:space="preserve">3.1  Mapping Agent Risks Against Existing Frameworks</w:t>
      </w:r>
    </w:p>
    <w:p>
      <w:pPr>
        <w:spacing w:before="0" w:after="140" w:line="276" w:lineRule="auto"/>
        <w:jc w:val="both"/>
      </w:pPr>
      <w:r>
        <w:rPr>
          <w:rFonts w:ascii="Arial" w:cs="Arial" w:eastAsia="Arial" w:hAnsi="Arial"/>
          <w:color w:val="1A1A1A"/>
          <w:sz w:val="22"/>
          <w:szCs w:val="22"/>
        </w:rPr>
        <w:t xml:space="preserve">No existing regulatory framework was designed specifically for AI agents. However, several frameworks provide applicable requirements that institutions must map to agent-specific risks. The following analysis covers the most significant frameworks for financial institutions operating in India with global exposure.</w:t>
      </w:r>
    </w:p>
    <w:p>
      <w:pPr>
        <w:spacing w:before="0" w:after="80" w:line="276" w:lineRule="auto"/>
      </w:pPr>
    </w:p>
    <w:p>
      <w:pPr>
        <w:pStyle w:val="Heading3"/>
        <w:spacing w:before="200" w:after="80" w:line="276" w:lineRule="auto"/>
      </w:pPr>
      <w:r>
        <w:rPr>
          <w:rFonts w:ascii="Arial" w:cs="Arial" w:eastAsia="Arial" w:hAnsi="Arial"/>
          <w:b/>
          <w:bCs/>
          <w:color w:val="1B3A6B"/>
          <w:sz w:val="24"/>
          <w:szCs w:val="24"/>
        </w:rPr>
        <w:t xml:space="preserve">3.1.1  RBI Guidelines (India-Specific)</w:t>
      </w:r>
    </w:p>
    <w:p>
      <w:pPr>
        <w:spacing w:before="0" w:after="140" w:line="276" w:lineRule="auto"/>
        <w:jc w:val="both"/>
      </w:pPr>
      <w:r>
        <w:rPr>
          <w:rFonts w:ascii="Arial" w:cs="Arial" w:eastAsia="Arial" w:hAnsi="Arial"/>
          <w:color w:val="1A1A1A"/>
          <w:sz w:val="22"/>
          <w:szCs w:val="22"/>
        </w:rPr>
        <w:t xml:space="preserve">The Reserve Bank of India has issued several frameworks that collectively govern the deployment of AI agents by regulated entities, even where AI agents are not explicitly named.</w:t>
      </w:r>
    </w:p>
    <w:p>
      <w:pPr>
        <w:spacing w:before="0" w:after="140" w:line="276" w:lineRule="auto"/>
        <w:jc w:val="both"/>
      </w:pPr>
      <w:r>
        <w:rPr>
          <w:rFonts w:ascii="Arial" w:cs="Arial" w:eastAsia="Arial" w:hAnsi="Arial"/>
          <w:color w:val="1A1A1A"/>
          <w:sz w:val="22"/>
          <w:szCs w:val="22"/>
        </w:rPr>
        <w:t xml:space="preserve">Master Directions on Information Technology Governance, Risk, Controls and Assurance Practices (2023): These Directions establish comprehensive requirements for IT governance that apply directly to AI agent systems. Key provisions include: mandatory IT strategy alignment with business objectives; structured change management processes applicable to all technology systems; business continuity and disaster recovery planning covering all critical systems; and audit trail requirements that apply to any system affecting customer accounts or financial records.</w:t>
      </w:r>
    </w:p>
    <w:p>
      <w:pPr>
        <w:spacing w:before="0" w:after="140" w:line="276" w:lineRule="auto"/>
        <w:jc w:val="both"/>
      </w:pPr>
      <w:r>
        <w:rPr>
          <w:rFonts w:ascii="Arial" w:cs="Arial" w:eastAsia="Arial" w:hAnsi="Arial"/>
          <w:color w:val="1A1A1A"/>
          <w:sz w:val="22"/>
          <w:szCs w:val="22"/>
        </w:rPr>
        <w:t xml:space="preserve">Digital Lending Guidelines (2022 and amendments): These guidelines establish that all loan decisioning, customer communication, and data collection must be transparent, explainable, and compliant with customer consent requirements. AI agents involved in any aspect of the lending process — from lead generation through to collection — fall within scope. The guidelines explicitly require that borrowers be informed when AI is being used in decision-making.</w:t>
      </w:r>
    </w:p>
    <w:p>
      <w:pPr>
        <w:spacing w:before="0" w:after="140" w:line="276" w:lineRule="auto"/>
        <w:jc w:val="both"/>
      </w:pPr>
      <w:r>
        <w:rPr>
          <w:rFonts w:ascii="Arial" w:cs="Arial" w:eastAsia="Arial" w:hAnsi="Arial"/>
          <w:color w:val="1A1A1A"/>
          <w:sz w:val="22"/>
          <w:szCs w:val="22"/>
        </w:rPr>
        <w:t xml:space="preserve">Digital Personal Data Protection Act, 2023 (DPDP Act): Agents that process personal data of Indian citizens must comply with the DPDP Act regardless of where processing occurs. Key obligations include: lawful basis for processing; data minimisation; purpose limitation; storage limitation; rights of data principals (access, correction, deletion, grievance); and mandatory breach notification. Agents that process sensitive personal data (financial data, health data) attract heightened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24"/>
              <w:bottom w:val="single" w:color="2E5FA3" w:sz="4"/>
              <w:right w:val="single" w:color="2E5FA3" w:sz="4"/>
            </w:tcBorders>
            <w:shd w:fill="D6E4F0" w:val="clear"/>
            <w:tcMar>
              <w:top w:type="dxa" w:w="100"/>
              <w:left w:type="dxa" w:w="180"/>
              <w:bottom w:type="dxa" w:w="100"/>
              <w:right w:type="dxa" w:w="180"/>
            </w:tcMar>
          </w:tcPr>
          <w:p>
            <w:pPr>
              <w:spacing w:before="0" w:after="60" w:line="276" w:lineRule="auto"/>
            </w:pPr>
            <w:r>
              <w:rPr>
                <w:rFonts w:ascii="Arial" w:cs="Arial" w:eastAsia="Arial" w:hAnsi="Arial"/>
                <w:b/>
                <w:bCs/>
                <w:color w:val="2E5FA3"/>
                <w:sz w:val="20"/>
                <w:szCs w:val="20"/>
              </w:rPr>
              <w:t xml:space="preserve">ℹ  KEY REGULATORY REQUIREMENT</w:t>
            </w:r>
          </w:p>
          <w:p>
            <w:pPr>
              <w:spacing w:before="0" w:after="40" w:line="276" w:lineRule="auto"/>
              <w:jc w:val="both"/>
            </w:pPr>
            <w:r>
              <w:rPr>
                <w:rFonts w:ascii="Arial" w:cs="Arial" w:eastAsia="Arial" w:hAnsi="Arial"/>
                <w:color w:val="1A1A1A"/>
                <w:sz w:val="20"/>
                <w:szCs w:val="20"/>
              </w:rPr>
              <w:t xml:space="preserve">RBI's IT Framework requires that institutions maintain complete audit trails for all automated systems affecting customer accounts. AI agents that execute transactions, update records, or communicate with customers must generate structured, immutable logs of every action. These logs must be retained for periods specified in applicable regulations — typically a minimum of five to eight years for financial records.</w:t>
            </w:r>
          </w:p>
        </w:tc>
      </w:tr>
    </w:tbl>
    <w:p>
      <w:pPr>
        <w:spacing w:before="0" w:after="120" w:line="276" w:lineRule="auto"/>
      </w:pPr>
    </w:p>
    <w:p>
      <w:pPr>
        <w:pStyle w:val="Heading3"/>
        <w:spacing w:before="200" w:after="80" w:line="276" w:lineRule="auto"/>
      </w:pPr>
      <w:r>
        <w:rPr>
          <w:rFonts w:ascii="Arial" w:cs="Arial" w:eastAsia="Arial" w:hAnsi="Arial"/>
          <w:b/>
          <w:bCs/>
          <w:color w:val="1B3A6B"/>
          <w:sz w:val="24"/>
          <w:szCs w:val="24"/>
        </w:rPr>
        <w:t xml:space="preserve">3.1.2  Basel Committee on Banking Supervision (BCBS)</w:t>
      </w:r>
    </w:p>
    <w:p>
      <w:pPr>
        <w:spacing w:before="0" w:after="140" w:line="276" w:lineRule="auto"/>
        <w:jc w:val="both"/>
      </w:pPr>
      <w:r>
        <w:rPr>
          <w:rFonts w:ascii="Arial" w:cs="Arial" w:eastAsia="Arial" w:hAnsi="Arial"/>
          <w:color w:val="1A1A1A"/>
          <w:sz w:val="22"/>
          <w:szCs w:val="22"/>
        </w:rPr>
        <w:t xml:space="preserve">The BCBS Principles for Operational Resilience (2021) provide the most directly applicable international framework. These principles require that banks identify critical operations, map the third-party dependencies that support them, and demonstrate the ability to maintain or rapidly restore those operations during stress. AI agents that support critical operations — such as trade execution, fraud detection, or compliance monitoring — must be included in operational resilience mapping, with clear fallback procedures for agent failure.</w:t>
      </w:r>
    </w:p>
    <w:p>
      <w:pPr>
        <w:spacing w:before="0" w:after="140" w:line="276" w:lineRule="auto"/>
        <w:jc w:val="both"/>
      </w:pPr>
      <w:r>
        <w:rPr>
          <w:rFonts w:ascii="Arial" w:cs="Arial" w:eastAsia="Arial" w:hAnsi="Arial"/>
          <w:color w:val="1A1A1A"/>
          <w:sz w:val="22"/>
          <w:szCs w:val="22"/>
        </w:rPr>
        <w:t xml:space="preserve">The BCBS paper on the prudential treatment of cryptoassets also provides a conceptual framework for novel technology risks that regulators are likely to apply to AI agents: the principle that insufficient understanding of a technology's risk profile is itself a risk that warrants conservative treatment.</w:t>
      </w:r>
    </w:p>
    <w:p>
      <w:pPr>
        <w:pStyle w:val="Heading3"/>
        <w:spacing w:before="200" w:after="80" w:line="276" w:lineRule="auto"/>
      </w:pPr>
      <w:r>
        <w:rPr>
          <w:rFonts w:ascii="Arial" w:cs="Arial" w:eastAsia="Arial" w:hAnsi="Arial"/>
          <w:b/>
          <w:bCs/>
          <w:color w:val="1B3A6B"/>
          <w:sz w:val="24"/>
          <w:szCs w:val="24"/>
        </w:rPr>
        <w:t xml:space="preserve">3.1.3  EU AI Act (2024)</w:t>
      </w:r>
    </w:p>
    <w:p>
      <w:pPr>
        <w:spacing w:before="0" w:after="140" w:line="276" w:lineRule="auto"/>
        <w:jc w:val="both"/>
      </w:pPr>
      <w:r>
        <w:rPr>
          <w:rFonts w:ascii="Arial" w:cs="Arial" w:eastAsia="Arial" w:hAnsi="Arial"/>
          <w:color w:val="1A1A1A"/>
          <w:sz w:val="22"/>
          <w:szCs w:val="22"/>
        </w:rPr>
        <w:t xml:space="preserve">The EU AI Act represents the most comprehensive regulatory framework specifically addressing AI systems. For financial institutions operating in or serving EU customers, its provisions are binding. The Act classifies several AI applications common in financial services as high-risk, including: credit scoring and creditworthiness assessment systems; insurance risk assessment; and any AI system used in employment and worker management.</w:t>
      </w:r>
    </w:p>
    <w:p>
      <w:pPr>
        <w:spacing w:before="0" w:after="140" w:line="276" w:lineRule="auto"/>
        <w:jc w:val="both"/>
      </w:pPr>
      <w:r>
        <w:rPr>
          <w:rFonts w:ascii="Arial" w:cs="Arial" w:eastAsia="Arial" w:hAnsi="Arial"/>
          <w:color w:val="1A1A1A"/>
          <w:sz w:val="22"/>
          <w:szCs w:val="22"/>
        </w:rPr>
        <w:t xml:space="preserve">High-risk AI systems must meet requirements for: risk management systems; data governance; technical documentation; transparency and provision of information to users; human oversight measures; accuracy, robustness, and cybersecurity. These requirements map directly to the control framework described in Section 5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24"/>
              <w:bottom w:val="single" w:color="2E5FA3" w:sz="4"/>
              <w:right w:val="single" w:color="2E5FA3" w:sz="4"/>
            </w:tcBorders>
            <w:shd w:fill="D6E4F0" w:val="clear"/>
            <w:tcMar>
              <w:top w:type="dxa" w:w="100"/>
              <w:left w:type="dxa" w:w="180"/>
              <w:bottom w:type="dxa" w:w="100"/>
              <w:right w:type="dxa" w:w="180"/>
            </w:tcMar>
          </w:tcPr>
          <w:p>
            <w:pPr>
              <w:spacing w:before="0" w:after="60" w:line="276" w:lineRule="auto"/>
            </w:pPr>
            <w:r>
              <w:rPr>
                <w:rFonts w:ascii="Arial" w:cs="Arial" w:eastAsia="Arial" w:hAnsi="Arial"/>
                <w:b/>
                <w:bCs/>
                <w:color w:val="2E5FA3"/>
                <w:sz w:val="20"/>
                <w:szCs w:val="20"/>
              </w:rPr>
              <w:t xml:space="preserve">ℹ  KEY REGULATORY REQUIREMENT</w:t>
            </w:r>
          </w:p>
          <w:p>
            <w:pPr>
              <w:spacing w:before="0" w:after="40" w:line="276" w:lineRule="auto"/>
              <w:jc w:val="both"/>
            </w:pPr>
            <w:r>
              <w:rPr>
                <w:rFonts w:ascii="Arial" w:cs="Arial" w:eastAsia="Arial" w:hAnsi="Arial"/>
                <w:color w:val="1A1A1A"/>
                <w:sz w:val="20"/>
                <w:szCs w:val="20"/>
              </w:rPr>
              <w:t xml:space="preserve">Article 9 of the EU AI Act requires that providers of high-risk AI systems establish, implement, document, and maintain a risk management system across the full lifecycle of the system. For financial institutions, this means governance documentation must exist for AI agents before deployment, not after. Post-hoc documentation will not satisfy the regulatory standard.</w:t>
            </w:r>
          </w:p>
        </w:tc>
      </w:tr>
    </w:tbl>
    <w:p>
      <w:pPr>
        <w:spacing w:before="0" w:after="120" w:line="276" w:lineRule="auto"/>
      </w:pPr>
    </w:p>
    <w:p>
      <w:pPr>
        <w:pStyle w:val="Heading3"/>
        <w:spacing w:before="200" w:after="80" w:line="276" w:lineRule="auto"/>
      </w:pPr>
      <w:r>
        <w:rPr>
          <w:rFonts w:ascii="Arial" w:cs="Arial" w:eastAsia="Arial" w:hAnsi="Arial"/>
          <w:b/>
          <w:bCs/>
          <w:color w:val="1B3A6B"/>
          <w:sz w:val="24"/>
          <w:szCs w:val="24"/>
        </w:rPr>
        <w:t xml:space="preserve">3.1.4  SEC / FINRA Guidance (US Context)</w:t>
      </w:r>
    </w:p>
    <w:p>
      <w:pPr>
        <w:spacing w:before="0" w:after="140" w:line="276" w:lineRule="auto"/>
        <w:jc w:val="both"/>
      </w:pPr>
      <w:r>
        <w:rPr>
          <w:rFonts w:ascii="Arial" w:cs="Arial" w:eastAsia="Arial" w:hAnsi="Arial"/>
          <w:color w:val="1A1A1A"/>
          <w:sz w:val="22"/>
          <w:szCs w:val="22"/>
        </w:rPr>
        <w:t xml:space="preserve">The US Securities and Exchange Commission has increasingly focused on algorithmic accountability, with specific attention to AI systems used in investment advisory contexts. The SEC's 2023 proposed rules on predictive data analytics would require registered investment advisers to evaluate and mitigate conflicts of interest arising from the use of AI models that provide personalised investment recommendations — a requirement that applies directly to AI advisory agents.</w:t>
      </w:r>
    </w:p>
    <w:p>
      <w:pPr>
        <w:spacing w:before="0" w:after="140" w:line="276" w:lineRule="auto"/>
        <w:jc w:val="both"/>
      </w:pPr>
      <w:r>
        <w:rPr>
          <w:rFonts w:ascii="Arial" w:cs="Arial" w:eastAsia="Arial" w:hAnsi="Arial"/>
          <w:color w:val="1A1A1A"/>
          <w:sz w:val="22"/>
          <w:szCs w:val="22"/>
        </w:rPr>
        <w:t xml:space="preserve">FINRA's guidance on algorithmic trading supervision (Regulatory Notice 15-09 and subsequent communications) establishes that firms must have supervisory systems — including automated surveillance — for their algorithmic trading strategies. Firms deploying AI agents for trading must map these requirements to agent-specific controls.</w:t>
      </w:r>
    </w:p>
    <w:p>
      <w:pPr>
        <w:pStyle w:val="Heading3"/>
        <w:spacing w:before="200" w:after="80" w:line="276" w:lineRule="auto"/>
      </w:pPr>
      <w:r>
        <w:rPr>
          <w:rFonts w:ascii="Arial" w:cs="Arial" w:eastAsia="Arial" w:hAnsi="Arial"/>
          <w:b/>
          <w:bCs/>
          <w:color w:val="1B3A6B"/>
          <w:sz w:val="24"/>
          <w:szCs w:val="24"/>
        </w:rPr>
        <w:t xml:space="preserve">3.1.5  MAS FEAT Principles (Singapore)</w:t>
      </w:r>
    </w:p>
    <w:p>
      <w:pPr>
        <w:spacing w:before="0" w:after="140" w:line="276" w:lineRule="auto"/>
        <w:jc w:val="both"/>
      </w:pPr>
      <w:r>
        <w:rPr>
          <w:rFonts w:ascii="Arial" w:cs="Arial" w:eastAsia="Arial" w:hAnsi="Arial"/>
          <w:color w:val="1A1A1A"/>
          <w:sz w:val="22"/>
          <w:szCs w:val="22"/>
        </w:rPr>
        <w:t xml:space="preserve">The Monetary Authority of Singapore's Principles on Fairness, Ethics, Accountability, and Transparency in the Use of Artificial Intelligence and Data Analytics (FEAT Principles) represent one of the most mature AI governance frameworks in Asia. They establish five dimensions against which AI systems must be assessed: Fairness (outputs do not systematically discriminate); Ethics (design and use align with ethical standards); Accountability (clear ownership and accountability chains); Transparency (explainability to affected parties); and Human oversight (mechanisms for human review and override).</w:t>
      </w:r>
    </w:p>
    <w:p>
      <w:pPr>
        <w:spacing w:before="0" w:after="140" w:line="276" w:lineRule="auto"/>
        <w:jc w:val="both"/>
      </w:pPr>
      <w:r>
        <w:rPr>
          <w:rFonts w:ascii="Arial" w:cs="Arial" w:eastAsia="Arial" w:hAnsi="Arial"/>
          <w:color w:val="1A1A1A"/>
          <w:sz w:val="22"/>
          <w:szCs w:val="22"/>
        </w:rPr>
        <w:t xml:space="preserve">While FEAT principles are not formally binding law, they represent the direction of travel for AI regulation across Asia-Pacific. Indian regulators, including the RBI, have referenced similar principles in their own AI consultations. Institutions should treat FEAT compliance as a leading indicator of future regulatory requirements.</w:t>
      </w:r>
    </w:p>
    <w:p>
      <w:pPr>
        <w:pStyle w:val="Heading3"/>
        <w:spacing w:before="200" w:after="80" w:line="276" w:lineRule="auto"/>
      </w:pPr>
      <w:r>
        <w:rPr>
          <w:rFonts w:ascii="Arial" w:cs="Arial" w:eastAsia="Arial" w:hAnsi="Arial"/>
          <w:b/>
          <w:bCs/>
          <w:color w:val="1B3A6B"/>
          <w:sz w:val="24"/>
          <w:szCs w:val="24"/>
        </w:rPr>
        <w:t xml:space="preserve">3.1.6  SR 11-7 Model Risk Management Guidance</w:t>
      </w:r>
    </w:p>
    <w:p>
      <w:pPr>
        <w:spacing w:before="0" w:after="140" w:line="276" w:lineRule="auto"/>
        <w:jc w:val="both"/>
      </w:pPr>
      <w:r>
        <w:rPr>
          <w:rFonts w:ascii="Arial" w:cs="Arial" w:eastAsia="Arial" w:hAnsi="Arial"/>
          <w:color w:val="1A1A1A"/>
          <w:sz w:val="22"/>
          <w:szCs w:val="22"/>
        </w:rPr>
        <w:t xml:space="preserve">The Federal Reserve and OCC's supervisory guidance on model risk management (SR 11-7) has been adopted as a de facto global standard for MRM in financial institutions. While developed for traditional statistical models, its core principles — model development, validation by an independent function, ongoing monitoring, governance — are directly applicable to AI agents, albeit with significant adaptations required.</w:t>
      </w:r>
    </w:p>
    <w:p>
      <w:pPr>
        <w:spacing w:before="0" w:after="140" w:line="276" w:lineRule="auto"/>
        <w:jc w:val="both"/>
      </w:pPr>
      <w:r>
        <w:rPr>
          <w:rFonts w:ascii="Arial" w:cs="Arial" w:eastAsia="Arial" w:hAnsi="Arial"/>
          <w:color w:val="1A1A1A"/>
          <w:sz w:val="22"/>
          <w:szCs w:val="22"/>
        </w:rPr>
        <w:t xml:space="preserve">The critical adaptation is that SR 11-7 assumes a model has defined inputs, a defined algorithm, and defined outputs. AI agents have none of these in the traditional sense: inputs are natural language or structured data that may vary widely; the 'algorithm' is an LLM whose exact computation is not interpretable; and outputs are actions in the world, not predictions. This requires developing new validation methodologies, addressed in Section 5.4.</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3.2  Emerging Regulatory Signals</w:t>
      </w:r>
    </w:p>
    <w:p>
      <w:pPr>
        <w:spacing w:before="0" w:after="140" w:line="276" w:lineRule="auto"/>
        <w:jc w:val="both"/>
      </w:pPr>
      <w:r>
        <w:rPr>
          <w:rFonts w:ascii="Arial" w:cs="Arial" w:eastAsia="Arial" w:hAnsi="Arial"/>
          <w:color w:val="1A1A1A"/>
          <w:sz w:val="22"/>
          <w:szCs w:val="22"/>
        </w:rPr>
        <w:t xml:space="preserve">Regulators globally are in active consultation on AI-specific frameworks. Institutions should monitor and participate in the following developments: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RBI AI/ML Consultation: The RBI has signalled through multiple speeches and the 2024 Annual Report that it is developing specific guidance on AI use in regulated entities. Early indicators suggest requirements around explainability, fairness testing, and governance documentation will be central.</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SEBI Algorithmic Trading Expansion: SEBI has indicated it intends to expand its algorithmic trading framework to cover AI-driven investment advisory and portfolio management systems, not just execution algorithms.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EU AI Act Implementation: Implementing regulations and standards under the EU AI Act are being developed by the European AI Office and ENISA. Financial institutions with EU exposure must track these developments closely.</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FSB AI Monitoring: The Financial Stability Board has initiated monitoring of AI adoption across the global financial system, with a focus on concentration risk (over-reliance on a small number of AI providers) and systemic implications.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IOSCO Retail Investor Protection: The International Organization of Securities Commissions has flagged AI advisory services to retail investors as a priority area for coordinated regulatory action.</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3.3  Compliance Gap Analysis</w:t>
      </w:r>
    </w:p>
    <w:p>
      <w:pPr>
        <w:spacing w:before="0" w:after="140" w:line="276" w:lineRule="auto"/>
        <w:jc w:val="both"/>
      </w:pPr>
      <w:r>
        <w:rPr>
          <w:rFonts w:ascii="Arial" w:cs="Arial" w:eastAsia="Arial" w:hAnsi="Arial"/>
          <w:color w:val="1A1A1A"/>
          <w:sz w:val="22"/>
          <w:szCs w:val="22"/>
        </w:rPr>
        <w:t xml:space="preserve">The following table maps the principal control gaps between existing regulatory frameworks and the requirements of agentic AI systems:</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Requirement Area</w:t>
            </w:r>
          </w:p>
        </w:tc>
        <w:tc>
          <w:tcPr>
            <w:tcW w:type="dxa" w:w="24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Existing Framework Coverage</w:t>
            </w:r>
          </w:p>
        </w:tc>
        <w:tc>
          <w:tcPr>
            <w:tcW w:type="dxa" w:w="24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Agent-Specific Gap</w:t>
            </w:r>
          </w:p>
        </w:tc>
        <w:tc>
          <w:tcPr>
            <w:tcW w:type="dxa" w:w="216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Priority</w:t>
            </w:r>
          </w:p>
        </w:tc>
      </w:tr>
      <w:tr>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Model Validation</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SR 11-7: statistical models with defined inputs/outputs</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No methodology for validating LLM reasoning chains or multi-step agent behaviour</w:t>
            </w:r>
          </w:p>
        </w:tc>
        <w:tc>
          <w:tcPr>
            <w:tcW w:type="dxa" w:w="216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CRITICAL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Audit Trails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Transaction and system logs; IT change records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Agent reasoning steps, intermediate tool calls, and dynamic prompt states not captured</w:t>
            </w:r>
          </w:p>
        </w:tc>
        <w:tc>
          <w:tcPr>
            <w:tcW w:type="dxa" w:w="21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r>
      <w:tr>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Human Oversight</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Maker-checker controls; four-eyes principle for transactions</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No framework for dynamic HITL thresholds in autonomous agent loops</w:t>
            </w:r>
          </w:p>
        </w:tc>
        <w:tc>
          <w:tcPr>
            <w:tcW w:type="dxa" w:w="216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CRITICAL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Third-Party Risk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Vendor due diligence; outsourcing policies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LLM providers as a novel category; model updates without notice; prompt injection via third-party tools</w:t>
            </w:r>
          </w:p>
        </w:tc>
        <w:tc>
          <w:tcPr>
            <w:tcW w:type="dxa" w:w="21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r>
      <w:tr>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Explainability</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GDPR/DPDP right to explanation; adverse action notices</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LLM reasoning is not inherently explainable; current techniques are approximations only</w:t>
            </w:r>
          </w:p>
        </w:tc>
        <w:tc>
          <w:tcPr>
            <w:tcW w:type="dxa" w:w="21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Change Management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IT change control; model re-validation triggers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LLM provider updates (model versions, API changes) alter agent behaviour without formal change initiation</w:t>
            </w:r>
          </w:p>
        </w:tc>
        <w:tc>
          <w:tcPr>
            <w:tcW w:type="dxa" w:w="216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CRITICAL</w:t>
            </w:r>
          </w:p>
        </w:tc>
      </w:tr>
      <w:tr>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Incident Response</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IT incident management; fraud event response</w:t>
            </w:r>
          </w:p>
        </w:tc>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No playbook for agent runaway, cascading multi-agent failures, or prompt injection attacks</w:t>
            </w:r>
          </w:p>
        </w:tc>
        <w:tc>
          <w:tcPr>
            <w:tcW w:type="dxa" w:w="21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r>
    </w:tbl>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4. Risk Taxonomy for AI Agents in Finance</w:t>
      </w:r>
    </w:p>
    <w:p>
      <w:pPr>
        <w:spacing w:before="0" w:after="140" w:line="276" w:lineRule="auto"/>
        <w:jc w:val="both"/>
      </w:pPr>
      <w:r>
        <w:rPr>
          <w:rFonts w:ascii="Arial" w:cs="Arial" w:eastAsia="Arial" w:hAnsi="Arial"/>
          <w:color w:val="1A1A1A"/>
          <w:sz w:val="22"/>
          <w:szCs w:val="22"/>
        </w:rPr>
        <w:t xml:space="preserve">A structured risk register is the foundation of any control framework. The following register covers nine principal risk categories for AI agents in financial institutions. Each entry includes the risk description, specific manifestations in a financial context, illustrative failure scenario, likelihood assessment, impact assessment, and suggested control owner.</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4.1  Risk Register</w:t>
      </w:r>
    </w:p>
    <w:p>
      <w:pPr>
        <w:spacing w:before="0" w:after="6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100"/>
        <w:gridCol w:w="1100"/>
        <w:gridCol w:w="1760"/>
      </w:tblGrid>
      <w:tr>
        <w:tc>
          <w:tcPr>
            <w:tcW w:type="dxa" w:w="16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Risk Category</w:t>
            </w:r>
          </w:p>
        </w:tc>
        <w:tc>
          <w:tcPr>
            <w:tcW w:type="dxa" w:w="22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Key Risk Manifestations</w:t>
            </w:r>
          </w:p>
        </w:tc>
        <w:tc>
          <w:tcPr>
            <w:tcW w:type="dxa" w:w="16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Illustrative Failure Scenario</w:t>
            </w:r>
          </w:p>
        </w:tc>
        <w:tc>
          <w:tcPr>
            <w:tcW w:type="dxa" w:w="11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Likelihood</w:t>
            </w:r>
          </w:p>
        </w:tc>
        <w:tc>
          <w:tcPr>
            <w:tcW w:type="dxa" w:w="11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Impact</w:t>
            </w:r>
          </w:p>
        </w:tc>
        <w:tc>
          <w:tcPr>
            <w:tcW w:type="dxa" w:w="176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Control Owner</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Model Risk</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Hallucination; output drift; adversarial prompt injection; distributional shift</w:t>
            </w:r>
          </w:p>
        </w:tc>
        <w:tc>
          <w:tcPr>
            <w:tcW w:type="dxa" w:w="1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Underwriting agent approves fraudulent application due to document hallucination</w:t>
            </w:r>
          </w:p>
        </w:tc>
        <w:tc>
          <w:tcPr>
            <w:tcW w:type="dxa" w:w="11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c>
          <w:tcPr>
            <w:tcW w:type="dxa" w:w="11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CRITICAL</w:t>
            </w:r>
          </w:p>
        </w:tc>
        <w:tc>
          <w:tcPr>
            <w:tcW w:type="dxa" w:w="1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Model Risk Management / CRO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Operational Risk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Agent failure mid-task; cascading errors in multi-agent pipelines; tool misuse; infinite loops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Compliance agent loops indefinitely, consuming API budget and filing duplicate regulatory alerts</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bCs/>
                <w:color w:val="1A7A4A"/>
                <w:sz w:val="20"/>
                <w:szCs w:val="20"/>
              </w:rPr>
              <w:t xml:space="preserve">MEDIUM</w:t>
            </w:r>
          </w:p>
        </w:tc>
        <w:tc>
          <w:tcPr>
            <w:tcW w:type="dxa" w:w="11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Technology / COO</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Credit / Market Risk</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Autonomous lending/trading decisions exceeding sanctioned limits; correlated AI decisions amplifying market moves</w:t>
            </w:r>
          </w:p>
        </w:tc>
        <w:tc>
          <w:tcPr>
            <w:tcW w:type="dxa" w:w="1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Multiple AI trading agents at different institutions simultaneously sell the same asset class, amplifying a market correction</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bCs/>
                <w:color w:val="1A7A4A"/>
                <w:sz w:val="20"/>
                <w:szCs w:val="20"/>
              </w:rPr>
              <w:t xml:space="preserve">MEDIUM</w:t>
            </w:r>
          </w:p>
        </w:tc>
        <w:tc>
          <w:tcPr>
            <w:tcW w:type="dxa" w:w="11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CRITICAL</w:t>
            </w:r>
          </w:p>
        </w:tc>
        <w:tc>
          <w:tcPr>
            <w:tcW w:type="dxa" w:w="1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CRO / Trading Desk</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Conduct Risk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Mis-selling by advisory agents; unfair customer outcomes; discriminatory recommendations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Insurance advisory agent recommends unsuitable product, generating widespread complaints and regulatory action</w:t>
            </w:r>
          </w:p>
        </w:tc>
        <w:tc>
          <w:tcPr>
            <w:tcW w:type="dxa" w:w="11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c>
          <w:tcPr>
            <w:tcW w:type="dxa" w:w="11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CCO / Conduct Risk</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Cybersecurity Risk</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Prompt injection via external content; data exfiltration; agent used as attack vector; tool abuse</w:t>
            </w:r>
          </w:p>
        </w:tc>
        <w:tc>
          <w:tcPr>
            <w:tcW w:type="dxa" w:w="1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Attacker embeds malicious instructions in a customer email; agent reads email and executes embedded commands</w:t>
            </w:r>
          </w:p>
        </w:tc>
        <w:tc>
          <w:tcPr>
            <w:tcW w:type="dxa" w:w="11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c>
          <w:tcPr>
            <w:tcW w:type="dxa" w:w="11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CRITICAL</w:t>
            </w:r>
          </w:p>
        </w:tc>
        <w:tc>
          <w:tcPr>
            <w:tcW w:type="dxa" w:w="1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CISO / Cybersecurity</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Third-Party / Vendor Risk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LLM provider outage; model version update changing behaviour; API deprecation; vendor data practices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LLM provider silently updates model; agent behaviour changes; existing test cases no longer catch all failure modes</w:t>
            </w:r>
          </w:p>
        </w:tc>
        <w:tc>
          <w:tcPr>
            <w:tcW w:type="dxa" w:w="11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c>
          <w:tcPr>
            <w:tcW w:type="dxa" w:w="11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Vendor Risk / Procurement</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Legal &amp; Liability Risk</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Unclear accountability for agent-caused harm; contract and IP issues; regulatory liability for agent actions</w:t>
            </w:r>
          </w:p>
        </w:tc>
        <w:tc>
          <w:tcPr>
            <w:tcW w:type="dxa" w:w="1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Agent sends legally defective loan rejection notice; institution faces litigation with no clear internal accountability chain</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bCs/>
                <w:color w:val="1A7A4A"/>
                <w:sz w:val="20"/>
                <w:szCs w:val="20"/>
              </w:rPr>
              <w:t xml:space="preserve">MEDIUM</w:t>
            </w:r>
          </w:p>
        </w:tc>
        <w:tc>
          <w:tcPr>
            <w:tcW w:type="dxa" w:w="11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c>
          <w:tcPr>
            <w:tcW w:type="dxa" w:w="1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General Counsel / Legal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Data Privacy Risk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Processing beyond consent scope; retention beyond necessity; cross-border transfers; DPDP Act obligations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Agent passes customer PII to third-party tool without data processing agreement; DPDP Act breach</w:t>
            </w:r>
          </w:p>
        </w:tc>
        <w:tc>
          <w:tcPr>
            <w:tcW w:type="dxa" w:w="11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c>
          <w:tcPr>
            <w:tcW w:type="dxa" w:w="11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HIGH</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DPO / Compliance</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Concentration Risk</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Over-reliance on single LLM vendor; common failure modes across industry; systemic dependency</w:t>
            </w:r>
          </w:p>
        </w:tc>
        <w:tc>
          <w:tcPr>
            <w:tcW w:type="dxa" w:w="1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Industry-wide reliance on single LLM provider means a provider outage simultaneously disables AI operations across multiple systemically important banks</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bCs/>
                <w:color w:val="1A7A4A"/>
                <w:sz w:val="20"/>
                <w:szCs w:val="20"/>
              </w:rPr>
              <w:t xml:space="preserve">MEDIUM</w:t>
            </w:r>
          </w:p>
        </w:tc>
        <w:tc>
          <w:tcPr>
            <w:tcW w:type="dxa" w:w="11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CRITICAL</w:t>
            </w:r>
          </w:p>
        </w:tc>
        <w:tc>
          <w:tcPr>
            <w:tcW w:type="dxa" w:w="1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CRO / Technology</w:t>
            </w:r>
          </w:p>
        </w:tc>
      </w:tr>
    </w:tbl>
    <w:p>
      <w:pPr>
        <w:spacing w:before="0" w:after="16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ADBD8" w:val="clear"/>
            <w:tcMar>
              <w:top w:type="dxa" w:w="100"/>
              <w:left w:type="dxa" w:w="180"/>
              <w:bottom w:type="dxa" w:w="100"/>
              <w:right w:type="dxa" w:w="180"/>
            </w:tcMar>
          </w:tcPr>
          <w:p>
            <w:pPr>
              <w:spacing w:before="0" w:after="60" w:line="276" w:lineRule="auto"/>
            </w:pPr>
            <w:r>
              <w:rPr>
                <w:rFonts w:ascii="Arial" w:cs="Arial" w:eastAsia="Arial" w:hAnsi="Arial"/>
                <w:b/>
                <w:bCs/>
                <w:color w:val="C0392B"/>
                <w:sz w:val="20"/>
                <w:szCs w:val="20"/>
              </w:rPr>
              <w:t xml:space="preserve">⚠  RED FLAG</w:t>
            </w:r>
          </w:p>
          <w:p>
            <w:pPr>
              <w:spacing w:before="0" w:after="40" w:line="276" w:lineRule="auto"/>
              <w:jc w:val="both"/>
            </w:pPr>
            <w:r>
              <w:rPr>
                <w:rFonts w:ascii="Arial" w:cs="Arial" w:eastAsia="Arial" w:hAnsi="Arial"/>
                <w:color w:val="1A1A1A"/>
                <w:sz w:val="20"/>
                <w:szCs w:val="20"/>
              </w:rPr>
              <w:t xml:space="preserve">Prompt injection is among the most immediately exploitable risks for financial AI agents. Unlike traditional cyberattacks that target system vulnerabilities, prompt injection exploits the agent's core capability — natural language instruction following — by embedding malicious instructions in content the agent processes (emails, documents, web pages). Current LLMs have no reliable defence against well-crafted prompt injections, making tool access restrictions and output sandboxing critical compensating controls.</w:t>
            </w:r>
          </w:p>
        </w:tc>
      </w:tr>
    </w:tbl>
    <w:p>
      <w:pPr>
        <w:spacing w:before="0" w:after="120" w:line="276" w:lineRule="auto"/>
      </w:pPr>
    </w:p>
    <w:p>
      <w:pPr>
        <w:pStyle w:val="Heading2"/>
        <w:spacing w:before="280" w:after="120" w:line="276" w:lineRule="auto"/>
      </w:pPr>
      <w:r>
        <w:rPr>
          <w:rFonts w:ascii="Arial" w:cs="Arial" w:eastAsia="Arial" w:hAnsi="Arial"/>
          <w:b/>
          <w:bCs/>
          <w:color w:val="2E5FA3"/>
          <w:sz w:val="28"/>
          <w:szCs w:val="28"/>
        </w:rPr>
        <w:t xml:space="preserve">4.2  Risk Interconnections</w:t>
      </w:r>
    </w:p>
    <w:p>
      <w:pPr>
        <w:spacing w:before="0" w:after="140" w:line="276" w:lineRule="auto"/>
        <w:jc w:val="both"/>
      </w:pPr>
      <w:r>
        <w:rPr>
          <w:rFonts w:ascii="Arial" w:cs="Arial" w:eastAsia="Arial" w:hAnsi="Arial"/>
          <w:color w:val="1A1A1A"/>
          <w:sz w:val="22"/>
          <w:szCs w:val="22"/>
        </w:rPr>
        <w:t xml:space="preserve">The risk categories above are not independent. The most dangerous scenarios arise from risk cascades — where one risk materialises and triggers others. Three interconnection patterns deserve particular attention:</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Model Risk → Conduct Risk: A hallucinating agent provides incorrect financial information to customers, generating both regulatory liability (conduct risk) and potential financial harm (credit/market risk).</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Cybersecurity Risk → Operational Risk → Reputational Risk: A prompt injection attack compromises an agent's operation, causes a service outage (operational risk), and results in public disclosure (reputational risk).</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Concentration Risk → Operational Risk → Systemic Risk: Over-reliance on a single LLM provider means an industry-wide outage simultaneously disables AI operations across multiple institutions, creating systemic financial instability.</w:t>
      </w:r>
    </w:p>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5. Control Framework Design</w:t>
      </w:r>
    </w:p>
    <w:p>
      <w:pPr>
        <w:spacing w:before="0" w:after="140" w:line="276" w:lineRule="auto"/>
        <w:jc w:val="both"/>
      </w:pPr>
      <w:r>
        <w:rPr>
          <w:rFonts w:ascii="Arial" w:cs="Arial" w:eastAsia="Arial" w:hAnsi="Arial"/>
          <w:color w:val="1A1A1A"/>
          <w:sz w:val="22"/>
          <w:szCs w:val="22"/>
        </w:rPr>
        <w:t xml:space="preserve">The AI Agent Control Framework presented in this section is structured across four layers, reflecting the lifecycle of an agent from design through to ongoing governance. Controls are additive: Layer 1 controls must be in place before Layer 2 can operate effectively, and so forth.</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Layer 1: Agent Design Controls (Pre-Deployment)</w:t>
      </w:r>
    </w:p>
    <w:p>
      <w:pPr>
        <w:pStyle w:val="Heading3"/>
        <w:spacing w:before="200" w:after="80" w:line="276" w:lineRule="auto"/>
      </w:pPr>
      <w:r>
        <w:rPr>
          <w:rFonts w:ascii="Arial" w:cs="Arial" w:eastAsia="Arial" w:hAnsi="Arial"/>
          <w:b/>
          <w:bCs/>
          <w:color w:val="1B3A6B"/>
          <w:sz w:val="24"/>
          <w:szCs w:val="24"/>
        </w:rPr>
        <w:t xml:space="preserve">5.1.1  System Prompt Governance</w:t>
      </w:r>
    </w:p>
    <w:p>
      <w:pPr>
        <w:spacing w:before="0" w:after="140" w:line="276" w:lineRule="auto"/>
        <w:jc w:val="both"/>
      </w:pPr>
      <w:r>
        <w:rPr>
          <w:rFonts w:ascii="Arial" w:cs="Arial" w:eastAsia="Arial" w:hAnsi="Arial"/>
          <w:color w:val="1A1A1A"/>
          <w:sz w:val="22"/>
          <w:szCs w:val="22"/>
        </w:rPr>
        <w:t xml:space="preserve">The system prompt is the foundational governance document of any LLM-based agent. It defines the agent's identity, capabilities, restrictions, tone, and escalation behaviour. System prompts in financial services must be treated with the same rigour as legal contracts or model documentation.</w:t>
      </w:r>
    </w:p>
    <w:p>
      <w:pPr>
        <w:spacing w:before="0" w:after="140" w:line="276" w:lineRule="auto"/>
        <w:jc w:val="both"/>
      </w:pPr>
      <w:r>
        <w:rPr>
          <w:rFonts w:ascii="Arial" w:cs="Arial" w:eastAsia="Arial" w:hAnsi="Arial"/>
          <w:color w:val="1A1A1A"/>
          <w:sz w:val="22"/>
          <w:szCs w:val="22"/>
        </w:rPr>
        <w:t xml:space="preserve">Required controls for system prompt governance:</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Version Control: Every version of every system prompt must be stored in a version-controlled repository with author, timestamp, change description, and approval status. Changes to system prompts must follow the same change management process as software releases.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Approval Workflow: System prompt changes must be approved by at minimum: the business owner, a compliance reviewer, and a risk reviewer. Changes affecting customer-facing agents must additionally obtain legal review.</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Testing Prior to Deployment: Every new or modified system prompt must pass a defined test suite before deployment, covering functional scenarios, adversarial inputs, edge cases, and regulatory compliance scenarios.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Access Controls: Write access to production system prompts must be restricted to authorised personnel, with all access logged and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0C" w:sz="4"/>
              <w:left w:val="single" w:color="C9960C" w:sz="24"/>
              <w:bottom w:val="single" w:color="C9960C" w:sz="4"/>
              <w:right w:val="single" w:color="C9960C" w:sz="4"/>
            </w:tcBorders>
            <w:shd w:fill="FFF3CD" w:val="clear"/>
            <w:tcMar>
              <w:top w:type="dxa" w:w="100"/>
              <w:left w:type="dxa" w:w="180"/>
              <w:bottom w:type="dxa" w:w="100"/>
              <w:right w:type="dxa" w:w="180"/>
            </w:tcMar>
          </w:tcPr>
          <w:p>
            <w:pPr>
              <w:spacing w:before="0" w:after="60" w:line="276" w:lineRule="auto"/>
            </w:pPr>
            <w:r>
              <w:rPr>
                <w:rFonts w:ascii="Arial" w:cs="Arial" w:eastAsia="Arial" w:hAnsi="Arial"/>
                <w:b/>
                <w:bCs/>
                <w:color w:val="C9960C"/>
                <w:sz w:val="20"/>
                <w:szCs w:val="20"/>
              </w:rPr>
              <w:t xml:space="preserve">✎  AUDITOR NOTE</w:t>
            </w:r>
          </w:p>
          <w:p>
            <w:pPr>
              <w:spacing w:before="0" w:after="40" w:line="276" w:lineRule="auto"/>
              <w:jc w:val="both"/>
            </w:pPr>
            <w:r>
              <w:rPr>
                <w:rFonts w:ascii="Arial" w:cs="Arial" w:eastAsia="Arial" w:hAnsi="Arial"/>
                <w:color w:val="1A1A1A"/>
                <w:sz w:val="20"/>
                <w:szCs w:val="20"/>
              </w:rPr>
              <w:t xml:space="preserve">Auditors should request the system prompt version history for all production AI agents as a standard evidence request. The absence of version history — or the presence of undocumented changes — is a significant control finding. Auditors should also compare the approved version of the system prompt with the version actually deployed in production to identify unauthorised modifications.</w:t>
            </w:r>
          </w:p>
        </w:tc>
      </w:tr>
    </w:tbl>
    <w:p>
      <w:pPr>
        <w:spacing w:before="0" w:after="120" w:line="276" w:lineRule="auto"/>
      </w:pPr>
    </w:p>
    <w:p>
      <w:pPr>
        <w:pStyle w:val="Heading3"/>
        <w:spacing w:before="200" w:after="80" w:line="276" w:lineRule="auto"/>
      </w:pPr>
      <w:r>
        <w:rPr>
          <w:rFonts w:ascii="Arial" w:cs="Arial" w:eastAsia="Arial" w:hAnsi="Arial"/>
          <w:b/>
          <w:bCs/>
          <w:color w:val="1B3A6B"/>
          <w:sz w:val="24"/>
          <w:szCs w:val="24"/>
        </w:rPr>
        <w:t xml:space="preserve">5.1.2  Tool and Action Whitelisting</w:t>
      </w:r>
    </w:p>
    <w:p>
      <w:pPr>
        <w:spacing w:before="0" w:after="140" w:line="276" w:lineRule="auto"/>
        <w:jc w:val="both"/>
      </w:pPr>
      <w:r>
        <w:rPr>
          <w:rFonts w:ascii="Arial" w:cs="Arial" w:eastAsia="Arial" w:hAnsi="Arial"/>
          <w:color w:val="1A1A1A"/>
          <w:sz w:val="22"/>
          <w:szCs w:val="22"/>
        </w:rPr>
        <w:t xml:space="preserve">Every tool available to an AI agent — every API, database query, communication channel, or file system operation — represents a potential risk vector. The principle of least privilege, fundamental to information security, must be applied rigorously to agent tool access.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Explicit Whitelist Only: Agents must only be able to access tools that are explicitly whitelisted. There should be no default access to any tool or resource.</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Scope Documentation: For each whitelisted tool, document: what the tool does, what data it can access, what actions it can trigger, and the justification for granting access to this agent.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Financial Exposure Limits: For any tool that can initiate or influence financial transactions, define explicit limits that the agent cannot exceed without human approval. These limits must be enforced at the tool level, not just in the system prompt.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Data Access Minimisation: Apply the DPDP Act principle of data minimisation — agents should only have access to the personal data necessary for their specific function.</w:t>
      </w:r>
    </w:p>
    <w:p>
      <w:pPr>
        <w:pStyle w:val="Heading3"/>
        <w:spacing w:before="200" w:after="80" w:line="276" w:lineRule="auto"/>
      </w:pPr>
      <w:r>
        <w:rPr>
          <w:rFonts w:ascii="Arial" w:cs="Arial" w:eastAsia="Arial" w:hAnsi="Arial"/>
          <w:b/>
          <w:bCs/>
          <w:color w:val="1B3A6B"/>
          <w:sz w:val="24"/>
          <w:szCs w:val="24"/>
        </w:rPr>
        <w:t xml:space="preserve">5.1.3  Capability Boundaries</w:t>
      </w:r>
    </w:p>
    <w:p>
      <w:pPr>
        <w:spacing w:before="0" w:after="140" w:line="276" w:lineRule="auto"/>
        <w:jc w:val="both"/>
      </w:pPr>
      <w:r>
        <w:rPr>
          <w:rFonts w:ascii="Arial" w:cs="Arial" w:eastAsia="Arial" w:hAnsi="Arial"/>
          <w:color w:val="1A1A1A"/>
          <w:sz w:val="22"/>
          <w:szCs w:val="22"/>
        </w:rPr>
        <w:t xml:space="preserve">Capability boundaries define the hard limits of what an agent can and cannot do. These must be documented, tested, and enforced at the infrastructure level — not just stated in the system prompt (which the agent may be manipulated into ignoring via prompt injection).</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1A7A4A"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Agent CAN Do (Example: Loan Underwriting Agent)</w:t>
            </w:r>
          </w:p>
        </w:tc>
        <w:tc>
          <w:tcPr>
            <w:tcW w:type="dxa" w:w="4680"/>
            <w:tcBorders>
              <w:top w:val="single" w:color="FFFFFF" w:sz="4"/>
              <w:left w:val="single" w:color="FFFFFF" w:sz="4"/>
              <w:bottom w:val="single" w:color="FFFFFF" w:sz="4"/>
              <w:right w:val="single" w:color="FFFFFF" w:sz="4"/>
            </w:tcBorders>
            <w:shd w:fill="C0392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Agent CANNOT Do (Hard Limits)</w:t>
            </w:r>
          </w:p>
        </w:tc>
      </w:tr>
      <w:tr>
        <w:tc>
          <w:tcPr>
            <w:tcW w:type="dxa" w:w="46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Access applicant data through approved APIs</w:t>
            </w:r>
          </w:p>
        </w:tc>
        <w:tc>
          <w:tcPr>
            <w:tcW w:type="dxa" w:w="468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Access data of non-applicant customers</w:t>
            </w:r>
          </w:p>
        </w:tc>
      </w:tr>
      <w:tr>
        <w:tc>
          <w:tcPr>
            <w:tcW w:type="dxa" w:w="46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Query credit bureau with applicant consent</w:t>
            </w:r>
          </w:p>
        </w:tc>
        <w:tc>
          <w:tcPr>
            <w:tcW w:type="dxa" w:w="468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Query bureau without explicit consent record</w:t>
            </w:r>
          </w:p>
        </w:tc>
      </w:tr>
      <w:tr>
        <w:tc>
          <w:tcPr>
            <w:tcW w:type="dxa" w:w="46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Approve loans below ₹5 lakh with score &gt; 750</w:t>
            </w:r>
          </w:p>
        </w:tc>
        <w:tc>
          <w:tcPr>
            <w:tcW w:type="dxa" w:w="468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Approve loans above threshold without human approval</w:t>
            </w:r>
          </w:p>
        </w:tc>
      </w:tr>
      <w:tr>
        <w:tc>
          <w:tcPr>
            <w:tcW w:type="dxa" w:w="46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Generate a structured credit recommendation</w:t>
            </w:r>
          </w:p>
        </w:tc>
        <w:tc>
          <w:tcPr>
            <w:tcW w:type="dxa" w:w="468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Access external websites or uncontrolled data sources</w:t>
            </w:r>
          </w:p>
        </w:tc>
      </w:tr>
      <w:tr>
        <w:tc>
          <w:tcPr>
            <w:tcW w:type="dxa" w:w="46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Send approval/rejection notification to applicant</w:t>
            </w:r>
          </w:p>
        </w:tc>
        <w:tc>
          <w:tcPr>
            <w:tcW w:type="dxa" w:w="468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Modify interest rates, fees, or product terms</w:t>
            </w:r>
          </w:p>
        </w:tc>
      </w:tr>
    </w:tbl>
    <w:p>
      <w:pPr>
        <w:spacing w:before="0" w:after="160" w:line="276" w:lineRule="auto"/>
      </w:pPr>
    </w:p>
    <w:p>
      <w:pPr>
        <w:pStyle w:val="Heading3"/>
        <w:spacing w:before="200" w:after="80" w:line="276" w:lineRule="auto"/>
      </w:pPr>
      <w:r>
        <w:rPr>
          <w:rFonts w:ascii="Arial" w:cs="Arial" w:eastAsia="Arial" w:hAnsi="Arial"/>
          <w:b/>
          <w:bCs/>
          <w:color w:val="1B3A6B"/>
          <w:sz w:val="24"/>
          <w:szCs w:val="24"/>
        </w:rPr>
        <w:t xml:space="preserve">5.1.4  Model Card and Agent Card Requirements</w:t>
      </w:r>
    </w:p>
    <w:p>
      <w:pPr>
        <w:spacing w:before="0" w:after="140" w:line="276" w:lineRule="auto"/>
        <w:jc w:val="both"/>
      </w:pPr>
      <w:r>
        <w:rPr>
          <w:rFonts w:ascii="Arial" w:cs="Arial" w:eastAsia="Arial" w:hAnsi="Arial"/>
          <w:color w:val="1A1A1A"/>
          <w:sz w:val="22"/>
          <w:szCs w:val="22"/>
        </w:rPr>
        <w:t xml:space="preserve">Borrowing from the ML model card concept pioneered by Google, financial institutions should maintain an Agent Card for every deployed AI agent. The Agent Card is the primary governance document and should contain: agent identity and version; purpose and scope; capability boundaries (as above); tool access inventory; risk assessment summary; validation evidence references; approval history; and known limitations.</w:t>
      </w:r>
    </w:p>
    <w:p>
      <w:pPr>
        <w:pStyle w:val="Heading3"/>
        <w:spacing w:before="200" w:after="80" w:line="276" w:lineRule="auto"/>
      </w:pPr>
      <w:r>
        <w:rPr>
          <w:rFonts w:ascii="Arial" w:cs="Arial" w:eastAsia="Arial" w:hAnsi="Arial"/>
          <w:b/>
          <w:bCs/>
          <w:color w:val="1B3A6B"/>
          <w:sz w:val="24"/>
          <w:szCs w:val="24"/>
        </w:rPr>
        <w:t xml:space="preserve">5.1.5  Bias and Fairness Testing</w:t>
      </w:r>
    </w:p>
    <w:p>
      <w:pPr>
        <w:spacing w:before="0" w:after="140" w:line="276" w:lineRule="auto"/>
        <w:jc w:val="both"/>
      </w:pPr>
      <w:r>
        <w:rPr>
          <w:rFonts w:ascii="Arial" w:cs="Arial" w:eastAsia="Arial" w:hAnsi="Arial"/>
          <w:color w:val="1A1A1A"/>
          <w:sz w:val="22"/>
          <w:szCs w:val="22"/>
        </w:rPr>
        <w:t xml:space="preserve">Agents involved in credit, insurance, or employment decisions must undergo bias and fairness testing before deployment. Testing should cover: disparate impact analysis across protected characteristics; counterfactual fairness testing (would the decision change if a protected characteristic were different?); and calibration testing (are confidence scores equally accurate across demographic groups?). Testing results must be documented and approved as part of the pre-deployment governance process.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Layer 2: Runtime Controls (In-Operation)</w:t>
      </w:r>
    </w:p>
    <w:p>
      <w:pPr>
        <w:pStyle w:val="Heading3"/>
        <w:spacing w:before="200" w:after="80" w:line="276" w:lineRule="auto"/>
      </w:pPr>
      <w:r>
        <w:rPr>
          <w:rFonts w:ascii="Arial" w:cs="Arial" w:eastAsia="Arial" w:hAnsi="Arial"/>
          <w:b/>
          <w:bCs/>
          <w:color w:val="1B3A6B"/>
          <w:sz w:val="24"/>
          <w:szCs w:val="24"/>
        </w:rPr>
        <w:t xml:space="preserve">5.2.1  Human-in-the-Loop Checkpoints</w:t>
      </w:r>
    </w:p>
    <w:p>
      <w:pPr>
        <w:spacing w:before="0" w:after="140" w:line="276" w:lineRule="auto"/>
        <w:jc w:val="both"/>
      </w:pPr>
      <w:r>
        <w:rPr>
          <w:rFonts w:ascii="Arial" w:cs="Arial" w:eastAsia="Arial" w:hAnsi="Arial"/>
          <w:color w:val="1A1A1A"/>
          <w:sz w:val="22"/>
          <w:szCs w:val="22"/>
        </w:rPr>
        <w:t xml:space="preserve">Not all agent decisions require human review, but some must always require it. The following framework defines HITL requirements by decision type and exposure level:</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Decision Type</w:t>
            </w:r>
          </w:p>
        </w:tc>
        <w:tc>
          <w:tcPr>
            <w:tcW w:type="dxa" w:w="234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Threshold for Automatic Agent Action</w:t>
            </w:r>
          </w:p>
        </w:tc>
        <w:tc>
          <w:tcPr>
            <w:tcW w:type="dxa" w:w="234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HITL Trigger</w:t>
            </w:r>
          </w:p>
        </w:tc>
        <w:tc>
          <w:tcPr>
            <w:tcW w:type="dxa" w:w="234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Escalation Timeframe</w:t>
            </w:r>
          </w:p>
        </w:tc>
      </w:tr>
      <w:tr>
        <w:tc>
          <w:tcPr>
            <w:tcW w:type="dxa" w:w="23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Loan Approval</w:t>
            </w:r>
          </w:p>
        </w:tc>
        <w:tc>
          <w:tcPr>
            <w:tcW w:type="dxa" w:w="23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Below ₹5 lakh, score &gt; 750, standard product</w:t>
            </w:r>
          </w:p>
        </w:tc>
        <w:tc>
          <w:tcPr>
            <w:tcW w:type="dxa" w:w="23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Above threshold; non-standard product; adverse bureau data</w:t>
            </w:r>
          </w:p>
        </w:tc>
        <w:tc>
          <w:tcPr>
            <w:tcW w:type="dxa" w:w="23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Immediate; 4 business hours maximum</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Trade Execution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Within pre-approved strategy parameters and notional limits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Any deviation from strategy; unusual market conditions; approaching daily limit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Immediate; real-time alert</w:t>
            </w:r>
          </w:p>
        </w:tc>
      </w:tr>
      <w:tr>
        <w:tc>
          <w:tcPr>
            <w:tcW w:type="dxa" w:w="23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Customer Communication</w:t>
            </w:r>
          </w:p>
        </w:tc>
        <w:tc>
          <w:tcPr>
            <w:tcW w:type="dxa" w:w="23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Templated, low-risk communications (account alerts, payment confirmations)</w:t>
            </w:r>
          </w:p>
        </w:tc>
        <w:tc>
          <w:tcPr>
            <w:tcW w:type="dxa" w:w="23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Any communication relating to adverse decisions, legal matters, or complaints</w:t>
            </w:r>
          </w:p>
        </w:tc>
        <w:tc>
          <w:tcPr>
            <w:tcW w:type="dxa" w:w="23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Pre-send review required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Regulatory Reporting</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Routine scheduled reports within normal parameters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Any report flagging potential breach; unusual data patterns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Compliance officer review before filing</w:t>
            </w:r>
          </w:p>
        </w:tc>
      </w:tr>
      <w:tr>
        <w:tc>
          <w:tcPr>
            <w:tcW w:type="dxa" w:w="23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Account Actions</w:t>
            </w:r>
          </w:p>
        </w:tc>
        <w:tc>
          <w:tcPr>
            <w:tcW w:type="dxa" w:w="23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Low-value operational updates (address change, contact update)</w:t>
            </w:r>
          </w:p>
        </w:tc>
        <w:tc>
          <w:tcPr>
            <w:tcW w:type="dxa" w:w="23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Account freeze; large transfers; KYC status changes</w:t>
            </w:r>
          </w:p>
        </w:tc>
        <w:tc>
          <w:tcPr>
            <w:tcW w:type="dxa" w:w="234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Immediate; dual authorisation required</w:t>
            </w:r>
          </w:p>
        </w:tc>
      </w:tr>
    </w:tbl>
    <w:p>
      <w:pPr>
        <w:spacing w:before="0" w:after="160" w:line="276" w:lineRule="auto"/>
      </w:pPr>
    </w:p>
    <w:p>
      <w:pPr>
        <w:pStyle w:val="Heading3"/>
        <w:spacing w:before="200" w:after="80" w:line="276" w:lineRule="auto"/>
      </w:pPr>
      <w:r>
        <w:rPr>
          <w:rFonts w:ascii="Arial" w:cs="Arial" w:eastAsia="Arial" w:hAnsi="Arial"/>
          <w:b/>
          <w:bCs/>
          <w:color w:val="1B3A6B"/>
          <w:sz w:val="24"/>
          <w:szCs w:val="24"/>
        </w:rPr>
        <w:t xml:space="preserve">5.2.2  Kill Switch and Circuit Breaker Mechanisms</w:t>
      </w:r>
    </w:p>
    <w:p>
      <w:pPr>
        <w:spacing w:before="0" w:after="140" w:line="276" w:lineRule="auto"/>
        <w:jc w:val="both"/>
      </w:pPr>
      <w:r>
        <w:rPr>
          <w:rFonts w:ascii="Arial" w:cs="Arial" w:eastAsia="Arial" w:hAnsi="Arial"/>
          <w:color w:val="1A1A1A"/>
          <w:sz w:val="22"/>
          <w:szCs w:val="22"/>
        </w:rPr>
        <w:t xml:space="preserve">Every production AI agent must have an accessible, tested kill switch that can halt all agent activity within seconds. Circuit breakers — automatic suspension mechanisms triggered by anomalous behaviour metrics — provide the automated equivalent. Required circuit breaker triggers include: action rate exceeding defined threshold; financial exposure approaching limit; error rate exceeding acceptable threshold; anomalous output patterns detected; and external system connectivity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ADBD8" w:val="clear"/>
            <w:tcMar>
              <w:top w:type="dxa" w:w="100"/>
              <w:left w:type="dxa" w:w="180"/>
              <w:bottom w:type="dxa" w:w="100"/>
              <w:right w:type="dxa" w:w="180"/>
            </w:tcMar>
          </w:tcPr>
          <w:p>
            <w:pPr>
              <w:spacing w:before="0" w:after="60" w:line="276" w:lineRule="auto"/>
            </w:pPr>
            <w:r>
              <w:rPr>
                <w:rFonts w:ascii="Arial" w:cs="Arial" w:eastAsia="Arial" w:hAnsi="Arial"/>
                <w:b/>
                <w:bCs/>
                <w:color w:val="C0392B"/>
                <w:sz w:val="20"/>
                <w:szCs w:val="20"/>
              </w:rPr>
              <w:t xml:space="preserve">⚠  RED FLAG</w:t>
            </w:r>
          </w:p>
          <w:p>
            <w:pPr>
              <w:spacing w:before="0" w:after="40" w:line="276" w:lineRule="auto"/>
              <w:jc w:val="both"/>
            </w:pPr>
            <w:r>
              <w:rPr>
                <w:rFonts w:ascii="Arial" w:cs="Arial" w:eastAsia="Arial" w:hAnsi="Arial"/>
                <w:color w:val="1A1A1A"/>
                <w:sz w:val="20"/>
                <w:szCs w:val="20"/>
              </w:rPr>
              <w:t xml:space="preserve">Kill switches that exist in documentation but have not been tested in a realistic scenario are not controls — they are paper controls. Regulators and auditors increasingly expect evidence of kill switch testing, not just the existence of the mechanism. Testing should be conducted at minimum quarterly, with results documented.</w:t>
            </w:r>
          </w:p>
        </w:tc>
      </w:tr>
    </w:tbl>
    <w:p>
      <w:pPr>
        <w:spacing w:before="0" w:after="120" w:line="276" w:lineRule="auto"/>
      </w:pPr>
    </w:p>
    <w:p>
      <w:pPr>
        <w:pStyle w:val="Heading3"/>
        <w:spacing w:before="200" w:after="80" w:line="276" w:lineRule="auto"/>
      </w:pPr>
      <w:r>
        <w:rPr>
          <w:rFonts w:ascii="Arial" w:cs="Arial" w:eastAsia="Arial" w:hAnsi="Arial"/>
          <w:b/>
          <w:bCs/>
          <w:color w:val="1B3A6B"/>
          <w:sz w:val="24"/>
          <w:szCs w:val="24"/>
        </w:rPr>
        <w:t xml:space="preserve">5.2.3  Immutable Audit Logging</w:t>
      </w:r>
    </w:p>
    <w:p>
      <w:pPr>
        <w:spacing w:before="0" w:after="140" w:line="276" w:lineRule="auto"/>
        <w:jc w:val="both"/>
      </w:pPr>
      <w:r>
        <w:rPr>
          <w:rFonts w:ascii="Arial" w:cs="Arial" w:eastAsia="Arial" w:hAnsi="Arial"/>
          <w:color w:val="1A1A1A"/>
          <w:sz w:val="22"/>
          <w:szCs w:val="22"/>
        </w:rPr>
        <w:t xml:space="preserve">Every agent action, tool call, reasoning step, input, and output must be captured in an immutable, structured log. This is not optional — it is the foundational control that enables all other monitoring and audit activities. Log fields must include: timestamp (UTC, millisecond precision); session identifier; agent identifier and version; action type; tool called; input parameters; output/result; user or system that initiated the session; and any HITL decisions and approvers.</w:t>
      </w:r>
    </w:p>
    <w:p>
      <w:pPr>
        <w:spacing w:before="0" w:after="140" w:line="276" w:lineRule="auto"/>
        <w:jc w:val="both"/>
      </w:pPr>
      <w:r>
        <w:rPr>
          <w:rFonts w:ascii="Arial" w:cs="Arial" w:eastAsia="Arial" w:hAnsi="Arial"/>
          <w:color w:val="1A1A1A"/>
          <w:sz w:val="22"/>
          <w:szCs w:val="22"/>
        </w:rPr>
        <w:t xml:space="preserve">Logs must be stored in a write-once system with cryptographic integrity verification. Access to logs must be read-only for all operational personnel; write/delete access must be restricted to a privileged security function and must itself be logged.</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Layer 3: Monitoring &amp; Observability Controls</w:t>
      </w:r>
    </w:p>
    <w:p>
      <w:pPr>
        <w:pStyle w:val="Heading3"/>
        <w:spacing w:before="200" w:after="80" w:line="276" w:lineRule="auto"/>
      </w:pPr>
      <w:r>
        <w:rPr>
          <w:rFonts w:ascii="Arial" w:cs="Arial" w:eastAsia="Arial" w:hAnsi="Arial"/>
          <w:b/>
          <w:bCs/>
          <w:color w:val="1B3A6B"/>
          <w:sz w:val="24"/>
          <w:szCs w:val="24"/>
        </w:rPr>
        <w:t xml:space="preserve">5.3.1  Key Risk Indicators for AI Agents</w:t>
      </w:r>
    </w:p>
    <w:p>
      <w:pPr>
        <w:spacing w:before="0" w:after="140" w:line="276" w:lineRule="auto"/>
        <w:jc w:val="both"/>
      </w:pPr>
      <w:r>
        <w:rPr>
          <w:rFonts w:ascii="Arial" w:cs="Arial" w:eastAsia="Arial" w:hAnsi="Arial"/>
          <w:color w:val="1A1A1A"/>
          <w:sz w:val="22"/>
          <w:szCs w:val="22"/>
        </w:rPr>
        <w:t xml:space="preserve">The following KRIs are recommended for financial institution AI agent monitoring programmes:</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80"/>
        <w:gridCol w:w="2680"/>
      </w:tblGrid>
      <w:tr>
        <w:tc>
          <w:tcPr>
            <w:tcW w:type="dxa" w:w="28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KRI</w:t>
            </w:r>
          </w:p>
        </w:tc>
        <w:tc>
          <w:tcPr>
            <w:tcW w:type="dxa" w:w="22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Measurement Method</w:t>
            </w:r>
          </w:p>
        </w:tc>
        <w:tc>
          <w:tcPr>
            <w:tcW w:type="dxa" w:w="168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Alert Threshold</w:t>
            </w:r>
          </w:p>
        </w:tc>
        <w:tc>
          <w:tcPr>
            <w:tcW w:type="dxa" w:w="268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Reporting Frequency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Agent action error rate</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Failed tool calls / total tool calls</w:t>
            </w:r>
          </w:p>
        </w:tc>
        <w:tc>
          <w:tcPr>
            <w:tcW w:type="dxa" w:w="1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&gt;2%</w:t>
            </w:r>
          </w:p>
        </w:tc>
        <w:tc>
          <w:tcPr>
            <w:tcW w:type="dxa" w:w="2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Real-time; daily summary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HITL escalation 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HITL triggers / total agent sessions</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&gt;10% change from baseline</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Daily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Output policy violation rate</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Guardrail blocks / total outputs</w:t>
            </w:r>
          </w:p>
        </w:tc>
        <w:tc>
          <w:tcPr>
            <w:tcW w:type="dxa" w:w="1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&gt;0.5%</w:t>
            </w:r>
          </w:p>
        </w:tc>
        <w:tc>
          <w:tcPr>
            <w:tcW w:type="dxa" w:w="2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Real-time; weekly review</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Financial exposure utilisation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Agent-initiated exposure / sanctioned limit</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&gt;80% of limit</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Real-time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Customer complaint attribution rate</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Complaints linked to agent interaction / total agent interactions</w:t>
            </w:r>
          </w:p>
        </w:tc>
        <w:tc>
          <w:tcPr>
            <w:tcW w:type="dxa" w:w="1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&gt;0.1%</w:t>
            </w:r>
          </w:p>
        </w:tc>
        <w:tc>
          <w:tcPr>
            <w:tcW w:type="dxa" w:w="2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Weekly; monthly trend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Model output drift score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Statistical divergence of recent outputs from baseline distribution</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PSI &gt; 0.2</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Daily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Prompt injection detection rate</w:t>
            </w:r>
          </w:p>
        </w:tc>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Detected injection attempts / total inputs processed</w:t>
            </w:r>
          </w:p>
        </w:tc>
        <w:tc>
          <w:tcPr>
            <w:tcW w:type="dxa" w:w="1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Any increase from baseline</w:t>
            </w:r>
          </w:p>
        </w:tc>
        <w:tc>
          <w:tcPr>
            <w:tcW w:type="dxa" w:w="268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Real-time; daily summary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Agent session duration anomaly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Sessions exceeding 2 standard deviations from mean duration</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&gt;5 anomalies per hour</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Real-time</w:t>
            </w:r>
          </w:p>
        </w:tc>
      </w:tr>
    </w:tbl>
    <w:p>
      <w:pPr>
        <w:spacing w:before="0" w:after="160" w:line="276" w:lineRule="auto"/>
      </w:pPr>
    </w:p>
    <w:p>
      <w:pPr>
        <w:pStyle w:val="Heading3"/>
        <w:spacing w:before="200" w:after="80" w:line="276" w:lineRule="auto"/>
      </w:pPr>
      <w:r>
        <w:rPr>
          <w:rFonts w:ascii="Arial" w:cs="Arial" w:eastAsia="Arial" w:hAnsi="Arial"/>
          <w:b/>
          <w:bCs/>
          <w:color w:val="1B3A6B"/>
          <w:sz w:val="24"/>
          <w:szCs w:val="24"/>
        </w:rPr>
        <w:t xml:space="preserve">5.3.2  Explainability Requirements</w:t>
      </w:r>
    </w:p>
    <w:p>
      <w:pPr>
        <w:spacing w:before="0" w:after="140" w:line="276" w:lineRule="auto"/>
        <w:jc w:val="both"/>
      </w:pPr>
      <w:r>
        <w:rPr>
          <w:rFonts w:ascii="Arial" w:cs="Arial" w:eastAsia="Arial" w:hAnsi="Arial"/>
          <w:color w:val="1A1A1A"/>
          <w:sz w:val="22"/>
          <w:szCs w:val="22"/>
        </w:rPr>
        <w:t xml:space="preserve">For every agent decision that affects a customer or generates a regulatory obligation, the institution must be able to produce a human-readable explanation of the decision. This explanation must cover: the key inputs that influenced the decision; the reasoning steps the agent followed; the tools consulted and their outputs; the applicable rules or policies; and, where the decision is adverse, the primary factors driving the adverse outcome.</w:t>
      </w:r>
    </w:p>
    <w:p>
      <w:pPr>
        <w:spacing w:before="0" w:after="140" w:line="276" w:lineRule="auto"/>
        <w:jc w:val="both"/>
      </w:pPr>
      <w:r>
        <w:rPr>
          <w:rFonts w:ascii="Arial" w:cs="Arial" w:eastAsia="Arial" w:hAnsi="Arial"/>
          <w:color w:val="1A1A1A"/>
          <w:sz w:val="22"/>
          <w:szCs w:val="22"/>
        </w:rPr>
        <w:t xml:space="preserve">Current LLM technology does not produce reliable mechanistic explanations of its reasoning. Institutions should therefore implement structured reasoning capture — requiring the agent to produce a structured rationale in a defined format as part of every significant decision — rather than relying on post-hoc interpretability techniques.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Layer 4: Governance &amp; Accountability Controls</w:t>
      </w:r>
    </w:p>
    <w:p>
      <w:pPr>
        <w:pStyle w:val="Heading3"/>
        <w:spacing w:before="200" w:after="80" w:line="276" w:lineRule="auto"/>
      </w:pPr>
      <w:r>
        <w:rPr>
          <w:rFonts w:ascii="Arial" w:cs="Arial" w:eastAsia="Arial" w:hAnsi="Arial"/>
          <w:b/>
          <w:bCs/>
          <w:color w:val="1B3A6B"/>
          <w:sz w:val="24"/>
          <w:szCs w:val="24"/>
        </w:rPr>
        <w:t xml:space="preserve">5.4.1  RACI Matrix for AI Agent Governance</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160"/>
      </w:tblGrid>
      <w:tr>
        <w:tc>
          <w:tcPr>
            <w:tcW w:type="dxa" w:w="24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Governance Activity</w:t>
            </w:r>
          </w:p>
        </w:tc>
        <w:tc>
          <w:tcPr>
            <w:tcW w:type="dxa" w:w="14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Business Owner</w:t>
            </w:r>
          </w:p>
        </w:tc>
        <w:tc>
          <w:tcPr>
            <w:tcW w:type="dxa" w:w="14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Technology</w:t>
            </w:r>
          </w:p>
        </w:tc>
        <w:tc>
          <w:tcPr>
            <w:tcW w:type="dxa" w:w="14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Risk / MRM</w:t>
            </w:r>
          </w:p>
        </w:tc>
        <w:tc>
          <w:tcPr>
            <w:tcW w:type="dxa" w:w="14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Compliance</w:t>
            </w:r>
          </w:p>
        </w:tc>
        <w:tc>
          <w:tcPr>
            <w:tcW w:type="dxa" w:w="116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Audit</w:t>
            </w:r>
          </w:p>
        </w:tc>
      </w:tr>
      <w:tr>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Define agent purpose and scope</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R/A</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Design system prompt and tool access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w:t>
            </w:r>
          </w:p>
        </w:tc>
      </w:tr>
      <w:tr>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Validate agent pre-deployment</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R/A</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Approve deployment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R</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w:t>
            </w:r>
          </w:p>
        </w:tc>
      </w:tr>
      <w:tr>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Monitor runtime performance</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R</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A</w:t>
            </w:r>
          </w:p>
        </w:tc>
        <w:tc>
          <w:tcPr>
            <w:tcW w:type="dxa" w:w="1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Respond to agent incidents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w:t>
            </w:r>
          </w:p>
        </w:tc>
      </w:tr>
      <w:tr>
        <w:tc>
          <w:tcPr>
            <w:tcW w:type="dxa" w:w="2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Conduct audit assurance</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1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R/A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Annual re-certification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R</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w:t>
            </w:r>
          </w:p>
        </w:tc>
      </w:tr>
    </w:tbl>
    <w:p>
      <w:pPr>
        <w:spacing w:before="0" w:after="100" w:line="276" w:lineRule="auto"/>
      </w:pPr>
    </w:p>
    <w:p>
      <w:pPr>
        <w:spacing w:before="0" w:after="140" w:line="276" w:lineRule="auto"/>
        <w:jc w:val="both"/>
      </w:pPr>
      <w:r>
        <w:rPr>
          <w:rFonts w:ascii="Arial" w:cs="Arial" w:eastAsia="Arial" w:hAnsi="Arial"/>
          <w:i/>
          <w:iCs/>
          <w:color w:val="5D6D7E"/>
          <w:sz w:val="22"/>
          <w:szCs w:val="22"/>
        </w:rPr>
        <w:t xml:space="preserve">Key: R = Responsible, A = Accountable, C = Consulted, I = Informed</w:t>
      </w:r>
    </w:p>
    <w:p>
      <w:pPr>
        <w:spacing w:before="0" w:after="160" w:line="276" w:lineRule="auto"/>
      </w:pPr>
    </w:p>
    <w:p>
      <w:pPr>
        <w:pStyle w:val="Heading3"/>
        <w:spacing w:before="200" w:after="80" w:line="276" w:lineRule="auto"/>
      </w:pPr>
      <w:r>
        <w:rPr>
          <w:rFonts w:ascii="Arial" w:cs="Arial" w:eastAsia="Arial" w:hAnsi="Arial"/>
          <w:b/>
          <w:bCs/>
          <w:color w:val="1B3A6B"/>
          <w:sz w:val="24"/>
          <w:szCs w:val="24"/>
        </w:rPr>
        <w:t xml:space="preserve">5.4.2  Model Risk Management Integration</w:t>
      </w:r>
    </w:p>
    <w:p>
      <w:pPr>
        <w:spacing w:before="0" w:after="140" w:line="276" w:lineRule="auto"/>
        <w:jc w:val="both"/>
      </w:pPr>
      <w:r>
        <w:rPr>
          <w:rFonts w:ascii="Arial" w:cs="Arial" w:eastAsia="Arial" w:hAnsi="Arial"/>
          <w:color w:val="1A1A1A"/>
          <w:sz w:val="22"/>
          <w:szCs w:val="22"/>
        </w:rPr>
        <w:t xml:space="preserve">AI agents must be incorporated into the institution's MRM framework as a distinct sub-category of model, with adaptations to address the unique characteristics of agentic systems. The following adaptations to the standard SR 11-7 process are required:</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Inventory and Classification: Agents must be added to the model inventory with a flag indicating 'agentic system' and a risk tier (Low/Medium/High/Critical) based on financial exposure, customer impact, and regulatory implications.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Validation Methodology: Agent validation must include: system prompt review against intended purpose and regulatory requirements; tool access review against principle of least privilege; adversarial testing (red-teaming); fairness testing where applicable; integration testing with all connected systems; and simulation of failure scenarios.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Change Triggers: In addition to standard model change triggers, agents must be re-validated when: the system prompt is modified; tools are added, removed, or modified; the underlying LLM model version changes; connected external systems change; or anomalous behaviour is detected in monitoring.</w:t>
      </w:r>
    </w:p>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6. Audit Perspective: How to Audit AI Agents</w:t>
      </w:r>
    </w:p>
    <w:p>
      <w:pPr>
        <w:spacing w:before="0" w:after="140" w:line="276" w:lineRule="auto"/>
        <w:jc w:val="both"/>
      </w:pPr>
      <w:r>
        <w:rPr>
          <w:rFonts w:ascii="Arial" w:cs="Arial" w:eastAsia="Arial" w:hAnsi="Arial"/>
          <w:color w:val="1A1A1A"/>
          <w:sz w:val="22"/>
          <w:szCs w:val="22"/>
        </w:rPr>
        <w:t xml:space="preserve">This section is written as a practical guide for internal and external auditors. Traditional IT and model risk auditors possess relevant skills but must develop new methodologies and mindsets to audit AI agents effectively. The most common audit failure in this area is not incompetence — it is applying the wrong conceptual framework to a fundamentally new type of system.</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6.1  Audit Objectives</w:t>
      </w:r>
    </w:p>
    <w:p>
      <w:pPr>
        <w:spacing w:before="0" w:after="140" w:line="276" w:lineRule="auto"/>
        <w:jc w:val="both"/>
      </w:pPr>
      <w:r>
        <w:rPr>
          <w:rFonts w:ascii="Arial" w:cs="Arial" w:eastAsia="Arial" w:hAnsi="Arial"/>
          <w:color w:val="1A1A1A"/>
          <w:sz w:val="22"/>
          <w:szCs w:val="22"/>
        </w:rPr>
        <w:t xml:space="preserve">An AI agent audit should achieve the following objectives: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Verify that all AI agents in scope have been identified and risk-rated in accordance with the institution's AI governance framework.</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Confirm that pre-deployment governance requirements (design approval, validation, system prompt governance, capability boundaries) were met before each agent was deployed to production.</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Assess whether runtime controls (HITL checkpoints, circuit breakers, exposure limits, guardrails) are operating effectively.</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Evaluate the adequacy of monitoring and observability infrastructure, including KRI coverage, dashboards, and escalation processes.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Determine whether governance and accountability structures are clear and operationally effective.</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Identify gaps between the stated control framework and actual operational practice.</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6.2  Key Audit Questions</w:t>
      </w:r>
    </w:p>
    <w:p>
      <w:pPr>
        <w:pStyle w:val="Heading3"/>
        <w:spacing w:before="200" w:after="80" w:line="276" w:lineRule="auto"/>
      </w:pPr>
      <w:r>
        <w:rPr>
          <w:rFonts w:ascii="Arial" w:cs="Arial" w:eastAsia="Arial" w:hAnsi="Arial"/>
          <w:b/>
          <w:bCs/>
          <w:color w:val="1B3A6B"/>
          <w:sz w:val="24"/>
          <w:szCs w:val="24"/>
        </w:rPr>
        <w:t xml:space="preserve">6.2.1  Design Phase Audit Questions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Is there a complete and current inventory of all AI agents deployed by the institution?</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For each agent, does a signed Agent Card exist documenting purpose, scope, tools, risk rating, and approval history?</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Is there a version-controlled record of all system prompts, with evidence of approval at each version?</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Does the production system prompt match the approved version in the governance record?</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What bias and fairness testing was conducted, and what were the results?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What adversarial testing (red-teaming, prompt injection attempts) was conducted before deployment?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Were all required reviewers (Business, Risk, Compliance, Legal) involved in pre-deployment approval?</w:t>
      </w:r>
    </w:p>
    <w:p>
      <w:pPr>
        <w:spacing w:before="0" w:after="80" w:line="276" w:lineRule="auto"/>
      </w:pPr>
    </w:p>
    <w:p>
      <w:pPr>
        <w:pStyle w:val="Heading3"/>
        <w:spacing w:before="200" w:after="80" w:line="276" w:lineRule="auto"/>
      </w:pPr>
      <w:r>
        <w:rPr>
          <w:rFonts w:ascii="Arial" w:cs="Arial" w:eastAsia="Arial" w:hAnsi="Arial"/>
          <w:b/>
          <w:bCs/>
          <w:color w:val="1B3A6B"/>
          <w:sz w:val="24"/>
          <w:szCs w:val="24"/>
        </w:rPr>
        <w:t xml:space="preserve">6.2.2  Deployment Phase Audit Questions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Are tool access controls enforced at the infrastructure level, or only stated in the system prompt?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Have financial exposure limits been tested — not just documented — to confirm they cannot be exceeded by the agent?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Was the kill switch tested before deployment, and is there evidence of the test?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Were circuit breaker thresholds set based on risk analysis, or are they default values?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Is there a rollback plan in the event of agent failure, and has it been tested?</w:t>
      </w:r>
    </w:p>
    <w:p>
      <w:pPr>
        <w:spacing w:before="0" w:after="80" w:line="276" w:lineRule="auto"/>
      </w:pPr>
    </w:p>
    <w:p>
      <w:pPr>
        <w:pStyle w:val="Heading3"/>
        <w:spacing w:before="200" w:after="80" w:line="276" w:lineRule="auto"/>
      </w:pPr>
      <w:r>
        <w:rPr>
          <w:rFonts w:ascii="Arial" w:cs="Arial" w:eastAsia="Arial" w:hAnsi="Arial"/>
          <w:b/>
          <w:bCs/>
          <w:color w:val="1B3A6B"/>
          <w:sz w:val="24"/>
          <w:szCs w:val="24"/>
        </w:rPr>
        <w:t xml:space="preserve">6.2.3  Monitoring Phase Audit Questions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Are all defined KRIs being measured and reported at the required frequency?</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Are KRI breach alerts generating timely escalations and documented responses?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Is audit log coverage complete — do logs capture every agent action, tool call, and HITL decision?</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Are logs stored in a tamper-evident system with cryptographic integrity verification?</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Is there evidence that monitoring anomalies have led to investigation and, where warranted, remediation?</w:t>
      </w:r>
    </w:p>
    <w:p>
      <w:pPr>
        <w:spacing w:before="0" w:after="80" w:line="276" w:lineRule="auto"/>
      </w:pPr>
    </w:p>
    <w:p>
      <w:pPr>
        <w:pStyle w:val="Heading3"/>
        <w:spacing w:before="200" w:after="80" w:line="276" w:lineRule="auto"/>
      </w:pPr>
      <w:r>
        <w:rPr>
          <w:rFonts w:ascii="Arial" w:cs="Arial" w:eastAsia="Arial" w:hAnsi="Arial"/>
          <w:b/>
          <w:bCs/>
          <w:color w:val="1B3A6B"/>
          <w:sz w:val="24"/>
          <w:szCs w:val="24"/>
        </w:rPr>
        <w:t xml:space="preserve">6.2.4  Governance Phase Audit Questions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Is there a documented RACI for AI agent governance that has been approved and communicated?</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Has an AI Governance Committee been established, and does it meet at the required frequency?</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Are agent-related incidents reported to the Board Risk Committee, and is there evidence of board engagement?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Has an annual re-certification been conducted for all agents, with documented outcomes?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Is there a vendor due diligence record for all LLM providers and tool APIs used by agents?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6.3  Evidence Collection</w:t>
      </w:r>
    </w:p>
    <w:p>
      <w:pPr>
        <w:spacing w:before="0" w:after="140" w:line="276" w:lineRule="auto"/>
        <w:jc w:val="both"/>
      </w:pPr>
      <w:r>
        <w:rPr>
          <w:rFonts w:ascii="Arial" w:cs="Arial" w:eastAsia="Arial" w:hAnsi="Arial"/>
          <w:color w:val="1A1A1A"/>
          <w:sz w:val="22"/>
          <w:szCs w:val="22"/>
        </w:rPr>
        <w:t xml:space="preserve">Auditors should request the following artifacts as standard evidence for an AI agent audit:</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Evidence Item</w:t>
            </w:r>
          </w:p>
        </w:tc>
        <w:tc>
          <w:tcPr>
            <w:tcW w:type="dxa" w:w="38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What to Look For</w:t>
            </w:r>
          </w:p>
        </w:tc>
        <w:tc>
          <w:tcPr>
            <w:tcW w:type="dxa" w:w="276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Red Flag if Absent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AI Agent Inventory</w:t>
            </w:r>
          </w:p>
        </w:tc>
        <w:tc>
          <w:tcPr>
            <w:tcW w:type="dxa" w:w="3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Complete list of all agents, risk tiers, deployment dates, owners</w:t>
            </w:r>
          </w:p>
        </w:tc>
        <w:tc>
          <w:tcPr>
            <w:tcW w:type="dxa" w:w="276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Unregistered agents almost certainly exist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System Prompt Version History</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All versions, change descriptions, approval signatures, dates</w:t>
            </w:r>
          </w:p>
        </w:tc>
        <w:tc>
          <w:tcPr>
            <w:tcW w:type="dxa" w:w="276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Governance of most critical control is absent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Agent Cards</w:t>
            </w:r>
          </w:p>
        </w:tc>
        <w:tc>
          <w:tcPr>
            <w:tcW w:type="dxa" w:w="3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Purpose, scope, tool access, limits, known limitations, sign-offs</w:t>
            </w:r>
          </w:p>
        </w:tc>
        <w:tc>
          <w:tcPr>
            <w:tcW w:type="dxa" w:w="27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No single source of governance truth for the agent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Validation Reports</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Test scenarios, results, sign-off by independent validator</w:t>
            </w:r>
          </w:p>
        </w:tc>
        <w:tc>
          <w:tcPr>
            <w:tcW w:type="dxa" w:w="276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Agent deployed without independent validation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Bias and Fairness Test Results</w:t>
            </w:r>
          </w:p>
        </w:tc>
        <w:tc>
          <w:tcPr>
            <w:tcW w:type="dxa" w:w="3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Disparate impact analysis, methodology, findings, remediation</w:t>
            </w:r>
          </w:p>
        </w:tc>
        <w:tc>
          <w:tcPr>
            <w:tcW w:type="dxa" w:w="276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Potential for discriminatory outcomes undetected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Audit Logs (sample)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Completeness, structured format, integrity verification, retention</w:t>
            </w:r>
          </w:p>
        </w:tc>
        <w:tc>
          <w:tcPr>
            <w:tcW w:type="dxa" w:w="276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No basis for post-incident investigation or regulatory response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HITL Decision Records</w:t>
            </w:r>
          </w:p>
        </w:tc>
        <w:tc>
          <w:tcPr>
            <w:tcW w:type="dxa" w:w="3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Triggered escalations, reviewer identity, decision taken, timing</w:t>
            </w:r>
          </w:p>
        </w:tc>
        <w:tc>
          <w:tcPr>
            <w:tcW w:type="dxa" w:w="27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Cannot verify human oversight was exercised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Kill Switch Test Evidence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Test date, scenario, result, approval to return to production</w:t>
            </w:r>
          </w:p>
        </w:tc>
        <w:tc>
          <w:tcPr>
            <w:tcW w:type="dxa" w:w="27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Kill switch is a paper control only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Incident Logs</w:t>
            </w:r>
          </w:p>
        </w:tc>
        <w:tc>
          <w:tcPr>
            <w:tcW w:type="dxa" w:w="3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All agent-related incidents, root cause analysis, remediation</w:t>
            </w:r>
          </w:p>
        </w:tc>
        <w:tc>
          <w:tcPr>
            <w:tcW w:type="dxa" w:w="27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Potential under-reporting of agent incidents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Vendor Due Diligence Records</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LLM provider assessments, data processing agreements, SLAs</w:t>
            </w:r>
          </w:p>
        </w:tc>
        <w:tc>
          <w:tcPr>
            <w:tcW w:type="dxa" w:w="276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Third-party risk not being managed</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Board/Committee Reporting</w:t>
            </w:r>
          </w:p>
        </w:tc>
        <w:tc>
          <w:tcPr>
            <w:tcW w:type="dxa" w:w="3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AI risk items in committee minutes, board risk dashboard extracts</w:t>
            </w:r>
          </w:p>
        </w:tc>
        <w:tc>
          <w:tcPr>
            <w:tcW w:type="dxa" w:w="27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Governance not reaching appropriate oversight level</w:t>
            </w:r>
          </w:p>
        </w:tc>
      </w:tr>
    </w:tbl>
    <w:p>
      <w:pPr>
        <w:spacing w:before="0" w:after="160" w:line="276" w:lineRule="auto"/>
      </w:pPr>
    </w:p>
    <w:p>
      <w:pPr>
        <w:pStyle w:val="Heading2"/>
        <w:spacing w:before="280" w:after="120" w:line="276" w:lineRule="auto"/>
      </w:pPr>
      <w:r>
        <w:rPr>
          <w:rFonts w:ascii="Arial" w:cs="Arial" w:eastAsia="Arial" w:hAnsi="Arial"/>
          <w:b/>
          <w:bCs/>
          <w:color w:val="2E5FA3"/>
          <w:sz w:val="28"/>
          <w:szCs w:val="28"/>
        </w:rPr>
        <w:t xml:space="preserve">6.4  Audit Findings Taxonomy</w:t>
      </w:r>
    </w:p>
    <w:p>
      <w:pPr>
        <w:spacing w:before="0" w:after="140" w:line="276" w:lineRule="auto"/>
        <w:jc w:val="both"/>
      </w:pPr>
      <w:r>
        <w:rPr>
          <w:rFonts w:ascii="Arial" w:cs="Arial" w:eastAsia="Arial" w:hAnsi="Arial"/>
          <w:color w:val="1A1A1A"/>
          <w:sz w:val="22"/>
          <w:szCs w:val="22"/>
        </w:rPr>
        <w:t xml:space="preserve">The following taxonomy provides a standardised approach to classifying AI agent audit findings: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Critical Finding: A control failure that has caused, or could imminently cause, a material financial loss, regulatory breach, or significant customer harm. Example: An agent has been deployed to production without any pre-deployment validation or approval; or the agent has no kill switch mechanism.</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High Finding: A significant control weakness that materially increases the likelihood of a material risk event. Example: System prompt changes are not version-controlled; HITL thresholds have not been tested; audit logs are not tamper-evident.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Medium Finding: A control gap that, while not immediately critical, represents a meaningful deviation from the required framework and requires remediation within a defined timeframe. Example: KRI dashboards exist but are not reviewed at the required frequency; agent inventory is incomplete for lower-risk agents.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Low Finding / Observation: A process improvement opportunity that, if addressed, would strengthen the control environment. Example: Agent Cards lack a section on known limitations; vendor due diligence records are not stored in a centralised location.</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6.5  Common Audit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0C" w:sz="4"/>
              <w:left w:val="single" w:color="C9960C" w:sz="24"/>
              <w:bottom w:val="single" w:color="C9960C" w:sz="4"/>
              <w:right w:val="single" w:color="C9960C" w:sz="4"/>
            </w:tcBorders>
            <w:shd w:fill="FFF3CD" w:val="clear"/>
            <w:tcMar>
              <w:top w:type="dxa" w:w="100"/>
              <w:left w:type="dxa" w:w="180"/>
              <w:bottom w:type="dxa" w:w="100"/>
              <w:right w:type="dxa" w:w="180"/>
            </w:tcMar>
          </w:tcPr>
          <w:p>
            <w:pPr>
              <w:spacing w:before="0" w:after="60" w:line="276" w:lineRule="auto"/>
            </w:pPr>
            <w:r>
              <w:rPr>
                <w:rFonts w:ascii="Arial" w:cs="Arial" w:eastAsia="Arial" w:hAnsi="Arial"/>
                <w:b/>
                <w:bCs/>
                <w:color w:val="C9960C"/>
                <w:sz w:val="20"/>
                <w:szCs w:val="20"/>
              </w:rPr>
              <w:t xml:space="preserve">✎  AUDITOR NOTE</w:t>
            </w:r>
          </w:p>
          <w:p>
            <w:pPr>
              <w:spacing w:before="0" w:after="40" w:line="276" w:lineRule="auto"/>
              <w:jc w:val="both"/>
            </w:pPr>
            <w:r>
              <w:rPr>
                <w:rFonts w:ascii="Arial" w:cs="Arial" w:eastAsia="Arial" w:hAnsi="Arial"/>
                <w:color w:val="1A1A1A"/>
                <w:sz w:val="20"/>
                <w:szCs w:val="20"/>
              </w:rPr>
              <w:t xml:space="preserve">The following pitfalls represent the most common failures in AI agent audits conducted by teams with strong IT or traditional model risk backgrounds but limited experience with agentic systems. Awareness of these pitfalls is the first step to avoiding them.</w:t>
            </w:r>
          </w:p>
        </w:tc>
      </w:tr>
    </w:tbl>
    <w:p>
      <w:pPr>
        <w:spacing w:before="0" w:after="120" w:line="276" w:lineRule="auto"/>
      </w:pP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Treating the system prompt as code: Auditors accustomed to reviewing software code may treat the system prompt as a technical artifact to be reviewed by a developer. In reality, the system prompt is a governance document that must be reviewed for regulatory compliance, policy alignment, and operational risk — not just technical correctness.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Relying on static testing: Traditional model validation relies on a defined test dataset. Agent behaviour is dynamic and context-dependent — the same agent may behave very differently with different inputs. Audit programs must include dynamic testing (adversarial, edge case, and scenario-based) in addition to static review.</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Ignoring the reasoning chain: Auditors may focus on outputs (what the agent decided) without examining intermediate reasoning steps (how it got there). The reasoning chain is where model risk manifestations — hallucination, goal misgeneralisation, prompt injection — are most visible.</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Assuming tool access documentation is complete: Agents may acquire tool access through indirect means — calling a tool that calls another API, or accessing data through a database join that the auditor did not identify. Auditors should validate tool access through technical testing, not just documentation review.</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Not testing the kill switch: This is perhaps the single most common gap. The kill switch exists in documentation; nobody has ever pressed it in a controlled test. It may not work. Test it.</w:t>
      </w:r>
    </w:p>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7. Compliance Officer's Playbook</w:t>
      </w:r>
    </w:p>
    <w:p>
      <w:pPr>
        <w:spacing w:before="0" w:after="140" w:line="276" w:lineRule="auto"/>
        <w:jc w:val="both"/>
      </w:pPr>
      <w:r>
        <w:rPr>
          <w:rFonts w:ascii="Arial" w:cs="Arial" w:eastAsia="Arial" w:hAnsi="Arial"/>
          <w:color w:val="1A1A1A"/>
          <w:sz w:val="22"/>
          <w:szCs w:val="22"/>
        </w:rPr>
        <w:t xml:space="preserve">This section provides a practical operational guide for Chief Compliance Officers and their teams. The focus is on actionable steps, tools, and templates — not just principles.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7.1  Day-1 Inventory: Identifying All AI Agents</w:t>
      </w:r>
    </w:p>
    <w:p>
      <w:pPr>
        <w:spacing w:before="0" w:after="140" w:line="276" w:lineRule="auto"/>
        <w:jc w:val="both"/>
      </w:pPr>
      <w:r>
        <w:rPr>
          <w:rFonts w:ascii="Arial" w:cs="Arial" w:eastAsia="Arial" w:hAnsi="Arial"/>
          <w:color w:val="1A1A1A"/>
          <w:sz w:val="22"/>
          <w:szCs w:val="22"/>
        </w:rPr>
        <w:t xml:space="preserve">The AI agent inventory is the foundation of the compliance programme. An institution cannot govern agents it does not know about. Day-1 inventory activities should include:</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Technology landscape scan: Work with the CTO and IT architecture teams to identify all systems in production that use LLM APIs (OpenAI, Anthropic, Google, Mistral, locally hosted models) or agentic frameworks (LangChain, AutoGen, CrewAI, custom).</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Business unit self-declaration: Issue a mandatory self-declaration to all business units requiring them to identify any AI agent systems they operate, including those built by technology partners or acquired vendors.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Vendor contract review: Review all active technology vendor contracts for references to AI, machine learning, or automation that may involve agentic systems.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Shadow AI scan: Engage cybersecurity to identify API calls to LLM providers from the corporate network that may indicate unauthorised agent deployments.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Risk rating: Apply the risk rating methodology (Section 7.2) to all identified agents. Prioritise governance work for Critical and High-rated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ADBD8" w:val="clear"/>
            <w:tcMar>
              <w:top w:type="dxa" w:w="100"/>
              <w:left w:type="dxa" w:w="180"/>
              <w:bottom w:type="dxa" w:w="100"/>
              <w:right w:type="dxa" w:w="180"/>
            </w:tcMar>
          </w:tcPr>
          <w:p>
            <w:pPr>
              <w:spacing w:before="0" w:after="60" w:line="276" w:lineRule="auto"/>
            </w:pPr>
            <w:r>
              <w:rPr>
                <w:rFonts w:ascii="Arial" w:cs="Arial" w:eastAsia="Arial" w:hAnsi="Arial"/>
                <w:b/>
                <w:bCs/>
                <w:color w:val="C0392B"/>
                <w:sz w:val="20"/>
                <w:szCs w:val="20"/>
              </w:rPr>
              <w:t xml:space="preserve">⚠  RED FLAG</w:t>
            </w:r>
          </w:p>
          <w:p>
            <w:pPr>
              <w:spacing w:before="0" w:after="40" w:line="276" w:lineRule="auto"/>
              <w:jc w:val="both"/>
            </w:pPr>
            <w:r>
              <w:rPr>
                <w:rFonts w:ascii="Arial" w:cs="Arial" w:eastAsia="Arial" w:hAnsi="Arial"/>
                <w:color w:val="1A1A1A"/>
                <w:sz w:val="20"/>
                <w:szCs w:val="20"/>
              </w:rPr>
              <w:t xml:space="preserve">Shadow AI — the use of AI tools and agents without IT or compliance knowledge — is a significant and growing risk in financial institutions. Employees and teams are building and deploying agent-based workflows using personal API keys, free-tier services, and no-code platforms, often with access to corporate data. A shadow AI scan must be part of the Day-1 inventory process.</w:t>
            </w:r>
          </w:p>
        </w:tc>
      </w:tr>
    </w:tbl>
    <w:p>
      <w:pPr>
        <w:spacing w:before="0" w:after="120" w:line="276" w:lineRule="auto"/>
      </w:pPr>
    </w:p>
    <w:p>
      <w:pPr>
        <w:pStyle w:val="Heading2"/>
        <w:spacing w:before="280" w:after="120" w:line="276" w:lineRule="auto"/>
      </w:pPr>
      <w:r>
        <w:rPr>
          <w:rFonts w:ascii="Arial" w:cs="Arial" w:eastAsia="Arial" w:hAnsi="Arial"/>
          <w:b/>
          <w:bCs/>
          <w:color w:val="2E5FA3"/>
          <w:sz w:val="28"/>
          <w:szCs w:val="28"/>
        </w:rPr>
        <w:t xml:space="preserve">7.2  Risk Rating Methodology</w:t>
      </w:r>
    </w:p>
    <w:p>
      <w:pPr>
        <w:spacing w:before="0" w:after="140" w:line="276" w:lineRule="auto"/>
        <w:jc w:val="both"/>
      </w:pPr>
      <w:r>
        <w:rPr>
          <w:rFonts w:ascii="Arial" w:cs="Arial" w:eastAsia="Arial" w:hAnsi="Arial"/>
          <w:color w:val="1A1A1A"/>
          <w:sz w:val="22"/>
          <w:szCs w:val="22"/>
        </w:rPr>
        <w:t xml:space="preserve">Each AI agent should be assigned a risk tier based on the following scoring framework:</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81"/>
      </w:tblGrid>
      <w:tr>
        <w:tc>
          <w:tcPr>
            <w:tcW w:type="dxa" w:w="30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Rating Factor</w:t>
            </w:r>
          </w:p>
        </w:tc>
        <w:tc>
          <w:tcPr>
            <w:tcW w:type="dxa" w:w="159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Low (1)</w:t>
            </w:r>
          </w:p>
        </w:tc>
        <w:tc>
          <w:tcPr>
            <w:tcW w:type="dxa" w:w="159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Medium (2)</w:t>
            </w:r>
          </w:p>
        </w:tc>
        <w:tc>
          <w:tcPr>
            <w:tcW w:type="dxa" w:w="159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High (3)</w:t>
            </w:r>
          </w:p>
        </w:tc>
        <w:tc>
          <w:tcPr>
            <w:tcW w:type="dxa" w:w="1581"/>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Critical (4)</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Financial exposure per session</w:t>
            </w:r>
          </w:p>
        </w:tc>
        <w:tc>
          <w:tcPr>
            <w:tcW w:type="dxa" w:w="159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&lt; ₹10,000</w:t>
            </w:r>
          </w:p>
        </w:tc>
        <w:tc>
          <w:tcPr>
            <w:tcW w:type="dxa" w:w="159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₹10K – ₹1L</w:t>
            </w:r>
          </w:p>
        </w:tc>
        <w:tc>
          <w:tcPr>
            <w:tcW w:type="dxa" w:w="159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₹1L – ₹10L</w:t>
            </w:r>
          </w:p>
        </w:tc>
        <w:tc>
          <w:tcPr>
            <w:tcW w:type="dxa" w:w="1581"/>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&gt; ₹10L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Customer impact</w:t>
            </w:r>
          </w:p>
        </w:tc>
        <w:tc>
          <w:tcPr>
            <w:tcW w:type="dxa" w:w="15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No direct customer impact</w:t>
            </w:r>
          </w:p>
        </w:tc>
        <w:tc>
          <w:tcPr>
            <w:tcW w:type="dxa" w:w="15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Informational only</w:t>
            </w:r>
          </w:p>
        </w:tc>
        <w:tc>
          <w:tcPr>
            <w:tcW w:type="dxa" w:w="15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Influences customer decisions</w:t>
            </w:r>
          </w:p>
        </w:tc>
        <w:tc>
          <w:tcPr>
            <w:tcW w:type="dxa" w:w="1581"/>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Makes binding customer decisions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Regulatory scope</w:t>
            </w:r>
          </w:p>
        </w:tc>
        <w:tc>
          <w:tcPr>
            <w:tcW w:type="dxa" w:w="159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Internal only, no regulatory touch</w:t>
            </w:r>
          </w:p>
        </w:tc>
        <w:tc>
          <w:tcPr>
            <w:tcW w:type="dxa" w:w="159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Supports regulated activity</w:t>
            </w:r>
          </w:p>
        </w:tc>
        <w:tc>
          <w:tcPr>
            <w:tcW w:type="dxa" w:w="159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Directly regulated activity</w:t>
            </w:r>
          </w:p>
        </w:tc>
        <w:tc>
          <w:tcPr>
            <w:tcW w:type="dxa" w:w="1581"/>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Regulated decision-making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Autonomy level</w:t>
            </w:r>
          </w:p>
        </w:tc>
        <w:tc>
          <w:tcPr>
            <w:tcW w:type="dxa" w:w="15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Human reviews all outputs</w:t>
            </w:r>
          </w:p>
        </w:tc>
        <w:tc>
          <w:tcPr>
            <w:tcW w:type="dxa" w:w="15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HITL for key decisions</w:t>
            </w:r>
          </w:p>
        </w:tc>
        <w:tc>
          <w:tcPr>
            <w:tcW w:type="dxa" w:w="15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Autonomous with monitoring</w:t>
            </w:r>
          </w:p>
        </w:tc>
        <w:tc>
          <w:tcPr>
            <w:tcW w:type="dxa" w:w="1581"/>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Fully autonomous, no HITL</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Data sensitivity</w:t>
            </w:r>
          </w:p>
        </w:tc>
        <w:tc>
          <w:tcPr>
            <w:tcW w:type="dxa" w:w="159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No personal data</w:t>
            </w:r>
          </w:p>
        </w:tc>
        <w:tc>
          <w:tcPr>
            <w:tcW w:type="dxa" w:w="159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Non-sensitive personal data</w:t>
            </w:r>
          </w:p>
        </w:tc>
        <w:tc>
          <w:tcPr>
            <w:tcW w:type="dxa" w:w="159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Sensitive personal data</w:t>
            </w:r>
          </w:p>
        </w:tc>
        <w:tc>
          <w:tcPr>
            <w:tcW w:type="dxa" w:w="1581"/>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Financial + sensitive PII</w:t>
            </w:r>
          </w:p>
        </w:tc>
      </w:tr>
    </w:tbl>
    <w:p>
      <w:pPr>
        <w:spacing w:before="0" w:after="100" w:line="276" w:lineRule="auto"/>
      </w:pPr>
    </w:p>
    <w:p>
      <w:pPr>
        <w:spacing w:before="0" w:after="140" w:line="276" w:lineRule="auto"/>
        <w:jc w:val="both"/>
      </w:pPr>
      <w:r>
        <w:rPr>
          <w:rFonts w:ascii="Arial" w:cs="Arial" w:eastAsia="Arial" w:hAnsi="Arial"/>
          <w:i/>
          <w:iCs/>
          <w:color w:val="5D6D7E"/>
          <w:sz w:val="22"/>
          <w:szCs w:val="22"/>
        </w:rPr>
        <w:t xml:space="preserve">Total score 5–8: Low Risk | 9–12: Medium Risk | 13–16: High Risk | 17–20: Critical Risk</w:t>
      </w:r>
    </w:p>
    <w:p>
      <w:pPr>
        <w:spacing w:before="0" w:after="80" w:line="276" w:lineRule="auto"/>
      </w:pPr>
    </w:p>
    <w:p>
      <w:pPr>
        <w:spacing w:before="0" w:after="140" w:line="276" w:lineRule="auto"/>
        <w:jc w:val="both"/>
      </w:pPr>
      <w:r>
        <w:rPr>
          <w:rFonts w:ascii="Arial" w:cs="Arial" w:eastAsia="Arial" w:hAnsi="Arial"/>
          <w:color w:val="1A1A1A"/>
          <w:sz w:val="22"/>
          <w:szCs w:val="22"/>
        </w:rPr>
        <w:t xml:space="preserve">Critical risk agents require Board-level approval before deployment and quarterly re-assessment. High-risk agents require senior management approval and semi-annual re-assessment. Medium-risk agents require functional head approval and annual re-assessment. Low-risk agents require owner attestation and biennial re-assessment.</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7.3  Pre-Deployment Approval Workflow</w:t>
      </w:r>
    </w:p>
    <w:p>
      <w:pPr>
        <w:spacing w:before="0" w:after="140" w:line="276" w:lineRule="auto"/>
        <w:jc w:val="both"/>
      </w:pPr>
      <w:r>
        <w:rPr>
          <w:rFonts w:ascii="Arial" w:cs="Arial" w:eastAsia="Arial" w:hAnsi="Arial"/>
          <w:color w:val="1A1A1A"/>
          <w:sz w:val="22"/>
          <w:szCs w:val="22"/>
        </w:rPr>
        <w:t xml:space="preserve">The following workflow describes the required pre-deployment approval process for a High or Critical-rated AI agent:</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Business Case Submission: The business owner submits an Agent Design Document to the AI Governance Committee, including proposed purpose, scope, tool access, HITL thresholds, and risk rating self-assessment.</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Technology Review: The technology team reviews and confirms technical architecture, tool access implementation, logging infrastructure, and kill switch design.</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Risk and MRM Review: The Model Risk Management team conducts independent validation, including review of the system prompt, adversarial testing, and assessment of the proposed risk controls.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Compliance Review: The compliance team reviews the agent against applicable regulations (RBI guidelines, DPDP Act, SEBI regulations as applicable) and confirms control adequacy.</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Legal Review: For agents that communicate with customers or make binding decisions, legal review confirms the legal adequacy of disclosures, terms, and adverse action processes.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Data Privacy Review: The Data Protection Officer reviews data processing activities against DPDP Act requirements and confirms adequacy of consent, retention, and transfer controls.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AI Governance Committee Approval: The committee reviews all input reports and either approves deployment (with conditions if required), requests additional controls, or rejects the proposal.</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Post-Deployment Verification: Within 30 days of deployment, a post-deployment review confirms that controls are operating as designed and that initial monitoring metrics are within expected parameters.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7.4  Incident Response Plan for AI Agent Failures</w:t>
      </w:r>
    </w:p>
    <w:p>
      <w:pPr>
        <w:spacing w:before="0" w:after="140" w:line="276" w:lineRule="auto"/>
        <w:jc w:val="both"/>
      </w:pPr>
      <w:r>
        <w:rPr>
          <w:rFonts w:ascii="Arial" w:cs="Arial" w:eastAsia="Arial" w:hAnsi="Arial"/>
          <w:color w:val="1A1A1A"/>
          <w:sz w:val="22"/>
          <w:szCs w:val="22"/>
        </w:rPr>
        <w:t xml:space="preserve">AI agent incidents require a response process that differs from standard IT incident management. The following framework adapts standard incident response for agent-specific scenarios: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Immediate Response (0–1 hours): Activate kill switch or circuit breaker; contain the agent's scope of action; preserve all logs in their current state; alert the AI Agent Owner, CISO, CCO, and CRO; begin preliminary impact assessment.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Assessment (1–4 hours): Determine the nature and cause of the incident; identify all affected customers, transactions, or records; assess regulatory notification obligations; engage legal counsel if customer harm is suspected.</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Containment (4–24 hours): Implement temporary controls or revert to manual processes; notify affected customers if required; prepare regulatory notifications if thresholds are met; document all response actions.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Investigation (1–5 days): Conduct root cause analysis using agent logs; determine whether the incident resulted from a design failure, a runtime failure, or a governance failure; identify whether similar risks exist in other agents.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Remediation and Return to Production: Implement design fixes; re-validate the agent; obtain fresh governance approval; conduct supervised return to production with enhanced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24"/>
              <w:bottom w:val="single" w:color="2E5FA3" w:sz="4"/>
              <w:right w:val="single" w:color="2E5FA3" w:sz="4"/>
            </w:tcBorders>
            <w:shd w:fill="D6E4F0" w:val="clear"/>
            <w:tcMar>
              <w:top w:type="dxa" w:w="100"/>
              <w:left w:type="dxa" w:w="180"/>
              <w:bottom w:type="dxa" w:w="100"/>
              <w:right w:type="dxa" w:w="180"/>
            </w:tcMar>
          </w:tcPr>
          <w:p>
            <w:pPr>
              <w:spacing w:before="0" w:after="60" w:line="276" w:lineRule="auto"/>
            </w:pPr>
            <w:r>
              <w:rPr>
                <w:rFonts w:ascii="Arial" w:cs="Arial" w:eastAsia="Arial" w:hAnsi="Arial"/>
                <w:b/>
                <w:bCs/>
                <w:color w:val="2E5FA3"/>
                <w:sz w:val="20"/>
                <w:szCs w:val="20"/>
              </w:rPr>
              <w:t xml:space="preserve">ℹ  KEY REGULATORY REQUIREMENT</w:t>
            </w:r>
          </w:p>
          <w:p>
            <w:pPr>
              <w:spacing w:before="0" w:after="40" w:line="276" w:lineRule="auto"/>
              <w:jc w:val="both"/>
            </w:pPr>
            <w:r>
              <w:rPr>
                <w:rFonts w:ascii="Arial" w:cs="Arial" w:eastAsia="Arial" w:hAnsi="Arial"/>
                <w:color w:val="1A1A1A"/>
                <w:sz w:val="20"/>
                <w:szCs w:val="20"/>
              </w:rPr>
              <w:t xml:space="preserve">The RBI requires that significant IT incidents be reported within specified timeframes. AI agent incidents that result in customer harm, data breaches, or significant service disruption are likely to trigger reporting obligations. Compliance teams must pre-determine which incident categories require regulatory notification and ensure the AI incident response process includes a regulatory notification check.</w:t>
            </w:r>
          </w:p>
        </w:tc>
      </w:tr>
    </w:tbl>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8. Evidence &amp; Documentation Requirements</w:t>
      </w:r>
    </w:p>
    <w:p>
      <w:pPr>
        <w:spacing w:before="0" w:after="140" w:line="276" w:lineRule="auto"/>
        <w:jc w:val="both"/>
      </w:pPr>
      <w:r>
        <w:rPr>
          <w:rFonts w:ascii="Arial" w:cs="Arial" w:eastAsia="Arial" w:hAnsi="Arial"/>
          <w:color w:val="1A1A1A"/>
          <w:sz w:val="22"/>
          <w:szCs w:val="22"/>
        </w:rPr>
        <w:t xml:space="preserve">A defensible governance record for an AI agent must be comprehensive, current, and accessible to regulators and auditors on request. The following checklist defines the minimum documentation standard.</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1630"/>
        <w:gridCol w:w="1630"/>
      </w:tblGrid>
      <w:tr>
        <w:tc>
          <w:tcPr>
            <w:tcW w:type="dxa" w:w="26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Document</w:t>
            </w:r>
          </w:p>
        </w:tc>
        <w:tc>
          <w:tcPr>
            <w:tcW w:type="dxa" w:w="35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Required Contents</w:t>
            </w:r>
          </w:p>
        </w:tc>
        <w:tc>
          <w:tcPr>
            <w:tcW w:type="dxa" w:w="163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Retention Period</w:t>
            </w:r>
          </w:p>
        </w:tc>
        <w:tc>
          <w:tcPr>
            <w:tcW w:type="dxa" w:w="163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Review Frequency</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Agent Design Document</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Purpose; scope; target users; tool access; HITL thresholds; risk rating; architectural diagram</w:t>
            </w:r>
          </w:p>
        </w:tc>
        <w:tc>
          <w:tcPr>
            <w:tcW w:type="dxa" w:w="163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Life of agent + 7 years</w:t>
            </w:r>
          </w:p>
        </w:tc>
        <w:tc>
          <w:tcPr>
            <w:tcW w:type="dxa" w:w="163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On material change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System Prompt Version History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All prompt versions; change descriptions; author; approval date; approver identities</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Life of agent + 7 years</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Continuous (on change)</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Risk Assessment and Sign-off</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Risk rating; identified risks; control mapping; residual risk assessment; sign-off by Risk and Compliance</w:t>
            </w:r>
          </w:p>
        </w:tc>
        <w:tc>
          <w:tcPr>
            <w:tcW w:type="dxa" w:w="163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Life of agent + 7 years</w:t>
            </w:r>
          </w:p>
        </w:tc>
        <w:tc>
          <w:tcPr>
            <w:tcW w:type="dxa" w:w="163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Annual; on material change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Validation / Testing Evidence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Test plan; functional test results; adversarial test results; bias testing; integration test results; validator sign-off</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Life of agent + 7 years</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On deployment; on material change</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Production Monitoring Reports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KRI performance; alerts generated; investigations triggered; trends; sign-off</w:t>
            </w:r>
          </w:p>
        </w:tc>
        <w:tc>
          <w:tcPr>
            <w:tcW w:type="dxa" w:w="163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3 years from report date</w:t>
            </w:r>
          </w:p>
        </w:tc>
        <w:tc>
          <w:tcPr>
            <w:tcW w:type="dxa" w:w="163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Monthly / quarterly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Incident Logs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Incident description; timeline; impact; root cause; remediation; regulatory notifications</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7 years minimum</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On incident occurrence</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Third-Party Assessments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LLM provider due diligence; data processing agreements; penetration test results; SLA documentation</w:t>
            </w:r>
          </w:p>
        </w:tc>
        <w:tc>
          <w:tcPr>
            <w:tcW w:type="dxa" w:w="163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Life of relationship + 5 years</w:t>
            </w:r>
          </w:p>
        </w:tc>
        <w:tc>
          <w:tcPr>
            <w:tcW w:type="dxa" w:w="163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Annual; on contract renewal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Board/Committee Approval Minutes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Meeting date; quorum; proposal presented; discussion summary; decision; conditions attached</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Permanent</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N/A (event-driven)</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Annual Re-certification Records</w:t>
            </w:r>
          </w:p>
        </w:tc>
        <w:tc>
          <w:tcPr>
            <w:tcW w:type="dxa" w:w="3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Re-certification scope; findings; continued deployment confirmation; sign-off; conditions for next period</w:t>
            </w:r>
          </w:p>
        </w:tc>
        <w:tc>
          <w:tcPr>
            <w:tcW w:type="dxa" w:w="163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5 years</w:t>
            </w:r>
          </w:p>
        </w:tc>
        <w:tc>
          <w:tcPr>
            <w:tcW w:type="dxa" w:w="163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Annual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Agent Card</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One-page summary of all governance-critical facts; version-controlled; living document</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Life of agent + 7 years</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Continuous; on any change</w:t>
            </w:r>
          </w:p>
        </w:tc>
      </w:tr>
    </w:tbl>
    <w:p>
      <w:pPr>
        <w:spacing w:before="0" w:after="16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0C" w:sz="4"/>
              <w:left w:val="single" w:color="C9960C" w:sz="24"/>
              <w:bottom w:val="single" w:color="C9960C" w:sz="4"/>
              <w:right w:val="single" w:color="C9960C" w:sz="4"/>
            </w:tcBorders>
            <w:shd w:fill="FFF3CD" w:val="clear"/>
            <w:tcMar>
              <w:top w:type="dxa" w:w="100"/>
              <w:left w:type="dxa" w:w="180"/>
              <w:bottom w:type="dxa" w:w="100"/>
              <w:right w:type="dxa" w:w="180"/>
            </w:tcMar>
          </w:tcPr>
          <w:p>
            <w:pPr>
              <w:spacing w:before="0" w:after="60" w:line="276" w:lineRule="auto"/>
            </w:pPr>
            <w:r>
              <w:rPr>
                <w:rFonts w:ascii="Arial" w:cs="Arial" w:eastAsia="Arial" w:hAnsi="Arial"/>
                <w:b/>
                <w:bCs/>
                <w:color w:val="C9960C"/>
                <w:sz w:val="20"/>
                <w:szCs w:val="20"/>
              </w:rPr>
              <w:t xml:space="preserve">✎  AUDITOR NOTE</w:t>
            </w:r>
          </w:p>
          <w:p>
            <w:pPr>
              <w:spacing w:before="0" w:after="40" w:line="276" w:lineRule="auto"/>
              <w:jc w:val="both"/>
            </w:pPr>
            <w:r>
              <w:rPr>
                <w:rFonts w:ascii="Arial" w:cs="Arial" w:eastAsia="Arial" w:hAnsi="Arial"/>
                <w:color w:val="1A1A1A"/>
                <w:sz w:val="20"/>
                <w:szCs w:val="20"/>
              </w:rPr>
              <w:t xml:space="preserve">The documentation requirements above represent the minimum standard. Institutions that aspire to demonstrate governance leadership — or that are subject to enhanced regulatory scrutiny — should maintain a centralised AI Governance Repository that stores all documentation in a searchable, version-controlled system with role-based access control. The existence and quality of this repository will be a significant factor in regulatory inspections.</w:t>
            </w:r>
          </w:p>
        </w:tc>
      </w:tr>
    </w:tbl>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9. Multi-Agent System Specific Considerations</w:t>
      </w:r>
    </w:p>
    <w:p>
      <w:pPr>
        <w:spacing w:before="0" w:after="140" w:line="276" w:lineRule="auto"/>
        <w:jc w:val="both"/>
      </w:pPr>
      <w:r>
        <w:rPr>
          <w:rFonts w:ascii="Arial" w:cs="Arial" w:eastAsia="Arial" w:hAnsi="Arial"/>
          <w:color w:val="1A1A1A"/>
          <w:sz w:val="22"/>
          <w:szCs w:val="22"/>
        </w:rPr>
        <w:t xml:space="preserve">Multi-agent systems — where multiple AI agents collaborate, delegate, and coordinate to accomplish complex goals — introduce governance challenges that single-agent deployments do not. This section addresses the specific control requirements for multi-agent architectures.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9.1  Orchestrator vs. Sub-Agent Accountability</w:t>
      </w:r>
    </w:p>
    <w:p>
      <w:pPr>
        <w:spacing w:before="0" w:after="140" w:line="276" w:lineRule="auto"/>
        <w:jc w:val="both"/>
      </w:pPr>
      <w:r>
        <w:rPr>
          <w:rFonts w:ascii="Arial" w:cs="Arial" w:eastAsia="Arial" w:hAnsi="Arial"/>
          <w:color w:val="1A1A1A"/>
          <w:sz w:val="22"/>
          <w:szCs w:val="22"/>
        </w:rPr>
        <w:t xml:space="preserve">In a multi-agent system, an orchestrator agent decomposes goals into sub-tasks and delegates them to specialist sub-agents. This hierarchy creates accountability ambiguity: if a sub-agent takes an action that causes harm, is the orchestrator responsible for failing to constrain it, or is the sub-agent's control design the primary failure?</w:t>
      </w:r>
    </w:p>
    <w:p>
      <w:pPr>
        <w:spacing w:before="0" w:after="140" w:line="276" w:lineRule="auto"/>
        <w:jc w:val="both"/>
      </w:pPr>
      <w:r>
        <w:rPr>
          <w:rFonts w:ascii="Arial" w:cs="Arial" w:eastAsia="Arial" w:hAnsi="Arial"/>
          <w:color w:val="1A1A1A"/>
          <w:sz w:val="22"/>
          <w:szCs w:val="22"/>
        </w:rPr>
        <w:t xml:space="preserve">The governance answer is: both must be governed independently. The orchestrator must have documented constraints on what instructions it may issue to sub-agents; sub-agents must validate that instructions they receive are within their sanctioned scope, regardless of source. Sub-agents must not trust orchestrators unconditionally — they must apply their own capability boundaries and escalation rules even when receiving instructions from another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ADBD8" w:val="clear"/>
            <w:tcMar>
              <w:top w:type="dxa" w:w="100"/>
              <w:left w:type="dxa" w:w="180"/>
              <w:bottom w:type="dxa" w:w="100"/>
              <w:right w:type="dxa" w:w="180"/>
            </w:tcMar>
          </w:tcPr>
          <w:p>
            <w:pPr>
              <w:spacing w:before="0" w:after="60" w:line="276" w:lineRule="auto"/>
            </w:pPr>
            <w:r>
              <w:rPr>
                <w:rFonts w:ascii="Arial" w:cs="Arial" w:eastAsia="Arial" w:hAnsi="Arial"/>
                <w:b/>
                <w:bCs/>
                <w:color w:val="C0392B"/>
                <w:sz w:val="20"/>
                <w:szCs w:val="20"/>
              </w:rPr>
              <w:t xml:space="preserve">⚠  RED FLAG</w:t>
            </w:r>
          </w:p>
          <w:p>
            <w:pPr>
              <w:spacing w:before="0" w:after="40" w:line="276" w:lineRule="auto"/>
              <w:jc w:val="both"/>
            </w:pPr>
            <w:r>
              <w:rPr>
                <w:rFonts w:ascii="Arial" w:cs="Arial" w:eastAsia="Arial" w:hAnsi="Arial"/>
                <w:color w:val="1A1A1A"/>
                <w:sz w:val="20"/>
                <w:szCs w:val="20"/>
              </w:rPr>
              <w:t xml:space="preserve">A common and dangerous design pattern is a sub-agent that executes any instruction from its orchestrator without independent validation. This pattern makes the entire multi-agent system only as secure as the orchestrator's system prompt — which may itself be vulnerable to prompt injection or compromise. Each agent in a pipeline must maintain independent safety boundaries.</w:t>
            </w:r>
          </w:p>
        </w:tc>
      </w:tr>
    </w:tbl>
    <w:p>
      <w:pPr>
        <w:spacing w:before="0" w:after="120" w:line="276" w:lineRule="auto"/>
      </w:pPr>
    </w:p>
    <w:p>
      <w:pPr>
        <w:pStyle w:val="Heading2"/>
        <w:spacing w:before="280" w:after="120" w:line="276" w:lineRule="auto"/>
      </w:pPr>
      <w:r>
        <w:rPr>
          <w:rFonts w:ascii="Arial" w:cs="Arial" w:eastAsia="Arial" w:hAnsi="Arial"/>
          <w:b/>
          <w:bCs/>
          <w:color w:val="2E5FA3"/>
          <w:sz w:val="28"/>
          <w:szCs w:val="28"/>
        </w:rPr>
        <w:t xml:space="preserve">9.2  Cross-Agent Trust and Verification</w:t>
      </w:r>
    </w:p>
    <w:p>
      <w:pPr>
        <w:spacing w:before="0" w:after="140" w:line="276" w:lineRule="auto"/>
        <w:jc w:val="both"/>
      </w:pPr>
      <w:r>
        <w:rPr>
          <w:rFonts w:ascii="Arial" w:cs="Arial" w:eastAsia="Arial" w:hAnsi="Arial"/>
          <w:color w:val="1A1A1A"/>
          <w:sz w:val="22"/>
          <w:szCs w:val="22"/>
        </w:rPr>
        <w:t xml:space="preserve">Agent-to-agent communication must be treated with the same scrutiny as external API calls. Key controls include: authentication of the sending agent's identity; validation of the instruction against the receiving agent's sanctioned scope; logging of all inter-agent messages with cryptographic integrity; and rate limiting of agent-to-agent calls to prevent cascading consumption of resources.</w:t>
      </w:r>
    </w:p>
    <w:p>
      <w:pPr>
        <w:spacing w:before="0" w:after="140" w:line="276" w:lineRule="auto"/>
        <w:jc w:val="both"/>
      </w:pPr>
      <w:r>
        <w:rPr>
          <w:rFonts w:ascii="Arial" w:cs="Arial" w:eastAsia="Arial" w:hAnsi="Arial"/>
          <w:color w:val="1A1A1A"/>
          <w:sz w:val="22"/>
          <w:szCs w:val="22"/>
        </w:rPr>
        <w:t xml:space="preserve">Institutions should treat the agent communication channel as a potential attack surface. A compromised sub-agent may attempt to issue escalated instructions to other agents in the pipeline. Segmentation and least-privilege apply at the inter-agent level just as they do at the tool access level.</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9.3  Data Flow and Privacy Controls in Agent Pipelines</w:t>
      </w:r>
    </w:p>
    <w:p>
      <w:pPr>
        <w:spacing w:before="0" w:after="140" w:line="276" w:lineRule="auto"/>
        <w:jc w:val="both"/>
      </w:pPr>
      <w:r>
        <w:rPr>
          <w:rFonts w:ascii="Arial" w:cs="Arial" w:eastAsia="Arial" w:hAnsi="Arial"/>
          <w:color w:val="1A1A1A"/>
          <w:sz w:val="22"/>
          <w:szCs w:val="22"/>
        </w:rPr>
        <w:t xml:space="preserve">Multi-agent pipelines may pass customer personal data through multiple agents, each with different tool access and data handling characteristics. The DPDP Act's purpose limitation principle requires that personal data collected for one purpose is not used for another — a constraint that may be violated by an orchestrator that passes customer data to a sub-agent with broader analytical capabilities.</w:t>
      </w:r>
    </w:p>
    <w:p>
      <w:pPr>
        <w:spacing w:before="0" w:after="140" w:line="276" w:lineRule="auto"/>
        <w:jc w:val="both"/>
      </w:pPr>
      <w:r>
        <w:rPr>
          <w:rFonts w:ascii="Arial" w:cs="Arial" w:eastAsia="Arial" w:hAnsi="Arial"/>
          <w:color w:val="1A1A1A"/>
          <w:sz w:val="22"/>
          <w:szCs w:val="22"/>
        </w:rPr>
        <w:t xml:space="preserve">Required controls: data flow mapping documenting what data is passed at each stage of the pipeline; purpose validation at each data handoff; data minimisation (strip unnecessary personal data before passing to sub-agents); and encryption of inter-agent communications carrying personal data.</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9.4  Cascading Failure Scenarios</w:t>
      </w:r>
    </w:p>
    <w:p>
      <w:pPr>
        <w:spacing w:before="0" w:after="140" w:line="276" w:lineRule="auto"/>
        <w:jc w:val="both"/>
      </w:pPr>
      <w:r>
        <w:rPr>
          <w:rFonts w:ascii="Arial" w:cs="Arial" w:eastAsia="Arial" w:hAnsi="Arial"/>
          <w:color w:val="1A1A1A"/>
          <w:sz w:val="22"/>
          <w:szCs w:val="22"/>
        </w:rPr>
        <w:t xml:space="preserve">Multi-agent systems are susceptible to cascading failures where an error in one agent propagates through the pipeline, potentially amplified at each stage. Financial institutions must model and plan for the following cascading failure scenarios: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Data corruption cascade: An agent at stage 1 produces incorrect output; downstream agents build on this incorrect foundation, amplifying the error into a significant operational failure.</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Resource exhaustion cascade: An agent loop consumes excessive API tokens, causing rate limiting that cascades to downstream agents that depend on the same provider.</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Prompt injection cascade: A malicious instruction injected into stage 1 of the pipeline propagates through the system, causing multiple agents to take unintended actions.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Trust escalation cascade: A compromised agent issues elevated privilege instructions to a downstream agent, which executes them without independent validation.</w:t>
      </w:r>
    </w:p>
    <w:p>
      <w:pPr>
        <w:spacing w:before="0" w:after="140" w:line="276" w:lineRule="auto"/>
        <w:jc w:val="both"/>
      </w:pPr>
      <w:r>
        <w:rPr>
          <w:rFonts w:ascii="Arial" w:cs="Arial" w:eastAsia="Arial" w:hAnsi="Arial"/>
          <w:color w:val="1A1A1A"/>
          <w:sz w:val="22"/>
          <w:szCs w:val="22"/>
        </w:rPr>
        <w:t xml:space="preserve">Circuit breakers must be implemented at the pipeline level, not just the individual agent level, to prevent localised failures from becoming systemic ones.</w:t>
      </w:r>
    </w:p>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10. India-Specific Considerations for RBI-Regulated Entities</w:t>
      </w:r>
    </w:p>
    <w:p>
      <w:pPr>
        <w:spacing w:before="0" w:after="140" w:line="276" w:lineRule="auto"/>
        <w:jc w:val="both"/>
      </w:pPr>
      <w:r>
        <w:rPr>
          <w:rFonts w:ascii="Arial" w:cs="Arial" w:eastAsia="Arial" w:hAnsi="Arial"/>
          <w:color w:val="1A1A1A"/>
          <w:sz w:val="22"/>
          <w:szCs w:val="22"/>
        </w:rPr>
        <w:t xml:space="preserve">India's financial sector operates under a distinct regulatory regime that requires specific attention beyond global frameworks. This section addresses the particular obligations and expectations for banks, NBFCs, payment system operators, and other regulated entities under the Reserve Bank of India.</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10.1  RBI's IT Framework and AI Agents</w:t>
      </w:r>
    </w:p>
    <w:p>
      <w:pPr>
        <w:spacing w:before="0" w:after="140" w:line="276" w:lineRule="auto"/>
        <w:jc w:val="both"/>
      </w:pPr>
      <w:r>
        <w:rPr>
          <w:rFonts w:ascii="Arial" w:cs="Arial" w:eastAsia="Arial" w:hAnsi="Arial"/>
          <w:color w:val="1A1A1A"/>
          <w:sz w:val="22"/>
          <w:szCs w:val="22"/>
        </w:rPr>
        <w:t xml:space="preserve">The RBI's Master Directions on Information Technology Governance, Risk, Controls and Assurance Practices (issued 2023, applicable to scheduled commercial banks and select NBFCs) establish a comprehensive IT governance framework. Key provisions applicable to AI agents include:</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IT Strategy Alignment: AI agent deployments must be aligned with the institution's Board-approved IT strategy and must be assessed for their impact on the institution's risk profile.</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Change Management: All changes to AI agent systems — including system prompt modifications and tool access changes — must follow formal change management procedures with appropriate testing and approval.</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Business Continuity: Institutions must have documented fallback procedures for all critical AI agent functions, with tested recovery procedures. An agent that is unavailable must not result in inability to serve customers or meet regulatory obligations.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Audit Trails: All AI agent actions affecting customer accounts, regulatory reporting, or financial records must be captured in audit trails that meet RBI's record-keeping requirements.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Vendor Risk: LLM providers and orchestration platforms used by agents must be subject to the institution's third-party risk management framework, including due diligence, contractual protections, and ongoing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24"/>
              <w:bottom w:val="single" w:color="2E5FA3" w:sz="4"/>
              <w:right w:val="single" w:color="2E5FA3" w:sz="4"/>
            </w:tcBorders>
            <w:shd w:fill="D6E4F0" w:val="clear"/>
            <w:tcMar>
              <w:top w:type="dxa" w:w="100"/>
              <w:left w:type="dxa" w:w="180"/>
              <w:bottom w:type="dxa" w:w="100"/>
              <w:right w:type="dxa" w:w="180"/>
            </w:tcMar>
          </w:tcPr>
          <w:p>
            <w:pPr>
              <w:spacing w:before="0" w:after="60" w:line="276" w:lineRule="auto"/>
            </w:pPr>
            <w:r>
              <w:rPr>
                <w:rFonts w:ascii="Arial" w:cs="Arial" w:eastAsia="Arial" w:hAnsi="Arial"/>
                <w:b/>
                <w:bCs/>
                <w:color w:val="2E5FA3"/>
                <w:sz w:val="20"/>
                <w:szCs w:val="20"/>
              </w:rPr>
              <w:t xml:space="preserve">ℹ  KEY REGULATORY REQUIREMENT</w:t>
            </w:r>
          </w:p>
          <w:p>
            <w:pPr>
              <w:spacing w:before="0" w:after="40" w:line="276" w:lineRule="auto"/>
              <w:jc w:val="both"/>
            </w:pPr>
            <w:r>
              <w:rPr>
                <w:rFonts w:ascii="Arial" w:cs="Arial" w:eastAsia="Arial" w:hAnsi="Arial"/>
                <w:color w:val="1A1A1A"/>
                <w:sz w:val="20"/>
                <w:szCs w:val="20"/>
              </w:rPr>
              <w:t xml:space="preserve">The RBI's Cyber Security Framework requires that regulated entities maintain a Security Operations Centre (SOC) capability for monitoring IT systems. Given that AI agents represent significant cybersecurity attack surfaces — particularly through prompt injection — institutions must ensure their SOC has specific monitoring capability for AI agent anomalies, not just traditional cybersecurity threats.</w:t>
            </w:r>
          </w:p>
        </w:tc>
      </w:tr>
    </w:tbl>
    <w:p>
      <w:pPr>
        <w:spacing w:before="0" w:after="120" w:line="276" w:lineRule="auto"/>
      </w:pPr>
    </w:p>
    <w:p>
      <w:pPr>
        <w:pStyle w:val="Heading2"/>
        <w:spacing w:before="280" w:after="120" w:line="276" w:lineRule="auto"/>
      </w:pPr>
      <w:r>
        <w:rPr>
          <w:rFonts w:ascii="Arial" w:cs="Arial" w:eastAsia="Arial" w:hAnsi="Arial"/>
          <w:b/>
          <w:bCs/>
          <w:color w:val="2E5FA3"/>
          <w:sz w:val="28"/>
          <w:szCs w:val="28"/>
        </w:rPr>
        <w:t xml:space="preserve">10.2  Digital Lending Guidelines and AI Agents</w:t>
      </w:r>
    </w:p>
    <w:p>
      <w:pPr>
        <w:spacing w:before="0" w:after="140" w:line="276" w:lineRule="auto"/>
        <w:jc w:val="both"/>
      </w:pPr>
      <w:r>
        <w:rPr>
          <w:rFonts w:ascii="Arial" w:cs="Arial" w:eastAsia="Arial" w:hAnsi="Arial"/>
          <w:color w:val="1A1A1A"/>
          <w:sz w:val="22"/>
          <w:szCs w:val="22"/>
        </w:rPr>
        <w:t xml:space="preserve">The RBI's Digital Lending Guidelines (2022) establish specific requirements for lending conducted through digital channels, including any AI-mediated lending process. For institutions using AI agents in the lending value chain:</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Transparency: Borrowers must be informed when AI is being used in any aspect of the lending decision. This disclosure must be made in plain language and in the borrower's preferred language. The agent's system prompt must include instructions to make appropriate disclosures.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Explainability: Adverse lending decisions — including rejections and pricing decisions — must be explainable to the borrower. The structured reasoning capture mechanism described in Section 5.3.2 is the primary tool for meeting this requirement.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Grievance Redressal: Borrowers must have access to a human grievance redressal mechanism that can review AI-made decisions. The AI agent cannot be the sole route for grievance resolution.</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Data Collection: AI agents in the lending process may only collect data that is necessary for the credit assessment and for which explicit consent has been obtained. Agents must not access device data, social media, or psychometric data without specific, informed consent.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Regulated Entity Responsibility: Even if the AI agent is provided by a Lending Service Provider (LSP), the regulated entity (bank or NBFC) remains fully responsible for the agent's compliance with the Digital Lending Guidelines.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10.3  DPDP Act 2023 Obligations</w:t>
      </w:r>
    </w:p>
    <w:p>
      <w:pPr>
        <w:spacing w:before="0" w:after="140" w:line="276" w:lineRule="auto"/>
        <w:jc w:val="both"/>
      </w:pPr>
      <w:r>
        <w:rPr>
          <w:rFonts w:ascii="Arial" w:cs="Arial" w:eastAsia="Arial" w:hAnsi="Arial"/>
          <w:color w:val="1A1A1A"/>
          <w:sz w:val="22"/>
          <w:szCs w:val="22"/>
        </w:rPr>
        <w:t xml:space="preserve">The Digital Personal Data Protection Act, 2023 establishes a comprehensive data protection framework applicable to AI agents processing personal data of Indian citizens. Key obligations: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Lawful Basis: Every instance of personal data processing by an AI agent must have a lawful basis — typically consent (for customer-facing agents) or legitimate uses as defined by the Government. Agents must not process data beyond the specified purpose.</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Data Principal Rights: Data principals (customers) have rights to access, correct, and erase their personal data. AI agents that process personal data must be designed to support the exercise of these rights — for example, flagging interactions where personal data was processed when a data principal submits an access request.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Data Fiduciary Obligations: Regulated entities are Data Fiduciaries under the DPDP Act and are responsible for the actions of Data Processors (including LLM providers and other technology vendors) acting on their behalf. Data processing agreements with LLM providers must specify data handling obligations consistent with the Act.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Data Breach Notification: A breach of personal data processed by an AI agent triggers notification obligations to the Data Protection Board and to affected data principals. AI agent incident response procedures must include DPDP Act breach notification assessment.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Significant Data Fiduciaries: Financial institutions processing large volumes of personal data may be designated as Significant Data Fiduciaries, attracting enhanced obligations including mandatory Data Protection Impact Assessments for new AI agent deployments.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10.4  SEBI Algorithmic Trading Regulations and AI Agents</w:t>
      </w:r>
    </w:p>
    <w:p>
      <w:pPr>
        <w:spacing w:before="0" w:after="140" w:line="276" w:lineRule="auto"/>
        <w:jc w:val="both"/>
      </w:pPr>
      <w:r>
        <w:rPr>
          <w:rFonts w:ascii="Arial" w:cs="Arial" w:eastAsia="Arial" w:hAnsi="Arial"/>
          <w:color w:val="1A1A1A"/>
          <w:sz w:val="22"/>
          <w:szCs w:val="22"/>
        </w:rPr>
        <w:t xml:space="preserve">For institutions operating in securities markets, SEBI's algorithmic trading regulations (Circular SEBI/HO/MRD2/DCAP/CIR/P/2021/0000000024 and related circulars) apply to AI agents that generate, submit, or influence orders in the market. Key requirements: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Algorithm Registration: All trading algorithms, including AI agent-driven strategies, must be registered with SEBI and with the relevant stock exchange before deployment.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Annual Audit: Trading algorithms are subject to mandatory annual system audits by a SEBI-empanelled auditor. AI trading agents must be included in the scope of this audit.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Risk Controls: All algorithmic trading systems must have mandatory price bands, quantity limits, and order-value limits. These must be enforced at the infrastructure level for AI trading agents, not just stated in the system prompt.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Kill Switch: SEBI requires that all algorithmic trading systems have an accessible kill switch. This requirement aligns with the general AI agent control framework presented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0C" w:sz="4"/>
              <w:left w:val="single" w:color="C9960C" w:sz="24"/>
              <w:bottom w:val="single" w:color="C9960C" w:sz="4"/>
              <w:right w:val="single" w:color="C9960C" w:sz="4"/>
            </w:tcBorders>
            <w:shd w:fill="FFF3CD" w:val="clear"/>
            <w:tcMar>
              <w:top w:type="dxa" w:w="100"/>
              <w:left w:type="dxa" w:w="180"/>
              <w:bottom w:type="dxa" w:w="100"/>
              <w:right w:type="dxa" w:w="180"/>
            </w:tcMar>
          </w:tcPr>
          <w:p>
            <w:pPr>
              <w:spacing w:before="0" w:after="60" w:line="276" w:lineRule="auto"/>
            </w:pPr>
            <w:r>
              <w:rPr>
                <w:rFonts w:ascii="Arial" w:cs="Arial" w:eastAsia="Arial" w:hAnsi="Arial"/>
                <w:b/>
                <w:bCs/>
                <w:color w:val="C9960C"/>
                <w:sz w:val="20"/>
                <w:szCs w:val="20"/>
              </w:rPr>
              <w:t xml:space="preserve">✎  AUDITOR NOTE</w:t>
            </w:r>
          </w:p>
          <w:p>
            <w:pPr>
              <w:spacing w:before="0" w:after="40" w:line="276" w:lineRule="auto"/>
              <w:jc w:val="both"/>
            </w:pPr>
            <w:r>
              <w:rPr>
                <w:rFonts w:ascii="Arial" w:cs="Arial" w:eastAsia="Arial" w:hAnsi="Arial"/>
                <w:color w:val="1A1A1A"/>
                <w:sz w:val="20"/>
                <w:szCs w:val="20"/>
              </w:rPr>
              <w:t xml:space="preserve">SEBI's algorithm registration requirement means that unregistered AI trading agents deployed by a regulated entity represent both a regulatory breach and a significant control failure. Auditors reviewing capital markets institutions should confirm that all AI-driven trading activity has been assessed against the registration requirement and that compliant registration or appropriate exclusion has been documented.</w:t>
            </w:r>
          </w:p>
        </w:tc>
      </w:tr>
    </w:tbl>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11. Recommended Governance Structure</w:t>
      </w:r>
    </w:p>
    <w:p>
      <w:pPr>
        <w:pStyle w:val="Heading2"/>
        <w:spacing w:before="280" w:after="120" w:line="276" w:lineRule="auto"/>
      </w:pPr>
      <w:r>
        <w:rPr>
          <w:rFonts w:ascii="Arial" w:cs="Arial" w:eastAsia="Arial" w:hAnsi="Arial"/>
          <w:b/>
          <w:bCs/>
          <w:color w:val="2E5FA3"/>
          <w:sz w:val="28"/>
          <w:szCs w:val="28"/>
        </w:rPr>
        <w:t xml:space="preserve">11.1  AI Governance Committee Charter</w:t>
      </w:r>
    </w:p>
    <w:p>
      <w:pPr>
        <w:spacing w:before="0" w:after="140" w:line="276" w:lineRule="auto"/>
        <w:jc w:val="both"/>
      </w:pPr>
      <w:r>
        <w:rPr>
          <w:rFonts w:ascii="Arial" w:cs="Arial" w:eastAsia="Arial" w:hAnsi="Arial"/>
          <w:color w:val="1A1A1A"/>
          <w:sz w:val="22"/>
          <w:szCs w:val="22"/>
        </w:rPr>
        <w:t xml:space="preserve">The AI Governance Committee (AIGC) is the primary governance body for AI agent oversight. The following charter elements are recommended:</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Purpose: To provide oversight, strategic direction, and governance assurance for the institution's use of AI agents, ensuring compliance with regulatory requirements, alignment with risk appetite, and protection of customer interests.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Membership: CRO (Chair), CCO, CTO, CISO, CFO (for credit/market risk agents), General Counsel, Head of Internal Audit (observer), and business representatives for major agent deployments.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Meeting Frequency: Monthly for operational matters; quarterly for strategic review; extraordinary sessions for Critical incidents or material regulatory developments.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Decision Rights: Approval authority for Critical and High-rated agent deployments; approval of the AI Agent Risk Appetite Statement; approval of material changes to the governance framework; escalation of systemic issues to the Board Risk Committee.</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Reporting: Quarterly AI risk report to the Board Risk Committee; annual comprehensive AI governance report to the full Board.</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11.2  Three Lines of Defence Model for AI Agents</w:t>
      </w:r>
    </w:p>
    <w:p>
      <w:pPr>
        <w:spacing w:before="0" w:after="140" w:line="276" w:lineRule="auto"/>
        <w:jc w:val="both"/>
      </w:pPr>
      <w:r>
        <w:rPr>
          <w:rFonts w:ascii="Arial" w:cs="Arial" w:eastAsia="Arial" w:hAnsi="Arial"/>
          <w:color w:val="1A1A1A"/>
          <w:sz w:val="22"/>
          <w:szCs w:val="22"/>
        </w:rPr>
        <w:t xml:space="preserve">The Three Lines of Defence model, when applied to AI agents, requires careful definition of what each line owns — particularly given the technical complexity of agentic systems.</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
            </w:r>
          </w:p>
        </w:tc>
        <w:tc>
          <w:tcPr>
            <w:tcW w:type="dxa" w:w="2520"/>
            <w:tcBorders>
              <w:top w:val="single" w:color="FFFFFF" w:sz="4"/>
              <w:left w:val="single" w:color="FFFFFF" w:sz="4"/>
              <w:bottom w:val="single" w:color="FFFFFF" w:sz="4"/>
              <w:right w:val="single" w:color="FFFFFF" w:sz="4"/>
            </w:tcBorders>
            <w:shd w:fill="1A7A4A"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1st Line: Business / Technology</w:t>
            </w:r>
          </w:p>
        </w:tc>
        <w:tc>
          <w:tcPr>
            <w:tcW w:type="dxa" w:w="2520"/>
            <w:tcBorders>
              <w:top w:val="single" w:color="FFFFFF" w:sz="4"/>
              <w:left w:val="single" w:color="FFFFFF" w:sz="4"/>
              <w:bottom w:val="single" w:color="FFFFFF" w:sz="4"/>
              <w:right w:val="single" w:color="FFFFFF" w:sz="4"/>
            </w:tcBorders>
            <w:shd w:fill="2E5FA3"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2nd Line: Risk &amp; Compliance</w:t>
            </w:r>
          </w:p>
        </w:tc>
        <w:tc>
          <w:tcPr>
            <w:tcW w:type="dxa" w:w="252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3rd Line: Internal Audit</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Primary Responsibility</w:t>
            </w:r>
          </w:p>
        </w:tc>
        <w:tc>
          <w:tcPr>
            <w:tcW w:type="dxa" w:w="252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Own and operate AI agents; design and implement controls; manage day-to-day risk</w:t>
            </w:r>
          </w:p>
        </w:tc>
        <w:tc>
          <w:tcPr>
            <w:tcW w:type="dxa" w:w="252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Set the framework; oversee compliance; provide independent challenge to 1st Line</w:t>
            </w:r>
          </w:p>
        </w:tc>
        <w:tc>
          <w:tcPr>
            <w:tcW w:type="dxa" w:w="25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Provide independent assurance that both 1st and 2nd Line are operating effectively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AI Agent Activities</w:t>
            </w:r>
          </w:p>
        </w:tc>
        <w:tc>
          <w:tcPr>
            <w:tcW w:type="dxa" w:w="252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Agent design; system prompt management; tool access control; runtime monitoring; incident response</w:t>
            </w:r>
          </w:p>
        </w:tc>
        <w:tc>
          <w:tcPr>
            <w:tcW w:type="dxa" w:w="252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Policy development; pre-deployment review; ongoing compliance monitoring; KRI oversight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Audit programme execution; control effectiveness testing; thematic AI risk reviews</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Reporting Line</w:t>
            </w:r>
          </w:p>
        </w:tc>
        <w:tc>
          <w:tcPr>
            <w:tcW w:type="dxa" w:w="25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CTO / COO</w:t>
            </w:r>
          </w:p>
        </w:tc>
        <w:tc>
          <w:tcPr>
            <w:tcW w:type="dxa" w:w="25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CRO / CCO</w:t>
            </w:r>
          </w:p>
        </w:tc>
        <w:tc>
          <w:tcPr>
            <w:tcW w:type="dxa" w:w="252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Chief Audit Executive → Audit Committee</w:t>
            </w:r>
          </w:p>
        </w:tc>
      </w:tr>
    </w:tbl>
    <w:p>
      <w:pPr>
        <w:spacing w:before="0" w:after="160" w:line="276" w:lineRule="auto"/>
      </w:pPr>
    </w:p>
    <w:p>
      <w:pPr>
        <w:pStyle w:val="Heading2"/>
        <w:spacing w:before="280" w:after="120" w:line="276" w:lineRule="auto"/>
      </w:pPr>
      <w:r>
        <w:rPr>
          <w:rFonts w:ascii="Arial" w:cs="Arial" w:eastAsia="Arial" w:hAnsi="Arial"/>
          <w:b/>
          <w:bCs/>
          <w:color w:val="2E5FA3"/>
          <w:sz w:val="28"/>
          <w:szCs w:val="28"/>
        </w:rPr>
        <w:t xml:space="preserve">11.3  Board AI Risk Dashboard</w:t>
      </w:r>
    </w:p>
    <w:p>
      <w:pPr>
        <w:spacing w:before="0" w:after="140" w:line="276" w:lineRule="auto"/>
        <w:jc w:val="both"/>
      </w:pPr>
      <w:r>
        <w:rPr>
          <w:rFonts w:ascii="Arial" w:cs="Arial" w:eastAsia="Arial" w:hAnsi="Arial"/>
          <w:color w:val="1A1A1A"/>
          <w:sz w:val="22"/>
          <w:szCs w:val="22"/>
        </w:rPr>
        <w:t xml:space="preserve">The following metrics are recommended for the Board-level AI Risk Dashboard, providing senior leadership with a concise view of AI agent risk:</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Total AI agents in production: count by risk tier (Critical / High / Medium / Low)</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Agents pending re-certification: count and overdue percentage</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AI-related incidents in the period: count by severity; open remediation items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Regulatory actions or queries related to AI: count and status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Top 3 KRI breaches in the period: description, response, and resolution status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Key upcoming regulatory deadlines related to AI</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AI governance maturity score: self-assessment against the implementation roadmap</w:t>
      </w:r>
    </w:p>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12. Implementation Roadmap</w:t>
      </w:r>
    </w:p>
    <w:p>
      <w:pPr>
        <w:spacing w:before="0" w:after="140" w:line="276" w:lineRule="auto"/>
        <w:jc w:val="both"/>
      </w:pPr>
      <w:r>
        <w:rPr>
          <w:rFonts w:ascii="Arial" w:cs="Arial" w:eastAsia="Arial" w:hAnsi="Arial"/>
          <w:color w:val="1A1A1A"/>
          <w:sz w:val="22"/>
          <w:szCs w:val="22"/>
        </w:rPr>
        <w:t xml:space="preserve">The following phased roadmap provides a structured path from the institution's current state to a mature AI agent governance programme. Priority should be given to Phase 1 activities, which address the most immediate risk exposures.</w:t>
      </w:r>
    </w:p>
    <w:p>
      <w:pPr>
        <w:spacing w:before="0" w:after="80" w:line="276"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580"/>
        <w:gridCol w:w="2580"/>
      </w:tblGrid>
      <w:tr>
        <w:tc>
          <w:tcPr>
            <w:tcW w:type="dxa" w:w="16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Phase</w:t>
            </w:r>
          </w:p>
        </w:tc>
        <w:tc>
          <w:tcPr>
            <w:tcW w:type="dxa" w:w="26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Key Activities</w:t>
            </w:r>
          </w:p>
        </w:tc>
        <w:tc>
          <w:tcPr>
            <w:tcW w:type="dxa" w:w="258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Deliverables</w:t>
            </w:r>
          </w:p>
        </w:tc>
        <w:tc>
          <w:tcPr>
            <w:tcW w:type="dxa" w:w="258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Success Metrics</w:t>
            </w:r>
          </w:p>
        </w:tc>
      </w:tr>
      <w:tr>
        <w:tc>
          <w:tcPr>
            <w:tcW w:type="dxa" w:w="16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bCs/>
                <w:color w:val="C0392B"/>
                <w:sz w:val="20"/>
                <w:szCs w:val="20"/>
              </w:rPr>
              <w:t xml:space="preserve">Phase 1
0–3 Months
Foundation</w:t>
            </w:r>
          </w:p>
        </w:tc>
        <w:tc>
          <w:tcPr>
            <w:tcW w:type="dxa" w:w="26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Complete AI agent inventory; apply risk rating to all agents; engage AI Governance Committee; identify immediate control gaps in Critical agents; establish audit log requirements.</w:t>
            </w:r>
          </w:p>
        </w:tc>
        <w:tc>
          <w:tcPr>
            <w:tcW w:type="dxa" w:w="258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Complete agent inventory; risk ratings for all agents; gap analysis report; interim controls for Critical agents.</w:t>
            </w:r>
          </w:p>
        </w:tc>
        <w:tc>
          <w:tcPr>
            <w:tcW w:type="dxa" w:w="258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100% inventory coverage; all Critical agents have interim controls; AIGC operational.</w:t>
            </w:r>
          </w:p>
        </w:tc>
      </w:tr>
      <w:tr>
        <w:tc>
          <w:tcPr>
            <w:tcW w:type="dxa" w:w="1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bCs/>
                <w:color w:val="C9960C"/>
                <w:sz w:val="20"/>
                <w:szCs w:val="20"/>
              </w:rPr>
              <w:t xml:space="preserve">Phase 2
3–9 Months
Control Build</w:t>
            </w:r>
          </w:p>
        </w:tc>
        <w:tc>
          <w:tcPr>
            <w:tcW w:type="dxa" w:w="26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Implement full control framework for High and Critical agents; integrate agents into MRM framework; build monitoring dashboard; vendor due diligence programme; staff training.</w:t>
            </w:r>
          </w:p>
        </w:tc>
        <w:tc>
          <w:tcPr>
            <w:tcW w:type="dxa" w:w="258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Control framework deployed; monitoring dashboard live; MRM integration complete; training programme delivered.</w:t>
            </w:r>
          </w:p>
        </w:tc>
        <w:tc>
          <w:tcPr>
            <w:tcW w:type="dxa" w:w="258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All High/Critical agents fully governed; KRI monitoring operational; &gt;90% staff training completion.</w:t>
            </w:r>
          </w:p>
        </w:tc>
      </w:tr>
      <w:tr>
        <w:tc>
          <w:tcPr>
            <w:tcW w:type="dxa" w:w="1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bCs/>
                <w:color w:val="1A7A4A"/>
                <w:sz w:val="20"/>
                <w:szCs w:val="20"/>
              </w:rPr>
              <w:t xml:space="preserve">Phase 3
9–18 Months
Maturation</w:t>
            </w:r>
          </w:p>
        </w:tc>
        <w:tc>
          <w:tcPr>
            <w:tcW w:type="dxa" w:w="2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Extend framework to Medium agents; launch audit programme; implement continuous monitoring; establish Board reporting cadence; conduct first annual re-certifications.</w:t>
            </w:r>
          </w:p>
        </w:tc>
        <w:tc>
          <w:tcPr>
            <w:tcW w:type="dxa" w:w="25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First AI governance audit completed; Board AI Risk Dashboard live; all agents re-certified; continuous monitoring operational.</w:t>
            </w:r>
          </w:p>
        </w:tc>
        <w:tc>
          <w:tcPr>
            <w:tcW w:type="dxa" w:w="258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Clean or limited-findings audit; board reporting established; all agents through annual re-certification cycle.</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line="276" w:lineRule="auto"/>
            </w:pPr>
            <w:r>
              <w:rPr>
                <w:rFonts w:ascii="Arial" w:cs="Arial" w:eastAsia="Arial" w:hAnsi="Arial"/>
                <w:b/>
                <w:bCs/>
                <w:color w:val="2E5FA3"/>
                <w:sz w:val="20"/>
                <w:szCs w:val="20"/>
              </w:rPr>
              <w:t xml:space="preserve">Phase 4
18+ Months
Leadership</w:t>
            </w:r>
          </w:p>
        </w:tc>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Conduct maturity assessment; engage with regulators on emerging requirements; benchmark against peers; explore advanced capabilities (automated red-teaming, AI-powered monitoring of AI agents).</w:t>
            </w:r>
          </w:p>
        </w:tc>
        <w:tc>
          <w:tcPr>
            <w:tcW w:type="dxa" w:w="25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Maturity assessment report; regulator engagement record; peer benchmarking; advanced monitoring tooling.</w:t>
            </w:r>
          </w:p>
        </w:tc>
        <w:tc>
          <w:tcPr>
            <w:tcW w:type="dxa" w:w="25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Top-quartile maturity score; proactive regulatory engagement; recognised governance leadership.</w:t>
            </w:r>
          </w:p>
        </w:tc>
      </w:tr>
    </w:tbl>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13. Key Recommendations Summary</w:t>
      </w:r>
    </w:p>
    <w:p>
      <w:pPr>
        <w:pStyle w:val="Heading2"/>
        <w:spacing w:before="280" w:after="120" w:line="276" w:lineRule="auto"/>
      </w:pPr>
      <w:r>
        <w:rPr>
          <w:rFonts w:ascii="Arial" w:cs="Arial" w:eastAsia="Arial" w:hAnsi="Arial"/>
          <w:b/>
          <w:bCs/>
          <w:color w:val="2E5FA3"/>
          <w:sz w:val="28"/>
          <w:szCs w:val="28"/>
        </w:rPr>
        <w:t xml:space="preserve">13.1  Top 10 Priority Actions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Complete an AI Agent Inventory immediately. You cannot govern what you cannot see. This single action has the highest risk-reduction value per hour of effort.</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Implement immutable audit logging for all production AI agents. Without comprehensive logs, incident investigation, regulatory response, and audit assurance are all severely impaired.</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Apply HITL checkpoints with hard infrastructure-enforced limits for all agents with financial exposure above your defined threshold. Do not rely on system prompt instructions alone.</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Conduct a system prompt governance review for all Critical and High-rated agents. Confirm that production prompts match approved versions and that version history exists.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Test every kill switch. Simulate an emergency shutdown scenario for each Critical agent and confirm that the mechanism works and that the fallback procedure is executable.</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Engage an independent red-teaming exercise for high-risk agents. Internal testing is necessary but not sufficient — independent adversarial testing will find vulnerabilities that internal teams miss.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Establish the AI Governance Committee. Governance without a clear decision-making body defaults to ad-hoc and undocumented decisions. Formalise the structure now.</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Conduct DPDP Act compliance assessment for all agents processing customer personal data. India's data protection framework creates specific obligations that must be mapped to agent-specific controls.</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Review and update vendor contracts with LLM providers. Ensure data processing agreements address DPDP Act obligations, confidentiality, security standards, model version change notification, and liability allocation.</w:t>
      </w:r>
    </w:p>
    <w:p>
      <w:pPr>
        <w:pStyle w:val="ListParagraph"/>
        <w:numPr>
          <w:ilvl w:val="0"/>
          <w:numId w:val="3"/>
        </w:numPr>
        <w:spacing w:before="0" w:after="100" w:line="276" w:lineRule="auto"/>
        <w:ind w:left="720" w:hanging="360"/>
      </w:pPr>
      <w:r>
        <w:rPr>
          <w:rFonts w:ascii="Arial" w:cs="Arial" w:eastAsia="Arial" w:hAnsi="Arial"/>
          <w:color w:val="1A1A1A"/>
          <w:sz w:val="22"/>
          <w:szCs w:val="22"/>
        </w:rPr>
        <w:t xml:space="preserve">Develop and deliver AI agent training for compliance, risk, audit, and senior management teams. Governance frameworks are only as effective as the people who implement and oversee them.</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13.2  Common Mistakes to Avoid</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Treating AI agents as just another IT system and applying standard IT change management without agent-specific adaptations.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Relying on the system prompt as the primary safety control, without infrastructure-level enforcement of capability boundaries and exposure limits.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Deploying agents without independent validation, rationalised as speed-to-market necessity. This is the most common root cause of early-life agent incidents.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Ignoring the LLM provider as a third-party risk. Model updates from providers can materially change agent behaviour without any internal change management event being triggered.</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Building monitoring infrastructure after deployment rather than as a prerequisite to deployment.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Failing to engage regulators proactively. Regulators generally view institutions that engage early on novel technologies more favourably than those that are reactive to regulatory enquiries.</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13.3  Future-Proofing: Preparing for Agentic AI That Does Not Yet Exist</w:t>
      </w:r>
    </w:p>
    <w:p>
      <w:pPr>
        <w:spacing w:before="0" w:after="140" w:line="276" w:lineRule="auto"/>
        <w:jc w:val="both"/>
      </w:pPr>
      <w:r>
        <w:rPr>
          <w:rFonts w:ascii="Arial" w:cs="Arial" w:eastAsia="Arial" w:hAnsi="Arial"/>
          <w:color w:val="1A1A1A"/>
          <w:sz w:val="22"/>
          <w:szCs w:val="22"/>
        </w:rPr>
        <w:t xml:space="preserve">The current generation of AI agents — LLM-based, tool-using, single or multi-agent — will evolve rapidly. Governance frameworks built only for today's agents will be inadequate within 18 to 24 months. Institutions should design their governance frameworks with the following future developments in mind:</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More capable agents: Future agents will be able to write and execute their own code, modify their own configurations, and spawn new agents dynamically. Governance frameworks must include controls for these capabilities even before they are deployed.</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Longer-running agents: Current agents typically operate within a single session. Future agents may operate continuously over days or weeks, accumulating context and state. This requires governance controls for agent memory, state management, and long-term audit trail continuity.</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Agent-to-agent markets: Emerging architectures envision agents transacting with other agents in automated markets. The contract, liability, and compliance implications of agent-initiated transactions are profound and require legal and regulatory engagement now.</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Regulatory mandates: Expect regulatory requirements for AI agent governance to become explicit and binding within three to five years in India and faster in the EU and US. Building a robust voluntary framework now positions the institution for regulatory transition with minimal disruption.</w:t>
      </w:r>
    </w:p>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Term</w:t>
            </w:r>
          </w:p>
        </w:tc>
        <w:tc>
          <w:tcPr>
            <w:tcW w:type="dxa" w:w="6560"/>
            <w:tcBorders>
              <w:top w:val="single" w:color="FFFFFF" w:sz="4"/>
              <w:left w:val="single" w:color="FFFFFF" w:sz="4"/>
              <w:bottom w:val="single" w:color="FFFFFF" w:sz="4"/>
              <w:right w:val="single" w:color="FFFFFF" w:sz="4"/>
            </w:tcBorders>
            <w:shd w:fill="1B3A6B" w:val="clear"/>
            <w:tcMar>
              <w:top w:type="dxa" w:w="100"/>
              <w:left w:type="dxa" w:w="120"/>
              <w:bottom w:type="dxa" w:w="100"/>
              <w:right w:type="dxa" w:w="120"/>
            </w:tcMar>
            <w:vAlign w:val="center"/>
          </w:tcPr>
          <w:p>
            <w:pPr>
              <w:spacing w:before="0" w:after="0" w:line="276" w:lineRule="auto"/>
            </w:pPr>
            <w:r>
              <w:rPr>
                <w:rFonts w:ascii="Arial" w:cs="Arial" w:eastAsia="Arial" w:hAnsi="Arial"/>
                <w:b/>
                <w:bCs/>
                <w:color w:val="FFFFFF"/>
                <w:sz w:val="20"/>
                <w:szCs w:val="20"/>
              </w:rPr>
              <w:t xml:space="preserve">Definition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Adversarial Testing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Testing methodology where testers attempt to make an AI agent produce harmful, incorrect, or out-of-scope outputs through deliberate manipulation of inputs.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Agent Card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governance document summarising the purpose, scope, tool access, risk rating, limitations, and approval history of a specific AI agent.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Agent Loop</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The iterative cycle in which an AI agent perceives inputs, reasons about actions, executes actions using tools, and observes results, repeating until the goal is achieved.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Agentic AI / AI Agent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 AI system capable of autonomous multi-step action in pursuit of goals, using tools to interact with external systems and environments.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Algorithmic Accountability</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The principle that organisations deploying automated decision-making systems are accountable for the decisions those systems make, to the same standard as human decision-makers.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Capability Boundary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defined limit on what an AI agent is permitted to do, enforced at the infrastructure level to prevent the agent from taking actions outside its sanctioned scope.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Circuit Breaker</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 automated mechanism that suspends an AI agent's operation when predefined anomalous behaviour thresholds are breached, analogous to an electrical circuit breaker.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Conduct Risk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The risk that an institution's behaviour — including through AI agents — results in unfair outcomes for customers or undermines market integrity.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Data Fiduciary</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Under the DPDP Act 2023, an entity that determines the purpose and means of processing personal data. Regulated financial institutions are Data Fiduciaries for data processed by their AI agents.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Data Principal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Under the DPDP Act 2023, the individual to whom personal data relates. Financial institutions' customers are Data Principals.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Disparate Impact</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condition where an AI system's outputs disproportionately disadvantage a protected group, regardless of intent.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DPDP Act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Digital Personal Data Protection Act, 2023 — India's primary data protection legislation establishing obligations for entities processing personal data of Indian citizens.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FEAT Principles</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The Monetary Authority of Singapore's Principles on Fairness, Ethics, Accountability, and Transparency in the Use of AI and Data Analytics.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Guardrail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control mechanism that filters, blocks, or modifies AI agent inputs or outputs to prevent policy violations, harmful content, or out-of-scope actions.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Hallucination</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The phenomenon where an LLM generates confident, plausible-sounding but factually incorrect information, presenting it as if it were accurate.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Human-in-the-Loop (HITL)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design pattern where an AI agent pauses at defined checkpoints and requires human review and approval before proceeding.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Kill Switch</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mechanism that can immediately halt all operations of an AI agent or agent pipeline, used in emergency or containment scenarios.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KRI (Key Risk Indicator)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metric used to signal increasing risk levels before a risk event materialises, enabling proactive risk management.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Large Language Model (LLM)</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class of AI model trained on large text corpora that can generate, summarise, translate, and reason about text. The cognitive engine of most current AI agents.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Model Drift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degradation in model performance over time due to changes in the distribution of real-world inputs relative to the training data distribution.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Model Risk Management (MRM)</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discipline governing the identification, assessment, and mitigation of risks arising from the use of AI and statistical models in financial decision-making.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Multi-Agent System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 architecture where multiple AI agents collaborate, delegate tasks, and coordinate to accomplish complex goals that no single agent could achieve alone.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Orchestrator Agent</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 AI agent that coordinates other agents, decomposing goals into sub-tasks and delegating them to specialist sub-agents.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Population Stability Index (PSI)</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statistical measure used to detect distributional shift in model inputs or outputs, indicating potential model drift.</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Prompt Injection</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An attack where malicious instructions are embedded in content processed by an AI agent, causing the agent to execute the attacker's commands instead of its intended instructions.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Shadow AI</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The use of AI tools and agents by employees or teams without the knowledge or authorisation of IT, compliance, or security functions.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SR 11-7</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US Federal Reserve and OCC supervisory guidance document on model risk management that has become a de facto global standard for financial institutions' MRM frameworks.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System Prompt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Instructions provided to an LLM at the beginning of a session that define the agent's identity, capabilities, restrictions, and behavioural guidelines.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Tool Calling</w:t>
            </w:r>
          </w:p>
        </w:tc>
        <w:tc>
          <w:tcPr>
            <w:tcW w:type="dxa" w:w="6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The capability of an LLM-based agent to invoke external functions, APIs, or services as part of its reasoning process.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bCs/>
                <w:color w:val="1A1A1A"/>
                <w:sz w:val="20"/>
                <w:szCs w:val="20"/>
              </w:rPr>
              <w:t xml:space="preserve">Zero-Trust Architecture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line="276" w:lineRule="auto"/>
            </w:pPr>
            <w:r>
              <w:rPr>
                <w:rFonts w:ascii="Arial" w:cs="Arial" w:eastAsia="Arial" w:hAnsi="Arial"/>
                <w:b w:val="false"/>
                <w:bCs w:val="false"/>
                <w:color w:val="1A1A1A"/>
                <w:sz w:val="20"/>
                <w:szCs w:val="20"/>
              </w:rPr>
              <w:t xml:space="preserve">A security design principle, applied to AI agents, requiring that no agent, tool, or external system is trusted by default — all interactions must be authenticated, authorised, and logged.</w:t>
            </w:r>
          </w:p>
        </w:tc>
      </w:tr>
    </w:tbl>
    <w:p>
      <w:r>
        <w:br w:type="page"/>
      </w:r>
    </w:p>
    <w:p>
      <w:pPr>
        <w:pStyle w:val="Heading1"/>
        <w:pBdr>
          <w:bottom w:val="single" w:color="1B3A6B" w:sz="8" w:space="4"/>
        </w:pBdr>
        <w:spacing w:before="360" w:after="160" w:line="276" w:lineRule="auto"/>
      </w:pPr>
      <w:r>
        <w:rPr>
          <w:rFonts w:ascii="Arial" w:cs="Arial" w:eastAsia="Arial" w:hAnsi="Arial"/>
          <w:b/>
          <w:bCs/>
          <w:color w:val="1B3A6B"/>
          <w:sz w:val="36"/>
          <w:szCs w:val="36"/>
        </w:rPr>
        <w:t xml:space="preserve">15. References &amp; Further Reading</w:t>
      </w:r>
    </w:p>
    <w:p>
      <w:pPr>
        <w:pStyle w:val="Heading2"/>
        <w:spacing w:before="280" w:after="120" w:line="276" w:lineRule="auto"/>
      </w:pPr>
      <w:r>
        <w:rPr>
          <w:rFonts w:ascii="Arial" w:cs="Arial" w:eastAsia="Arial" w:hAnsi="Arial"/>
          <w:b/>
          <w:bCs/>
          <w:color w:val="2E5FA3"/>
          <w:sz w:val="28"/>
          <w:szCs w:val="28"/>
        </w:rPr>
        <w:t xml:space="preserve">Regulatory Documents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Reserve Bank of India. (2023). Master Directions on Information Technology Governance, Risk, Controls and Assurance Practices. RBI/2023-24/73.</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Reserve Bank of India. (2022). Guidelines on Digital Lending. RBI/2022-23/111.</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Ministry of Electronics and Information Technology, Government of India. (2023). Digital Personal Data Protection Act, 2023. No. 22 of 2023.</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Federal Reserve System &amp; Office of the Comptroller of the Currency. (2011). SR 11-7: Guidance on Model Risk Management.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Basel Committee on Banking Supervision. (2021). Principles for Operational Resilience. Bank for International Settlements.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European Parliament &amp; Council. (2024). Regulation (EU) 2024/1689 on Artificial Intelligence (EU AI Act).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Securities and Exchange Board of India. (2021). Circular on Algorithmic Trading — Amendments. SEBI/HO/MRD2/DCAP/CIR/P/2021.</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Monetary Authority of Singapore. (2019). Principles to Promote Fairness, Ethics, Accountability and Transparency (FEAT) in the Use of Artificial Intelligence and Data Analytics in Singapore's Financial Sector.</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Industry Frameworks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Financial Stability Board. (2024). Artificial Intelligence and Financial Stability: Considerations for the G20. FSB Report.</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Bank for International Settlements. (2023). The Macro-financial Implications of Artificial Intelligence. BIS Working Paper No. 1136.</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IOSCO. (2021). The Use of Artificial Intelligence and Machine Learning by Market Intermediaries and Asset Managers. FR01/2021.</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NIST. (2023). Artificial Intelligence Risk Management Framework (AI RMF 1.0). National Institute of Standards and Technology.</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ISO/IEC. (2023). ISO/IEC 42001: Information Technology — Artificial Intelligence — Management System.</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Academic and Research Sources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Anthropic. (2024). Model Card: Claude 3 Family. Anthropic Research.</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Weidinger, L., et al. (2022). Taxonomy of Risks Posed by Language Models. Proceedings of the 2022 ACM Conference on Fairness, Accountability, and Transparency.</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Bommasani, R., et al. (2021). On the Opportunities and Risks of Foundation Models. Stanford CRFM.</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Shinn, N., et al. (2023). Reflexion: Language Agents with Verbal Reinforcement Learning. NeurIPS 2023.</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Perez, E. &amp; Ribeiro, S. (2022). Ignore Previous Prompt: Attack Techniques for Language Models. NeurIPS Workshop on ML Safety.</w:t>
      </w:r>
    </w:p>
    <w:p>
      <w:pPr>
        <w:spacing w:before="0" w:after="80" w:line="276" w:lineRule="auto"/>
      </w:pPr>
    </w:p>
    <w:p>
      <w:pPr>
        <w:pStyle w:val="Heading2"/>
        <w:spacing w:before="280" w:after="120" w:line="276" w:lineRule="auto"/>
      </w:pPr>
      <w:r>
        <w:rPr>
          <w:rFonts w:ascii="Arial" w:cs="Arial" w:eastAsia="Arial" w:hAnsi="Arial"/>
          <w:b/>
          <w:bCs/>
          <w:color w:val="2E5FA3"/>
          <w:sz w:val="28"/>
          <w:szCs w:val="28"/>
        </w:rPr>
        <w:t xml:space="preserve">Further Reading</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Institute of International Finance (IIF). (2024). AI in Financial Services: Governance Frameworks and Best Practices.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McKinsey Global Institute. (2023). The Economic Potential of Generative AI: The Next Productivity Frontier.</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Gartner. (2024). Hype Cycle for Artificial Intelligence in Financial Services.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Deloitte Insights. (2024). Operationalising Responsible AI in Financial Services.</w:t>
      </w:r>
    </w:p>
    <w:p>
      <w:pPr>
        <w:pStyle w:val="ListParagraph"/>
        <w:numPr>
          <w:ilvl w:val="0"/>
          <w:numId w:val="2"/>
        </w:numPr>
        <w:spacing w:before="0" w:after="100" w:line="276" w:lineRule="auto"/>
        <w:ind w:left="720" w:hanging="360"/>
      </w:pPr>
      <w:r>
        <w:rPr>
          <w:rFonts w:ascii="Arial" w:cs="Arial" w:eastAsia="Arial" w:hAnsi="Arial"/>
          <w:color w:val="1A1A1A"/>
          <w:sz w:val="22"/>
          <w:szCs w:val="22"/>
        </w:rPr>
        <w:t xml:space="preserve">World Economic Forum. (2023). Presidio Recommendations on Responsible Generative AI.</w:t>
      </w:r>
    </w:p>
    <w:p>
      <w:pPr>
        <w:spacing w:before="0" w:after="80" w:line="276" w:lineRule="auto"/>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tabs>
        <w:tab w:val="right" w:pos="9360"/>
      </w:tabs>
      <w:spacing w:before="120" w:after="0"/>
    </w:pPr>
    <w:r>
      <w:rPr>
        <w:rFonts w:ascii="Arial" w:cs="Arial" w:eastAsia="Arial" w:hAnsi="Arial"/>
        <w:color w:val="5D6D7E"/>
        <w:sz w:val="16"/>
        <w:szCs w:val="16"/>
      </w:rPr>
      <w:t xml:space="preserve">© 2026 AI Governance Research  |  March 2026</w:t>
    </w:r>
    <w:r>
      <w:rPr>
        <w:rFonts w:ascii="Arial" w:cs="Arial" w:eastAsia="Arial" w:hAnsi="Arial"/>
        <w:sz w:val="16"/>
        <w:szCs w:val="16"/>
      </w:rPr>
      <w:tab/>
    </w:r>
    <w:r>
      <w:rPr>
        <w:rFonts w:ascii="Arial" w:cs="Arial" w:eastAsia="Arial" w:hAnsi="Arial"/>
        <w:color w:val="5D6D7E"/>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spacing w:before="0" w:after="120"/>
    </w:pPr>
    <w:r>
      <w:rPr>
        <w:rFonts w:ascii="Arial" w:cs="Arial" w:eastAsia="Arial" w:hAnsi="Arial"/>
        <w:color w:val="5D6D7E"/>
        <w:sz w:val="18"/>
        <w:szCs w:val="18"/>
      </w:rPr>
      <w:t xml:space="preserve">AI Agent Controls Framework for Financial Institutions</w:t>
    </w:r>
    <w:r>
      <w:rPr>
        <w:rFonts w:ascii="Arial" w:cs="Arial" w:eastAsia="Arial" w:hAnsi="Arial"/>
        <w:color w:val="C9960C"/>
        <w:sz w:val="18"/>
        <w:szCs w:val="18"/>
      </w:rPr>
      <w:t xml:space="preserve">   |   CONFIDENTIAL GOVERNANCE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2026-03-17T10:11:41.532Z</dcterms:created>
  <dcterms:modified xsi:type="dcterms:W3CDTF">2026-03-17T10:11:41.532Z</dcterms:modified>
</cp:coreProperties>
</file>

<file path=docProps/custom.xml><?xml version="1.0" encoding="utf-8"?>
<Properties xmlns="http://schemas.openxmlformats.org/officeDocument/2006/custom-properties" xmlns:vt="http://schemas.openxmlformats.org/officeDocument/2006/docPropsVTypes"/>
</file>