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Funding Regime Rotation Bot: Live Test Report</w:t>
      </w:r>
    </w:p>
    <w:p>
      <w:pPr>
        <w:pStyle w:val="Subtitle"/>
      </w:pPr>
      <w:r>
        <w:t>VOOI MCP live perps test | Hyperliquid and Lighter | Report date: 15 May 2026</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c>
          <w:tcPr>
            <w:tcW w:type="dxa" w:w="9360"/>
            <w:vAlign w:val="center"/>
            <w:shd w:fill="F4F6F9"/>
          </w:tcPr>
          <w:p>
            <w:pPr>
              <w:spacing w:after="40"/>
            </w:pPr>
            <w:r/>
            <w:r>
              <w:rPr>
                <w:b/>
              </w:rPr>
              <w:t xml:space="preserve">Test status: </w:t>
            </w:r>
            <w:r>
              <w:t>The bot completed 4 closed live positions during this reporting window. The strategy showed positive net PnL, with most of the realized result coming from funding.</w:t>
            </w:r>
          </w:p>
        </w:tc>
      </w:tr>
    </w:tbl>
    <w:p>
      <w:pPr>
        <w:pStyle w:val="Heading1"/>
      </w:pPr>
      <w:r>
        <w:t>Executive Summary</w:t>
      </w:r>
    </w:p>
    <w:p>
      <w:r>
        <w:t>The live test was run with a small account and a quote size of 40 USDC per strategy position. The bot selected cross-venue funding regimes, opened hedged long/short perps positions, and rotated when the current regime deteriorated or a materially better candidate appeared.</w:t>
      </w:r>
    </w:p>
    <w:p>
      <w:r>
        <w:t>Across the 4 closed positions, the strategy produced +0.059237 USDC net PnL. Funding PnL was +0.057067 USDC, while price PnL was +0.002170 USDC. This is a useful early signal because the positive result came primarily from the intended source: funding differential capture.</w:t>
      </w:r>
    </w:p>
    <w:p>
      <w:pPr>
        <w:pStyle w:val="Heading1"/>
      </w:pPr>
      <w:r>
        <w:t>Key Metrics</w:t>
      </w:r>
    </w:p>
    <w:tbl>
      <w:tblPr>
        <w:tblW w:type="dxa" w:w="9360"/>
        <w:jc w:val="left"/>
        <w:tblLayout w:type="fixed"/>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4700"/>
        <w:gridCol w:w="4300"/>
      </w:tblGrid>
      <w:tr>
        <w:tc>
          <w:tcPr>
            <w:tcW w:type="dxa" w:w="4700"/>
            <w:vAlign w:val="center"/>
            <w:shd w:fill="F2F4F7"/>
          </w:tcPr>
          <w:p>
            <w:r>
              <w:rPr>
                <w:b/>
              </w:rPr>
              <w:t>Metric</w:t>
            </w:r>
          </w:p>
        </w:tc>
        <w:tc>
          <w:tcPr>
            <w:tcW w:type="dxa" w:w="4300"/>
            <w:vAlign w:val="center"/>
            <w:shd w:fill="F2F4F7"/>
          </w:tcPr>
          <w:p>
            <w:r>
              <w:rPr>
                <w:b/>
              </w:rPr>
              <w:t>Value</w:t>
            </w:r>
          </w:p>
        </w:tc>
      </w:tr>
      <w:tr>
        <w:tc>
          <w:tcPr>
            <w:tcW w:type="dxa" w:w="4700"/>
          </w:tcPr>
          <w:p>
            <w:r>
              <w:t>Closed live positions</w:t>
            </w:r>
          </w:p>
        </w:tc>
        <w:tc>
          <w:tcPr>
            <w:tcW w:type="dxa" w:w="4300"/>
          </w:tcPr>
          <w:p>
            <w:r>
              <w:t>4</w:t>
            </w:r>
          </w:p>
        </w:tc>
      </w:tr>
      <w:tr>
        <w:tc>
          <w:tcPr>
            <w:tcW w:type="dxa" w:w="4700"/>
          </w:tcPr>
          <w:p>
            <w:r>
              <w:t>Total hold time</w:t>
            </w:r>
          </w:p>
        </w:tc>
        <w:tc>
          <w:tcPr>
            <w:tcW w:type="dxa" w:w="4300"/>
          </w:tcPr>
          <w:p>
            <w:r>
              <w:t>17.19 hours</w:t>
            </w:r>
          </w:p>
        </w:tc>
      </w:tr>
      <w:tr>
        <w:tc>
          <w:tcPr>
            <w:tcW w:type="dxa" w:w="4700"/>
          </w:tcPr>
          <w:p>
            <w:r>
              <w:t>Total quote size across closed positions</w:t>
            </w:r>
          </w:p>
        </w:tc>
        <w:tc>
          <w:tcPr>
            <w:tcW w:type="dxa" w:w="4300"/>
          </w:tcPr>
          <w:p>
            <w:r>
              <w:t>160 USDC</w:t>
            </w:r>
          </w:p>
        </w:tc>
      </w:tr>
      <w:tr>
        <w:tc>
          <w:tcPr>
            <w:tcW w:type="dxa" w:w="4700"/>
          </w:tcPr>
          <w:p>
            <w:r>
              <w:t>Entry notional across closed positions</w:t>
            </w:r>
          </w:p>
        </w:tc>
        <w:tc>
          <w:tcPr>
            <w:tcW w:type="dxa" w:w="4300"/>
          </w:tcPr>
          <w:p>
            <w:r>
              <w:t>318.696139 USDC</w:t>
            </w:r>
          </w:p>
        </w:tc>
      </w:tr>
      <w:tr>
        <w:tc>
          <w:tcPr>
            <w:tcW w:type="dxa" w:w="4700"/>
          </w:tcPr>
          <w:p>
            <w:r>
              <w:t>Net PnL</w:t>
            </w:r>
          </w:p>
        </w:tc>
        <w:tc>
          <w:tcPr>
            <w:tcW w:type="dxa" w:w="4300"/>
          </w:tcPr>
          <w:p>
            <w:r>
              <w:t>+0.059237 USDC</w:t>
            </w:r>
          </w:p>
        </w:tc>
      </w:tr>
      <w:tr>
        <w:tc>
          <w:tcPr>
            <w:tcW w:type="dxa" w:w="4700"/>
          </w:tcPr>
          <w:p>
            <w:r>
              <w:t>Funding PnL</w:t>
            </w:r>
          </w:p>
        </w:tc>
        <w:tc>
          <w:tcPr>
            <w:tcW w:type="dxa" w:w="4300"/>
          </w:tcPr>
          <w:p>
            <w:r>
              <w:t>+0.057067 USDC</w:t>
            </w:r>
          </w:p>
        </w:tc>
      </w:tr>
      <w:tr>
        <w:tc>
          <w:tcPr>
            <w:tcW w:type="dxa" w:w="4700"/>
          </w:tcPr>
          <w:p>
            <w:r>
              <w:t>Price PnL</w:t>
            </w:r>
          </w:p>
        </w:tc>
        <w:tc>
          <w:tcPr>
            <w:tcW w:type="dxa" w:w="4300"/>
          </w:tcPr>
          <w:p>
            <w:r>
              <w:t>+0.002170 USDC</w:t>
            </w:r>
          </w:p>
        </w:tc>
      </w:tr>
      <w:tr>
        <w:tc>
          <w:tcPr>
            <w:tcW w:type="dxa" w:w="4700"/>
          </w:tcPr>
          <w:p>
            <w:r>
              <w:t>Return on quote size</w:t>
            </w:r>
          </w:p>
        </w:tc>
        <w:tc>
          <w:tcPr>
            <w:tcW w:type="dxa" w:w="4300"/>
          </w:tcPr>
          <w:p>
            <w:r>
              <w:t>0.0370%</w:t>
            </w:r>
          </w:p>
        </w:tc>
      </w:tr>
      <w:tr>
        <w:tc>
          <w:tcPr>
            <w:tcW w:type="dxa" w:w="4700"/>
          </w:tcPr>
          <w:p>
            <w:r>
              <w:t>Return on entry notional</w:t>
            </w:r>
          </w:p>
        </w:tc>
        <w:tc>
          <w:tcPr>
            <w:tcW w:type="dxa" w:w="4300"/>
          </w:tcPr>
          <w:p>
            <w:r>
              <w:t>0.0186%</w:t>
            </w:r>
          </w:p>
        </w:tc>
      </w:tr>
      <w:tr>
        <w:tc>
          <w:tcPr>
            <w:tcW w:type="dxa" w:w="4700"/>
          </w:tcPr>
          <w:p>
            <w:r>
              <w:t>Annualized run-rate on quote size</w:t>
            </w:r>
          </w:p>
        </w:tc>
        <w:tc>
          <w:tcPr>
            <w:tcW w:type="dxa" w:w="4300"/>
          </w:tcPr>
          <w:p>
            <w:r>
              <w:t>~18.9% APR</w:t>
            </w:r>
          </w:p>
        </w:tc>
      </w:tr>
    </w:tbl>
    <w:p>
      <w:pPr>
        <w:pStyle w:val="Heading1"/>
      </w:pPr>
      <w:r>
        <w:t>Closed Position Log</w:t>
      </w:r>
    </w:p>
    <w:tbl>
      <w:tblPr>
        <w:tblW w:type="dxa" w:w="9360"/>
        <w:jc w:val="left"/>
        <w:tblLayout w:type="fixed"/>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650"/>
        <w:gridCol w:w="900"/>
        <w:gridCol w:w="2900"/>
        <w:gridCol w:w="900"/>
        <w:gridCol w:w="1600"/>
        <w:gridCol w:w="1600"/>
      </w:tblGrid>
      <w:tr>
        <w:tc>
          <w:tcPr>
            <w:tcW w:type="dxa" w:w="650"/>
            <w:vAlign w:val="center"/>
            <w:shd w:fill="F2F4F7"/>
          </w:tcPr>
          <w:p>
            <w:r>
              <w:rPr>
                <w:b/>
              </w:rPr>
              <w:t>ID</w:t>
            </w:r>
          </w:p>
        </w:tc>
        <w:tc>
          <w:tcPr>
            <w:tcW w:type="dxa" w:w="900"/>
            <w:vAlign w:val="center"/>
            <w:shd w:fill="F2F4F7"/>
          </w:tcPr>
          <w:p>
            <w:r>
              <w:rPr>
                <w:b/>
              </w:rPr>
              <w:t>Asset</w:t>
            </w:r>
          </w:p>
        </w:tc>
        <w:tc>
          <w:tcPr>
            <w:tcW w:type="dxa" w:w="2900"/>
            <w:vAlign w:val="center"/>
            <w:shd w:fill="F2F4F7"/>
          </w:tcPr>
          <w:p>
            <w:r>
              <w:rPr>
                <w:b/>
              </w:rPr>
              <w:t>Route</w:t>
            </w:r>
          </w:p>
        </w:tc>
        <w:tc>
          <w:tcPr>
            <w:tcW w:type="dxa" w:w="900"/>
            <w:vAlign w:val="center"/>
            <w:shd w:fill="F2F4F7"/>
          </w:tcPr>
          <w:p>
            <w:r>
              <w:rPr>
                <w:b/>
              </w:rPr>
              <w:t>Hold</w:t>
            </w:r>
          </w:p>
        </w:tc>
        <w:tc>
          <w:tcPr>
            <w:tcW w:type="dxa" w:w="1600"/>
            <w:vAlign w:val="center"/>
            <w:shd w:fill="F2F4F7"/>
          </w:tcPr>
          <w:p>
            <w:r>
              <w:rPr>
                <w:b/>
              </w:rPr>
              <w:t>Net PnL</w:t>
            </w:r>
          </w:p>
        </w:tc>
        <w:tc>
          <w:tcPr>
            <w:tcW w:type="dxa" w:w="1600"/>
            <w:vAlign w:val="center"/>
            <w:shd w:fill="F2F4F7"/>
          </w:tcPr>
          <w:p>
            <w:r>
              <w:rPr>
                <w:b/>
              </w:rPr>
              <w:t>Funding PnL</w:t>
            </w:r>
          </w:p>
        </w:tc>
      </w:tr>
      <w:tr>
        <w:tc>
          <w:tcPr>
            <w:tcW w:type="dxa" w:w="650"/>
          </w:tcPr>
          <w:p>
            <w:r>
              <w:t>#6</w:t>
            </w:r>
          </w:p>
        </w:tc>
        <w:tc>
          <w:tcPr>
            <w:tcW w:type="dxa" w:w="900"/>
          </w:tcPr>
          <w:p>
            <w:r>
              <w:t>CHIP</w:t>
            </w:r>
          </w:p>
        </w:tc>
        <w:tc>
          <w:tcPr>
            <w:tcW w:type="dxa" w:w="2900"/>
          </w:tcPr>
          <w:p>
            <w:r>
              <w:t>Hyperliquid -&gt; Lighter</w:t>
            </w:r>
          </w:p>
        </w:tc>
        <w:tc>
          <w:tcPr>
            <w:tcW w:type="dxa" w:w="900"/>
          </w:tcPr>
          <w:p>
            <w:r>
              <w:t>4.24h</w:t>
            </w:r>
          </w:p>
        </w:tc>
        <w:tc>
          <w:tcPr>
            <w:tcW w:type="dxa" w:w="1600"/>
          </w:tcPr>
          <w:p>
            <w:r>
              <w:t>-0.028273</w:t>
            </w:r>
          </w:p>
        </w:tc>
        <w:tc>
          <w:tcPr>
            <w:tcW w:type="dxa" w:w="1600"/>
          </w:tcPr>
          <w:p>
            <w:r>
              <w:t>+0.017919</w:t>
            </w:r>
          </w:p>
        </w:tc>
      </w:tr>
      <w:tr>
        <w:tc>
          <w:tcPr>
            <w:tcW w:type="dxa" w:w="650"/>
          </w:tcPr>
          <w:p>
            <w:r>
              <w:t>#7</w:t>
            </w:r>
          </w:p>
        </w:tc>
        <w:tc>
          <w:tcPr>
            <w:tcW w:type="dxa" w:w="900"/>
          </w:tcPr>
          <w:p>
            <w:r>
              <w:t>HYPE</w:t>
            </w:r>
          </w:p>
        </w:tc>
        <w:tc>
          <w:tcPr>
            <w:tcW w:type="dxa" w:w="2900"/>
          </w:tcPr>
          <w:p>
            <w:r>
              <w:t>Lighter -&gt; Hyperliquid</w:t>
            </w:r>
          </w:p>
        </w:tc>
        <w:tc>
          <w:tcPr>
            <w:tcW w:type="dxa" w:w="900"/>
          </w:tcPr>
          <w:p>
            <w:r>
              <w:t>4.16h</w:t>
            </w:r>
          </w:p>
        </w:tc>
        <w:tc>
          <w:tcPr>
            <w:tcW w:type="dxa" w:w="1600"/>
          </w:tcPr>
          <w:p>
            <w:r>
              <w:t>+0.066196</w:t>
            </w:r>
          </w:p>
        </w:tc>
        <w:tc>
          <w:tcPr>
            <w:tcW w:type="dxa" w:w="1600"/>
          </w:tcPr>
          <w:p>
            <w:r>
              <w:t>+0.000556</w:t>
            </w:r>
          </w:p>
        </w:tc>
      </w:tr>
      <w:tr>
        <w:tc>
          <w:tcPr>
            <w:tcW w:type="dxa" w:w="650"/>
          </w:tcPr>
          <w:p>
            <w:r>
              <w:t>#8</w:t>
            </w:r>
          </w:p>
        </w:tc>
        <w:tc>
          <w:tcPr>
            <w:tcW w:type="dxa" w:w="900"/>
          </w:tcPr>
          <w:p>
            <w:r>
              <w:t>CHIP</w:t>
            </w:r>
          </w:p>
        </w:tc>
        <w:tc>
          <w:tcPr>
            <w:tcW w:type="dxa" w:w="2900"/>
          </w:tcPr>
          <w:p>
            <w:r>
              <w:t>Hyperliquid -&gt; Lighter</w:t>
            </w:r>
          </w:p>
        </w:tc>
        <w:tc>
          <w:tcPr>
            <w:tcW w:type="dxa" w:w="900"/>
          </w:tcPr>
          <w:p>
            <w:r>
              <w:t>4.77h</w:t>
            </w:r>
          </w:p>
        </w:tc>
        <w:tc>
          <w:tcPr>
            <w:tcW w:type="dxa" w:w="1600"/>
          </w:tcPr>
          <w:p>
            <w:r>
              <w:t>+0.022908</w:t>
            </w:r>
          </w:p>
        </w:tc>
        <w:tc>
          <w:tcPr>
            <w:tcW w:type="dxa" w:w="1600"/>
          </w:tcPr>
          <w:p>
            <w:r>
              <w:t>+0.030186</w:t>
            </w:r>
          </w:p>
        </w:tc>
      </w:tr>
      <w:tr>
        <w:tc>
          <w:tcPr>
            <w:tcW w:type="dxa" w:w="650"/>
          </w:tcPr>
          <w:p>
            <w:r>
              <w:t>#9</w:t>
            </w:r>
          </w:p>
        </w:tc>
        <w:tc>
          <w:tcPr>
            <w:tcW w:type="dxa" w:w="900"/>
          </w:tcPr>
          <w:p>
            <w:r>
              <w:t>XMR</w:t>
            </w:r>
          </w:p>
        </w:tc>
        <w:tc>
          <w:tcPr>
            <w:tcW w:type="dxa" w:w="2900"/>
          </w:tcPr>
          <w:p>
            <w:r>
              <w:t>Lighter -&gt; Hyperliquid</w:t>
            </w:r>
          </w:p>
        </w:tc>
        <w:tc>
          <w:tcPr>
            <w:tcW w:type="dxa" w:w="900"/>
          </w:tcPr>
          <w:p>
            <w:r>
              <w:t>4.02h</w:t>
            </w:r>
          </w:p>
        </w:tc>
        <w:tc>
          <w:tcPr>
            <w:tcW w:type="dxa" w:w="1600"/>
          </w:tcPr>
          <w:p>
            <w:r>
              <w:t>-0.001594</w:t>
            </w:r>
          </w:p>
        </w:tc>
        <w:tc>
          <w:tcPr>
            <w:tcW w:type="dxa" w:w="1600"/>
          </w:tcPr>
          <w:p>
            <w:r>
              <w:t>+0.008406</w:t>
            </w:r>
          </w:p>
        </w:tc>
      </w:tr>
    </w:tbl>
    <w:p>
      <w:pPr>
        <w:pStyle w:val="Heading1"/>
      </w:pPr>
      <w:r>
        <w:t>Return Calculation</w:t>
      </w:r>
    </w:p>
    <w:p>
      <w:r>
        <w:t>The closed-position sample generated 0.059237 USDC on 160 USDC of cumulative quote size. That equals approximately 0.0370% over 17.19 position-hours.</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c>
          <w:tcPr>
            <w:tcW w:type="dxa" w:w="9360"/>
            <w:vAlign w:val="center"/>
            <w:shd w:fill="F4F6F9"/>
          </w:tcPr>
          <w:p>
            <w:pPr>
              <w:spacing w:after="40"/>
            </w:pPr>
            <w:r/>
            <w:r>
              <w:rPr>
                <w:b/>
              </w:rPr>
              <w:t xml:space="preserve">Annualized estimate: </w:t>
            </w:r>
            <w:r>
              <w:t>0.0370% * 24 / 17.19 * 365 = approximately 18.9% APR. This is a rough run-rate, not a stable forward return estimate. The sample is still small and should be treated as an early signal.</w:t>
            </w:r>
          </w:p>
        </w:tc>
      </w:tr>
    </w:tbl>
    <w:tbl>
      <w:tblPr>
        <w:tblW w:type="dxa" w:w="9360"/>
        <w:jc w:val="left"/>
        <w:tblLayout w:type="fixed"/>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800"/>
        <w:gridCol w:w="2500"/>
        <w:gridCol w:w="2500"/>
        <w:gridCol w:w="2500"/>
      </w:tblGrid>
      <w:tr>
        <w:tc>
          <w:tcPr>
            <w:tcW w:type="dxa" w:w="1800"/>
            <w:vAlign w:val="center"/>
            <w:shd w:fill="F2F4F7"/>
          </w:tcPr>
          <w:p>
            <w:r>
              <w:rPr>
                <w:b/>
              </w:rPr>
              <w:t>Quote size</w:t>
            </w:r>
          </w:p>
        </w:tc>
        <w:tc>
          <w:tcPr>
            <w:tcW w:type="dxa" w:w="2500"/>
            <w:vAlign w:val="center"/>
            <w:shd w:fill="F2F4F7"/>
          </w:tcPr>
          <w:p>
            <w:r>
              <w:rPr>
                <w:b/>
              </w:rPr>
              <w:t>Estimated net PnL</w:t>
            </w:r>
          </w:p>
        </w:tc>
        <w:tc>
          <w:tcPr>
            <w:tcW w:type="dxa" w:w="2500"/>
            <w:vAlign w:val="center"/>
            <w:shd w:fill="F2F4F7"/>
          </w:tcPr>
          <w:p>
            <w:r>
              <w:rPr>
                <w:b/>
              </w:rPr>
              <w:t>Estimated funding PnL</w:t>
            </w:r>
          </w:p>
        </w:tc>
        <w:tc>
          <w:tcPr>
            <w:tcW w:type="dxa" w:w="2500"/>
            <w:vAlign w:val="center"/>
            <w:shd w:fill="F2F4F7"/>
          </w:tcPr>
          <w:p>
            <w:r>
              <w:rPr>
                <w:b/>
              </w:rPr>
              <w:t>Estimated price PnL</w:t>
            </w:r>
          </w:p>
        </w:tc>
      </w:tr>
      <w:tr>
        <w:tc>
          <w:tcPr>
            <w:tcW w:type="dxa" w:w="1800"/>
          </w:tcPr>
          <w:p>
            <w:r>
              <w:t>500 USDC</w:t>
            </w:r>
          </w:p>
        </w:tc>
        <w:tc>
          <w:tcPr>
            <w:tcW w:type="dxa" w:w="2500"/>
          </w:tcPr>
          <w:p>
            <w:r>
              <w:t>+0.185116 USDC</w:t>
            </w:r>
          </w:p>
        </w:tc>
        <w:tc>
          <w:tcPr>
            <w:tcW w:type="dxa" w:w="2500"/>
          </w:tcPr>
          <w:p>
            <w:r>
              <w:t>+0.178334 USDC</w:t>
            </w:r>
          </w:p>
        </w:tc>
        <w:tc>
          <w:tcPr>
            <w:tcW w:type="dxa" w:w="2500"/>
          </w:tcPr>
          <w:p>
            <w:r>
              <w:t>+0.006781 USDC</w:t>
            </w:r>
          </w:p>
        </w:tc>
      </w:tr>
      <w:tr>
        <w:tc>
          <w:tcPr>
            <w:tcW w:type="dxa" w:w="1800"/>
          </w:tcPr>
          <w:p>
            <w:r>
              <w:t>1000 USDC</w:t>
            </w:r>
          </w:p>
        </w:tc>
        <w:tc>
          <w:tcPr>
            <w:tcW w:type="dxa" w:w="2500"/>
          </w:tcPr>
          <w:p>
            <w:r>
              <w:t>+0.370231 USDC</w:t>
            </w:r>
          </w:p>
        </w:tc>
        <w:tc>
          <w:tcPr>
            <w:tcW w:type="dxa" w:w="2500"/>
          </w:tcPr>
          <w:p>
            <w:r>
              <w:t>+0.356669 USDC</w:t>
            </w:r>
          </w:p>
        </w:tc>
        <w:tc>
          <w:tcPr>
            <w:tcW w:type="dxa" w:w="2500"/>
          </w:tcPr>
          <w:p>
            <w:r>
              <w:t>+0.013562 USDC</w:t>
            </w:r>
          </w:p>
        </w:tc>
      </w:tr>
    </w:tbl>
    <w:p>
      <w:pPr>
        <w:pStyle w:val="Heading1"/>
      </w:pPr>
      <w:r>
        <w:t>Trade-Level Review</w:t>
      </w:r>
    </w:p>
    <w:p>
      <w:pPr>
        <w:pStyle w:val="ListBullet"/>
      </w:pPr>
      <w:r>
        <w:t>CHIP #6 earned positive funding but closed negative overall because price/basis movement outweighed the funding income.</w:t>
      </w:r>
    </w:p>
    <w:p>
      <w:pPr>
        <w:pStyle w:val="ListBullet"/>
      </w:pPr>
      <w:r>
        <w:t>HYPE #7 delivered the largest net gain, but most of that gain came from price PnL rather than funding. It is a useful positive result but should not be treated as the core edge.</w:t>
      </w:r>
    </w:p>
    <w:p>
      <w:pPr>
        <w:pStyle w:val="ListBullet"/>
      </w:pPr>
      <w:r>
        <w:t>CHIP #8 was the cleanest example of the strategy working as intended: funding was positive and large enough to offset a small negative price component.</w:t>
      </w:r>
    </w:p>
    <w:p>
      <w:pPr>
        <w:pStyle w:val="ListBullet"/>
      </w:pPr>
      <w:r>
        <w:t>XMR #9 was close to flat: funding was positive, but price/basis movement absorbed most of the edge.</w:t>
      </w:r>
    </w:p>
    <w:p>
      <w:pPr>
        <w:pStyle w:val="Heading1"/>
      </w:pPr>
      <w:r>
        <w:t>Interpretation</w:t>
      </w:r>
    </w:p>
    <w:p>
      <w:r>
        <w:t>The main conclusion is that the bot is not merely producing random rotation output: funding is being captured and recorded. The total funding PnL is positive across all closed positions, and it accounts for nearly all of the total net PnL in this test window.</w:t>
      </w:r>
    </w:p>
    <w:p>
      <w:r>
        <w:t>The primary risk visible in this sample is price leakage: even when the strategy is hedged, differences between venues, spread, execution, fees, and basis movement can reduce or fully offset funding income. This makes rotation discipline important. If the bot rotates too frequently, the funding edge may not have enough time to overcome entry and exit friction.</w:t>
      </w:r>
    </w:p>
    <w:p>
      <w:pPr>
        <w:pStyle w:val="Heading1"/>
      </w:pPr>
      <w:r>
        <w:t>Recommended Next Steps</w:t>
      </w:r>
    </w:p>
    <w:p>
      <w:pPr>
        <w:pStyle w:val="ListNumber"/>
      </w:pPr>
      <w:r>
        <w:t>Continue running the bot for at least 2-3 full days to collect a larger sample of closed positions.</w:t>
      </w:r>
    </w:p>
    <w:p>
      <w:pPr>
        <w:pStyle w:val="ListNumber"/>
      </w:pPr>
      <w:r>
        <w:t>Track funding PnL and price PnL separately after every exit.</w:t>
      </w:r>
    </w:p>
    <w:p>
      <w:pPr>
        <w:pStyle w:val="ListNumber"/>
      </w:pPr>
      <w:r>
        <w:t>Review which assets repeatedly lose to price/basis movement and consider excluding or penalizing them.</w:t>
      </w:r>
    </w:p>
    <w:p>
      <w:pPr>
        <w:pStyle w:val="ListNumber"/>
      </w:pPr>
      <w:r>
        <w:t>Keep quote size conservative until the sample includes at least 10-20 closed positions.</w:t>
      </w:r>
    </w:p>
    <w:p>
      <w:pPr>
        <w:pStyle w:val="ListNumber"/>
      </w:pPr>
      <w:r>
        <w:t>Evaluate annualized return only after a larger sample, because 4 closed positions are not enough to prove stable APR.</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libri" w:hAnsi="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Calibri" w:hAnsi="Calibri"/>
      <w:i/>
      <w:iCs/>
      <w:color w:val="55555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