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sidR="0071274F">
          <w:rPr>
            <w:rStyle w:val="Hyperlink"/>
            <w:noProof/>
          </w:rPr>
          <w:t>Foreword</w:t>
        </w:r>
        <w:r w:rsidR="0071274F">
          <w:rPr>
            <w:rStyle w:val="msotoctextspan1"/>
            <w:noProof/>
            <w:webHidden w:val="0"/>
          </w:rPr>
          <w:t xml:space="preserve"> </w:t>
        </w:r>
        <w:r w:rsidR="0071274F">
          <w:rPr>
            <w:rStyle w:val="msotoctextspan1"/>
            <w:noProof/>
            <w:webHidden w:val="0"/>
          </w:rPr>
          <w:tab/>
          <w:t xml:space="preserve"> </w:t>
        </w:r>
        <w:r w:rsidR="0071274F">
          <w:rPr>
            <w:rStyle w:val="msotoctextspan1"/>
            <w:noProof/>
            <w:webHidden w:val="0"/>
          </w:rPr>
          <w:fldChar w:fldCharType="begin"/>
        </w:r>
        <w:r w:rsidR="0071274F">
          <w:rPr>
            <w:rStyle w:val="msotoctextspan1"/>
            <w:noProof/>
            <w:webHidden w:val="0"/>
          </w:rPr>
          <w:instrText xml:space="preserve">PAGEREF _Toc599452943 \h </w:instrText>
        </w:r>
        <w:r w:rsidR="0071274F">
          <w:rPr>
            <w:rStyle w:val="msotoctextspan1"/>
            <w:noProof/>
          </w:rPr>
        </w:r>
        <w:r w:rsidR="0071274F">
          <w:rPr>
            <w:rStyle w:val="msotoctextspan1"/>
            <w:noProof/>
            <w:webHidden w:val="0"/>
          </w:rPr>
          <w:fldChar w:fldCharType="separate"/>
        </w:r>
        <w:r w:rsidR="0071274F">
          <w:rPr>
            <w:rStyle w:val="msotoctextspan1"/>
            <w:noProof/>
            <w:webHidden w:val="0"/>
          </w:rPr>
          <w:t>1</w:t>
        </w:r>
        <w:r w:rsidR="0071274F">
          <w:rPr>
            <w:rStyle w:val="Hyperlink"/>
            <w:noProof/>
          </w:rPr>
          <w:t xml:space="preserve"> </w:t>
        </w:r>
        <w:r w:rsidR="0071274F">
          <w:rPr>
            <w:rStyle w:val="msotoctextspan1"/>
            <w:noProof/>
            <w:webHidden w:val="0"/>
          </w:rPr>
          <w:fldChar w:fldCharType="end"/>
        </w:r>
      </w:hyperlink>
    </w:p>
    <w:p w14:paraId="55E5752F" w14:textId="77777777" w:rsidR="0071274F" w:rsidRDefault="0071274F">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_Toc701633481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ECD787E" w14:textId="77777777" w:rsidR="0071274F" w:rsidRDefault="0071274F">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_Toc282109944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0B94739C" w14:textId="77777777" w:rsidR="0071274F" w:rsidRDefault="0071274F">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_Toc898784453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923E87C" w14:textId="77777777" w:rsidR="0071274F" w:rsidRDefault="0071274F">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_Toc473039297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19ABB75" w14:textId="77777777" w:rsidR="0071274F" w:rsidRDefault="0071274F">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_Toc28066547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8164C40" w14:textId="77777777" w:rsidR="0071274F" w:rsidRDefault="0071274F">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_Toc968492801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4A77F76F" w14:textId="77777777" w:rsidR="0071274F" w:rsidRDefault="0071274F">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_Toc895126712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75C4266" w14:textId="77777777" w:rsidR="0071274F" w:rsidRDefault="0071274F">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_Toc923540835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96C4488" w14:textId="77777777" w:rsidR="0071274F" w:rsidRDefault="0071274F">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_Toc499676752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98DEA73" w14:textId="77777777" w:rsidR="0071274F" w:rsidRDefault="0071274F">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_Toc249894980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14681DD7" w14:textId="77777777" w:rsidR="0071274F" w:rsidRDefault="0071274F">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_Toc284801050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94D6F55" w14:textId="77777777" w:rsidR="0071274F" w:rsidRDefault="0071274F">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_Toc558659909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AB512DB" w14:textId="77777777" w:rsidR="0071274F" w:rsidRDefault="0071274F">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_Toc304904116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FA12283" w14:textId="77777777" w:rsidR="0071274F" w:rsidRDefault="0071274F">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_Toc155084637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63B5FC51" w14:textId="77777777" w:rsidR="0071274F" w:rsidRDefault="0071274F">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_Toc579921351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79D8B83" w14:textId="77777777" w:rsidR="0071274F" w:rsidRDefault="0071274F">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_Toc543037814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1FE037F" w14:textId="77777777" w:rsidR="0071274F" w:rsidRDefault="0071274F">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_Toc505356718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18D8EFFD" w14:textId="77777777" w:rsidR="0071274F" w:rsidRDefault="0071274F">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_Toc168951716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57B7003" w14:textId="77777777" w:rsidR="0071274F" w:rsidRDefault="0071274F">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_Toc304590963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B84F848" w14:textId="77777777" w:rsidR="0071274F" w:rsidRDefault="0071274F">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_Toc296241149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735D027" w14:textId="77777777" w:rsidR="0071274F" w:rsidRDefault="0071274F">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_Toc262465726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67F3486" w14:textId="77777777" w:rsidR="0071274F" w:rsidRDefault="0071274F">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_Toc780046913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sidR="0071274F">
          <w:rPr>
            <w:rStyle w:val="Hyperlink"/>
          </w:rPr>
          <w:t>Annex A</w:t>
        </w:r>
      </w:hyperlink>
      <w:r>
        <w:t xml:space="preserve"> and shown in </w:t>
      </w:r>
      <w:hyperlink w:history="1">
        <w:r w:rsidR="0071274F">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sidR="0071274F">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sidR="0071274F">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sidR="0071274F">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sidR="0071274F">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sidR="0071274F">
          <w:rPr>
            <w:rStyle w:val="Hyperlink"/>
          </w:rPr>
          <w:t>3.1</w:t>
        </w:r>
      </w:hyperlink>
      <w:r>
        <w:t>) from which the husk only has been removed</w:t>
      </w:r>
    </w:p>
    <w:p w14:paraId="562BAC25" w14:textId="5633A523" w:rsidR="0071274F" w:rsidRDefault="00000000">
      <w:r>
        <w:t xml:space="preserve">[SOURCE: </w:t>
      </w:r>
      <w:hyperlink w:history="1">
        <w:r w:rsidR="0071274F">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sidR="0071274F">
          <w:rPr>
            <w:rStyle w:val="Hyperlink"/>
          </w:rPr>
          <w:t>3.2</w:t>
        </w:r>
      </w:hyperlink>
      <w:r>
        <w:t>) from which almost all of the bran and embryo have been removed by milling</w:t>
      </w:r>
    </w:p>
    <w:p w14:paraId="21811310" w14:textId="5FA94EA7" w:rsidR="0071274F" w:rsidRDefault="00000000">
      <w:r>
        <w:t xml:space="preserve">[SOURCE: </w:t>
      </w:r>
      <w:hyperlink w:history="1">
        <w:r w:rsidR="0071274F">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sidR="0071274F">
          <w:rPr>
            <w:rStyle w:val="Hyperlink"/>
          </w:rPr>
          <w:t>3.1</w:t>
        </w:r>
      </w:hyperlink>
      <w:r>
        <w:t xml:space="preserve">) rice or </w:t>
      </w:r>
      <w:r>
        <w:rPr>
          <w:i/>
          <w:iCs/>
        </w:rPr>
        <w:t>husked rice</w:t>
      </w:r>
      <w:r>
        <w:t xml:space="preserve"> (</w:t>
      </w:r>
      <w:hyperlink w:history="1">
        <w:r w:rsidR="0071274F">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sidR="0071274F">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sidR="0071274F">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sidR="0071274F">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sidR="0071274F">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sidR="0071274F">
          <w:rPr>
            <w:rStyle w:val="Hyperlink"/>
          </w:rPr>
          <w:t>Figure C.1</w:t>
        </w:r>
      </w:hyperlink>
      <w:r>
        <w:t>.</w:t>
      </w:r>
    </w:p>
    <w:p w14:paraId="13E923E2" w14:textId="38499F59" w:rsidR="0071274F" w:rsidRDefault="00000000">
      <w:r>
        <w:t xml:space="preserve">[SOURCE: </w:t>
      </w:r>
      <w:hyperlink w:history="1">
        <w:r w:rsidR="0071274F">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sidR="0071274F">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sidR="0071274F">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sidR="0071274F">
          <w:rPr>
            <w:rStyle w:val="Hyperlink"/>
          </w:rPr>
          <w:t>3.14</w:t>
        </w:r>
      </w:hyperlink>
      <w:r>
        <w:t>)</w:t>
      </w:r>
    </w:p>
    <w:p w14:paraId="460C6EB0" w14:textId="3D952962" w:rsidR="0071274F" w:rsidRDefault="00000000">
      <w:r>
        <w:t xml:space="preserve">[SOURCE: </w:t>
      </w:r>
      <w:hyperlink w:history="1">
        <w:r w:rsidR="0071274F">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sidR="0071274F">
          <w:rPr>
            <w:rStyle w:val="Hyperlink"/>
          </w:rPr>
          <w:t>ISO 712</w:t>
        </w:r>
      </w:hyperlink>
      <w:r>
        <w:t xml:space="preserve">, using an oven complying with the requirements of </w:t>
      </w:r>
      <w:hyperlink w:history="1">
        <w:r w:rsidR="0071274F">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sidR="0071274F">
          <w:rPr>
            <w:rStyle w:val="Hyperlink"/>
          </w:rPr>
          <w:t>Annex A</w:t>
        </w:r>
      </w:hyperlink>
      <w:r>
        <w:t xml:space="preserve">, shall not be greater than the values specified in </w:t>
      </w:r>
      <w:hyperlink w:history="1">
        <w:r w:rsidR="0071274F">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sidR="0071274F">
          <w:rPr>
            <w:rStyle w:val="Hyperlink"/>
          </w:rPr>
          <w:t>ISO 6322-1</w:t>
        </w:r>
      </w:hyperlink>
      <w:r>
        <w:t xml:space="preserve">, </w:t>
      </w:r>
      <w:hyperlink w:history="1">
        <w:r w:rsidR="0071274F">
          <w:rPr>
            <w:rStyle w:val="Hyperlink"/>
          </w:rPr>
          <w:t>ISO 6322-2</w:t>
        </w:r>
      </w:hyperlink>
      <w:r>
        <w:t xml:space="preserve"> and </w:t>
      </w:r>
      <w:hyperlink w:history="1">
        <w:r w:rsidR="0071274F">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sidR="0071274F">
          <w:rPr>
            <w:rStyle w:val="Hyperlink"/>
          </w:rPr>
          <w:t>Annex A</w:t>
        </w:r>
      </w:hyperlink>
      <w:r>
        <w:t xml:space="preserve">, shall not exceed the limits given in </w:t>
      </w:r>
      <w:hyperlink w:history="1">
        <w:r w:rsidR="0071274F">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sidR="0071274F">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sidR="0071274F">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sidR="0071274F">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sidR="0071274F">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sidR="0071274F">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sidR="0071274F">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sidR="0071274F">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sidR="0071274F">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sidR="0071274F">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sidR="0071274F">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sidR="0071274F">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sidR="0071274F">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sidR="0071274F">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sidR="0071274F">
          <w:rPr>
            <w:rStyle w:val="Hyperlink"/>
          </w:rPr>
          <w:t>ISO 16634</w:t>
        </w:r>
      </w:hyperlink>
      <w:r>
        <w:t xml:space="preserve">, Clause 9, or </w:t>
      </w:r>
      <w:hyperlink w:history="1">
        <w:r w:rsidR="0071274F">
          <w:rPr>
            <w:rStyle w:val="Hyperlink"/>
          </w:rPr>
          <w:t>ISO 20483</w:t>
        </w:r>
      </w:hyperlink>
      <w:r>
        <w:t xml:space="preserve">. For details on the determination of protein content using the Kjeldahl method, see Reference </w:t>
      </w:r>
      <w:hyperlink w:history="1">
        <w:r w:rsidR="0071274F">
          <w:rPr>
            <w:rStyle w:val="Hyperlink"/>
          </w:rPr>
          <w:t>[12]</w:t>
        </w:r>
      </w:hyperlink>
      <w:r>
        <w:t xml:space="preserve"> in the Bibliography. For details concerning the use of the Dumas method, see References </w:t>
      </w:r>
      <w:hyperlink w:history="1">
        <w:r w:rsidR="0071274F">
          <w:rPr>
            <w:rStyle w:val="Hyperlink"/>
          </w:rPr>
          <w:t>[10]</w:t>
        </w:r>
      </w:hyperlink>
      <w:r>
        <w:t xml:space="preserve"> and </w:t>
      </w:r>
      <w:hyperlink w:history="1">
        <w:r w:rsidR="0071274F">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sidR="0071274F">
          <w:rPr>
            <w:rStyle w:val="Hyperlink"/>
          </w:rPr>
          <w:t>ISO 20483</w:t>
        </w:r>
      </w:hyperlink>
      <w:r>
        <w:t xml:space="preserve">, Annex C and Table C.1, that is adapted to the type of cereals or pulses </w:t>
      </w:r>
      <w:hyperlink w:history="1">
        <w:r w:rsidR="0071274F">
          <w:rPr>
            <w:rStyle w:val="Hyperlink"/>
            <w:vertAlign w:val="superscript"/>
          </w:rPr>
          <w:t>[13]</w:t>
        </w:r>
      </w:hyperlink>
      <w:hyperlink w:history="1">
        <w:r w:rsidR="0071274F">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sidR="0071274F">
          <w:rPr>
            <w:rStyle w:val="Hyperlink"/>
          </w:rPr>
          <w:t>Figure C.1</w:t>
        </w:r>
      </w:hyperlink>
      <w:r>
        <w:t xml:space="preserve">. Three typical stages of gelatinization are shown in </w:t>
      </w:r>
      <w:hyperlink w:history="1">
        <w:r w:rsidR="0071274F">
          <w:rPr>
            <w:rStyle w:val="Hyperlink"/>
          </w:rPr>
          <w:t>Figure C.2</w:t>
        </w:r>
      </w:hyperlink>
      <w:r>
        <w:t>.</w:t>
      </w:r>
    </w:p>
    <w:p w14:paraId="6D94EE79" w14:textId="27F49F13" w:rsidR="0071274F" w:rsidRDefault="00000000">
      <w:r>
        <w:lastRenderedPageBreak/>
        <w:t xml:space="preserve">Report the results as specified in </w:t>
      </w:r>
      <w:hyperlink w:history="1">
        <w:r w:rsidR="0071274F">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sidR="0071274F">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sidR="0071274F">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sidR="0071274F">
          <w:rPr>
            <w:rStyle w:val="Hyperlink"/>
          </w:rPr>
          <w:t>ISO8531-1</w:t>
        </w:r>
      </w:hyperlink>
      <w:r>
        <w:t xml:space="preserve">, Clause 9, or </w:t>
      </w:r>
      <w:hyperlink w:history="1">
        <w:r w:rsidR="0071274F">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sidR="0071274F">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sidR="0071274F">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sidR="0071274F">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254FB5">
        <w:rPr>
          <w:rFonts w:ascii="Times New Roman" w:hAnsi="Times New Roman" w:cs="Times New Roman"/>
          <w:noProof/>
          <w:sz w:val="24"/>
          <w:szCs w:val="24"/>
          <w:lang w:val="en-US"/>
        </w:rPr>
        <w:pict w14:anchorId="539C541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254FB5" w:rsidRPr="00254FB5">
        <w:rPr>
          <w:rFonts w:ascii="Times New Roman" w:hAnsi="Times New Roman" w:cs="Times New Roman"/>
          <w:noProof/>
          <w:sz w:val="24"/>
          <w:szCs w:val="24"/>
          <w:lang w:val="en-US"/>
        </w:rPr>
        <w:pict w14:anchorId="52F9D33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sidR="0071274F">
          <w:rPr>
            <w:rStyle w:val="Hyperlink"/>
          </w:rPr>
          <w:t>A.4.1</w:t>
        </w:r>
      </w:hyperlink>
      <w:r>
        <w:t xml:space="preserve"> and separate the different defects into the bowls (</w:t>
      </w:r>
      <w:hyperlink w:history="1">
        <w:r w:rsidR="0071274F">
          <w:rPr>
            <w:rStyle w:val="Hyperlink"/>
          </w:rPr>
          <w:t>A.2.6</w:t>
        </w:r>
      </w:hyperlink>
      <w:r>
        <w:t xml:space="preserve">). When a kernel has several defects, classify it in the defect category for which the maximum permissible value is the lowest (see </w:t>
      </w:r>
      <w:hyperlink w:history="1">
        <w:r w:rsidR="0071274F">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sidR="0071274F">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sidR="0071274F">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sidR="0071274F">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sidR="0071274F">
          <w:rPr>
            <w:rStyle w:val="Hyperlink"/>
          </w:rPr>
          <w:t>B.3.2</w:t>
        </w:r>
      </w:hyperlink>
      <w:r>
        <w:t>) two times (by volume) with deionized water (</w:t>
      </w:r>
      <w:hyperlink w:history="1">
        <w:r w:rsidR="0071274F">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sidR="0071274F">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sidR="0071274F">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sidR="0071274F">
          <w:rPr>
            <w:rStyle w:val="Hyperlink"/>
          </w:rPr>
          <w:t>B.3.3</w:t>
        </w:r>
      </w:hyperlink>
      <w:r>
        <w:t>) to soak the kernels, and stir (</w:t>
      </w:r>
      <w:hyperlink w:history="1">
        <w:r w:rsidR="0071274F">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sidR="0071274F">
          <w:rPr>
            <w:rStyle w:val="Hyperlink"/>
          </w:rPr>
          <w:t>B.2.4</w:t>
        </w:r>
      </w:hyperlink>
      <w:r>
        <w:t>), and shake the basket slightly in order to drain out the solution. Then place the wire sieve on a piece of tissue paper (</w:t>
      </w:r>
      <w:hyperlink w:history="1">
        <w:r w:rsidR="0071274F">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sidR="0071274F">
          <w:rPr>
            <w:rStyle w:val="Hyperlink"/>
          </w:rPr>
          <w:t>B.2.3</w:t>
        </w:r>
      </w:hyperlink>
      <w:r>
        <w:t>). Using tweezers or forceps (</w:t>
      </w:r>
      <w:hyperlink w:history="1">
        <w:r w:rsidR="0071274F">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sidR="0071274F">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sidR="0071274F">
          <w:rPr>
            <w:rStyle w:val="Hyperlink"/>
          </w:rPr>
          <w:t>Clause 7</w:t>
        </w:r>
      </w:hyperlink>
      <w:r>
        <w:t>, giving the results calculated using Formula (</w:t>
      </w:r>
      <w:hyperlink w:history="1">
        <w:r w:rsidR="0071274F">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71274F">
      <w:hyperlink w:history="1">
        <w:r>
          <w:rPr>
            <w:rStyle w:val="Hyperlink"/>
          </w:rPr>
          <w:t>Figure C.1</w:t>
        </w:r>
      </w:hyperlink>
      <w:r w:rsidR="00000000">
        <w:t xml:space="preserve"> gives an example of a typical gelatinization curve. </w:t>
      </w:r>
      <w:hyperlink w:history="1">
        <w:r>
          <w:rPr>
            <w:rStyle w:val="Hyperlink"/>
          </w:rPr>
          <w:t>Figure C.2</w:t>
        </w:r>
      </w:hyperlink>
      <w:r w:rsidR="00000000">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254FB5" w:rsidRPr="00254FB5">
        <w:rPr>
          <w:rFonts w:ascii="Times New Roman" w:hAnsi="Times New Roman" w:cs="Times New Roman"/>
          <w:noProof/>
          <w:sz w:val="24"/>
          <w:szCs w:val="24"/>
          <w:lang w:val="en-US"/>
        </w:rPr>
        <w:pict w14:anchorId="3064BF3F">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254FB5" w:rsidRPr="00254FB5">
        <w:rPr>
          <w:rFonts w:ascii="Times New Roman" w:hAnsi="Times New Roman" w:cs="Times New Roman"/>
          <w:noProof/>
          <w:sz w:val="24"/>
          <w:szCs w:val="24"/>
          <w:lang w:val="en-US"/>
        </w:rPr>
        <w:pict w14:anchorId="10A1811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254FB5" w:rsidRPr="00254FB5">
        <w:rPr>
          <w:rFonts w:ascii="Times New Roman" w:hAnsi="Times New Roman" w:cs="Times New Roman"/>
          <w:noProof/>
          <w:sz w:val="24"/>
          <w:szCs w:val="24"/>
          <w:lang w:val="en-US"/>
        </w:rPr>
        <w:pict w14:anchorId="637676DD">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254FB5" w:rsidRPr="00254FB5">
        <w:rPr>
          <w:rFonts w:ascii="Times New Roman" w:hAnsi="Times New Roman" w:cs="Times New Roman"/>
          <w:noProof/>
          <w:sz w:val="24"/>
          <w:szCs w:val="24"/>
          <w:lang w:val="en-US"/>
        </w:rPr>
        <w:pict w14:anchorId="4B6B72AE">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sidR="0071274F">
          <w:rPr>
            <w:rStyle w:val="Hyperlink"/>
          </w:rPr>
          <w:t>[15]</w:t>
        </w:r>
      </w:hyperlink>
      <w:r>
        <w:t xml:space="preserve"> was carried out by the ENR [Rice Research Centre (Italy)] in accordance with </w:t>
      </w:r>
      <w:hyperlink w:history="1">
        <w:r w:rsidR="0071274F">
          <w:rPr>
            <w:rStyle w:val="Hyperlink"/>
          </w:rPr>
          <w:t>ISO 5725-1</w:t>
        </w:r>
      </w:hyperlink>
      <w:r>
        <w:t xml:space="preserve"> and </w:t>
      </w:r>
      <w:hyperlink w:history="1">
        <w:r w:rsidR="0071274F">
          <w:rPr>
            <w:rStyle w:val="Hyperlink"/>
          </w:rPr>
          <w:t>ISO 5725-2</w:t>
        </w:r>
      </w:hyperlink>
      <w:r>
        <w:t xml:space="preserve">, with the participation of 15 laboratories. Each laboratory carried out three determinations on four different types of kernel. The statistical results are shown in </w:t>
      </w:r>
      <w:hyperlink w:history="1">
        <w:r w:rsidR="0071274F">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sidR="0071274F">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sidR="0071274F">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FF16" w14:textId="77777777" w:rsidR="00254FB5" w:rsidRDefault="00254FB5">
      <w:pPr>
        <w:spacing w:after="0" w:line="240" w:lineRule="auto"/>
      </w:pPr>
    </w:p>
  </w:endnote>
  <w:endnote w:type="continuationSeparator" w:id="0">
    <w:p w14:paraId="09F1A110" w14:textId="77777777" w:rsidR="00254FB5" w:rsidRDefault="00254F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C735" w14:textId="77777777" w:rsidR="00254FB5" w:rsidRDefault="00254FB5">
      <w:pPr>
        <w:spacing w:after="0" w:line="240" w:lineRule="auto"/>
      </w:pPr>
    </w:p>
  </w:footnote>
  <w:footnote w:type="continuationSeparator" w:id="0">
    <w:p w14:paraId="46F203CF" w14:textId="77777777" w:rsidR="00254FB5" w:rsidRDefault="00254FB5">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254FB5"/>
    <w:rsid w:val="005C017F"/>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4615</Words>
  <Characters>26309</Characters>
  <Application>Microsoft Office Word</Application>
  <DocSecurity>0</DocSecurity>
  <Lines>219</Lines>
  <Paragraphs>61</Paragraphs>
  <ScaleCrop>false</ScaleCrop>
  <Company/>
  <LinksUpToDate>false</LinksUpToDate>
  <CharactersWithSpaces>30863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2026-04-30T07:47:00Z</dcterms:modified>
</cp:coreProperties>
</file>