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AC78A986" w14:textId="77777777" w:rsidR="00F34F5E" w:rsidRDefault="00000000">
      <w:pPr>
        <w:pStyle w:val="Heading1"/>
      </w:pPr>
      <w:r>
        <w:t>Executive Summary</w:t>
      </w:r>
    </w:p>
    <w:p w14:paraId="1653820C" w14:textId="77777777" w:rsidR="00F34F5E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B14E0351" w14:textId="77777777" w:rsidR="00F34F5E" w:rsidRDefault="00000000">
      <w:r>
        <w:t>Key achievements include expanding to three new markets and launching two new product lines.</w:t>
      </w:r>
    </w:p>
    <w:p w14:paraId="C830A67D" w14:textId="77777777" w:rsidR="00F34F5E" w:rsidRDefault="00000000">
      <w:pPr>
        <w:pStyle w:val="Heading1"/>
      </w:pPr>
      <w:r>
        <w:t>Financial Analysis</w:t>
      </w:r>
    </w:p>
    <w:p w14:paraId="9A0B8D26" w14:textId="77777777" w:rsidR="00F34F5E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2026-05-28T22:51:32+08:00</dcterms:created>
  <dcterms:modified xsi:type="dcterms:W3CDTF">2026-05-28T14:51:32Z</dcterms:modified>
</cp:coreProperties>
</file>