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0"/>
        <w:rPr/>
      </w:pPr>
      <w:r>
        <w:rPr/>
        <w:t>Trade Log</w:t>
      </w:r>
    </w:p>
    <w:p>
      <w:pPr>
        <w:pStyle w:val="Heading2"/>
        <w:spacing w:before="240" w:after="0"/>
        <w:rPr/>
      </w:pPr>
      <w:r>
        <w:rPr/>
        <w:t>view in Book Mode in Libre Office</w:t>
      </w:r>
    </w:p>
    <w:p>
      <w:pPr>
        <w:pStyle w:val="Heading2"/>
        <w:spacing w:before="240" w:after="0"/>
        <w:rPr/>
      </w:pPr>
      <w:r>
        <w:rPr/>
        <w:t>zoom out to see both pages at once.</w:t>
      </w:r>
    </w:p>
    <w:p>
      <w:pPr>
        <w:pStyle w:val="Heading2"/>
        <w:spacing w:before="240" w:after="0"/>
        <w:rPr/>
      </w:pPr>
      <w:r>
        <w:rPr/>
      </w:r>
      <w:r>
        <w:br w:type="page"/>
      </w:r>
    </w:p>
    <w:p>
      <w:pPr>
        <w:pStyle w:val="Heading2"/>
        <w:spacing w:before="240" w:after="0"/>
        <w:rPr/>
      </w:pPr>
      <w:r>
        <w:rPr/>
        <w:t>3/28/17 9:30am</w:t>
      </w:r>
    </w:p>
    <w:p>
      <w:pPr>
        <w:pStyle w:val="Heading2"/>
        <w:spacing w:before="240" w:after="0"/>
        <w:jc w:val="right"/>
        <w:rPr/>
      </w:pPr>
      <w:r>
        <w:rPr/>
        <w:t xml:space="preserve">    </w:t>
      </w:r>
      <w:r>
        <w:rPr/>
        <w:t>208:DEBUG:root:BTC_GNT Sell trade activity detected at index 3 of 9</w:t>
      </w:r>
    </w:p>
    <w:p>
      <w:pPr>
        <w:pStyle w:val="Heading2"/>
        <w:spacing w:before="240" w:after="0"/>
        <w:jc w:val="right"/>
        <w:rPr/>
      </w:pPr>
      <w:r>
        <w:rPr/>
        <w:t xml:space="preserve">    </w:t>
      </w:r>
      <w:r>
        <w:rPr/>
        <w:t>455:DEBUG:root:BTC_GNT Buy trade activity detected at index 6 of 9</w:t>
      </w:r>
    </w:p>
    <w:p>
      <w:pPr>
        <w:pStyle w:val="Heading2"/>
        <w:spacing w:before="240" w:after="0"/>
        <w:jc w:val="right"/>
        <w:rPr/>
      </w:pPr>
      <w:r>
        <w:rPr/>
        <w:t xml:space="preserve">    </w:t>
      </w:r>
      <w:r>
        <w:rPr/>
        <w:t>625:DEBUG:root:</w:t>
      </w:r>
      <w:r>
        <w:rPr>
          <w:b/>
          <w:bCs/>
        </w:rPr>
        <w:t>No</w:t>
      </w:r>
      <w:r>
        <w:rPr/>
        <w:t xml:space="preserve"> BTC_STRAT sell trade activity detected from 0 to 9</w:t>
      </w:r>
    </w:p>
    <w:p>
      <w:pPr>
        <w:pStyle w:val="Heading2"/>
        <w:spacing w:before="240" w:after="0"/>
        <w:jc w:val="right"/>
        <w:rPr/>
      </w:pPr>
      <w:r>
        <w:rPr/>
        <w:t xml:space="preserve">    </w:t>
      </w:r>
      <w:r>
        <w:rPr/>
        <w:t>649:DEBUG:root:BTC_STRAT Buy trade activity detected at index 9 of 9</w:t>
      </w:r>
    </w:p>
    <w:p>
      <w:pPr>
        <w:pStyle w:val="Heading2"/>
        <w:spacing w:before="240" w:after="0"/>
        <w:jc w:val="right"/>
        <w:rPr/>
      </w:pPr>
      <w:r>
        <w:rPr/>
        <w:t xml:space="preserve">    </w:t>
      </w:r>
      <w:r>
        <w:rPr/>
        <w:t>965:DEBUG:root:BTC_XEM Sell trade activity detected at index 0 of 9</w:t>
      </w:r>
    </w:p>
    <w:p>
      <w:pPr>
        <w:pStyle w:val="Heading2"/>
        <w:spacing w:before="240" w:after="0"/>
        <w:jc w:val="right"/>
        <w:rPr/>
      </w:pPr>
      <w:r>
        <w:rPr/>
        <w:t xml:space="preserve">   </w:t>
      </w:r>
      <w:r>
        <w:rPr/>
        <w:t>1271:DEBUG:root:</w:t>
      </w:r>
      <w:r>
        <w:rPr>
          <w:b/>
          <w:bCs/>
        </w:rPr>
        <w:t>No</w:t>
      </w:r>
      <w:r>
        <w:rPr/>
        <w:t xml:space="preserve"> BTC_XEM buy trade activity detected from 0 to 9</w:t>
      </w:r>
    </w:p>
    <w:p>
      <w:pPr>
        <w:pStyle w:val="Heading2"/>
        <w:spacing w:before="240" w:after="0"/>
        <w:jc w:val="right"/>
        <w:rPr/>
      </w:pPr>
      <w:r>
        <w:rPr/>
        <w:t xml:space="preserve">   </w:t>
      </w:r>
      <w:r>
        <w:rPr/>
        <w:t>1397:DEBUG:root:BTC_GAME Sell trade activity detected at index 0 of 9</w:t>
      </w:r>
    </w:p>
    <w:p>
      <w:pPr>
        <w:pStyle w:val="Heading2"/>
        <w:spacing w:before="240" w:after="0"/>
        <w:jc w:val="right"/>
        <w:rPr/>
      </w:pPr>
      <w:r>
        <w:rPr/>
        <w:t xml:space="preserve">   </w:t>
      </w:r>
      <w:r>
        <w:rPr/>
        <w:t>1733:DEBUG:root:BTC_GAME Buy trade activity detected at index 0 of 9</w:t>
      </w:r>
    </w:p>
    <w:p>
      <w:pPr>
        <w:pStyle w:val="Heading2"/>
        <w:spacing w:before="240" w:after="0"/>
        <w:jc w:val="right"/>
        <w:rPr/>
      </w:pPr>
      <w:r>
        <w:rPr/>
        <w:t xml:space="preserve">   </w:t>
      </w:r>
      <w:r>
        <w:rPr/>
        <w:t>1837:DEBUG:root:No BTC_MAID sell trade activity detected from 0 to 9</w:t>
      </w:r>
    </w:p>
    <w:p>
      <w:pPr>
        <w:pStyle w:val="Heading2"/>
        <w:spacing w:before="240" w:after="0"/>
        <w:jc w:val="right"/>
        <w:rPr/>
      </w:pPr>
      <w:r>
        <w:rPr/>
        <w:t xml:space="preserve">   </w:t>
      </w:r>
      <w:r>
        <w:rPr/>
        <w:t>1929:DEBUG:root:No BTC_MAID buy trade activity detected from 0 to 9</w:t>
      </w:r>
    </w:p>
    <w:p>
      <w:pPr>
        <w:pStyle w:val="Heading2"/>
        <w:spacing w:before="240" w:after="0"/>
        <w:jc w:val="right"/>
        <w:rPr/>
      </w:pPr>
      <w:r>
        <w:rPr/>
      </w:r>
    </w:p>
    <w:p>
      <w:pPr>
        <w:pStyle w:val="Heading2"/>
        <w:spacing w:before="240" w:after="0"/>
        <w:jc w:val="left"/>
        <w:rPr/>
      </w:pPr>
      <w:r>
        <w:rPr/>
        <w:t>ANALYSIS</w:t>
      </w:r>
    </w:p>
    <w:p>
      <w:pPr>
        <w:pStyle w:val="Heading2"/>
        <w:numPr>
          <w:ilvl w:val="0"/>
          <w:numId w:val="2"/>
        </w:numPr>
        <w:spacing w:before="240" w:after="0"/>
        <w:jc w:val="left"/>
        <w:rPr/>
      </w:pPr>
      <w:r>
        <w:rPr/>
        <w:t>4 of 10 BTC_GNT sell orders closed. Next sell grid will show 6 indices. Buy grid elevates.</w:t>
      </w:r>
    </w:p>
    <w:p>
      <w:pPr>
        <w:pStyle w:val="Heading2"/>
        <w:numPr>
          <w:ilvl w:val="0"/>
          <w:numId w:val="2"/>
        </w:numPr>
        <w:spacing w:before="240" w:after="0"/>
        <w:jc w:val="left"/>
        <w:rPr/>
      </w:pPr>
      <w:r>
        <w:rPr/>
        <w:t xml:space="preserve">7 of 10 BTC_GNT buy orders closed. Next buy grid will show 3 indices. 7 sell orders should be placed. </w:t>
      </w:r>
      <w:hyperlink r:id="rId2">
        <w:r>
          <w:rPr>
            <w:rStyle w:val="InternetLink"/>
          </w:rPr>
          <w:t>2 orders are open…</w:t>
        </w:r>
      </w:hyperlink>
      <w:r>
        <w:rPr/>
        <w:t xml:space="preserve"> so 5 sells should show closed here. There are 5 here effectively – because 1 sell was filled partially in 2 separate actions. That being said, there could be closed orders here that came from a previous run.</w:t>
      </w:r>
    </w:p>
    <w:p>
      <w:pPr>
        <w:pStyle w:val="Heading2"/>
        <w:numPr>
          <w:ilvl w:val="0"/>
          <w:numId w:val="2"/>
        </w:numPr>
        <w:spacing w:before="240" w:after="0"/>
        <w:jc w:val="left"/>
        <w:rPr/>
      </w:pPr>
      <w:r>
        <w:rPr/>
        <w:t xml:space="preserve">BTC_STRAT buy grid exhausted. 10 sell orders will be placed. 7 sell orders closed here. </w:t>
      </w:r>
      <w:hyperlink r:id="rId3">
        <w:r>
          <w:rPr>
            <w:rStyle w:val="InternetLink"/>
          </w:rPr>
          <w:t>3 are open</w:t>
        </w:r>
      </w:hyperlink>
      <w:r>
        <w:rPr/>
        <w:t>.</w:t>
      </w:r>
    </w:p>
    <w:p>
      <w:pPr>
        <w:pStyle w:val="Heading2"/>
        <w:numPr>
          <w:ilvl w:val="0"/>
          <w:numId w:val="2"/>
        </w:numPr>
        <w:spacing w:before="240" w:after="0"/>
        <w:jc w:val="left"/>
        <w:rPr/>
      </w:pPr>
      <w:r>
        <w:rPr/>
        <w:t>1 of 10 BTC_XEM sell orders closed. Next sell grid will show 9 indices. Buy grid elevates.</w:t>
      </w:r>
    </w:p>
    <w:p>
      <w:pPr>
        <w:pStyle w:val="Heading2"/>
        <w:numPr>
          <w:ilvl w:val="0"/>
          <w:numId w:val="2"/>
        </w:numPr>
        <w:spacing w:before="240" w:after="0"/>
        <w:jc w:val="left"/>
        <w:rPr/>
      </w:pPr>
      <w:r>
        <w:rPr/>
        <w:t>1 of 10 BTC_GAME sell orders closed. Next sell grid will show 9 indices. Buy grid elevates.</w:t>
      </w:r>
    </w:p>
    <w:p>
      <w:pPr>
        <w:pStyle w:val="Heading2"/>
        <w:numPr>
          <w:ilvl w:val="0"/>
          <w:numId w:val="2"/>
        </w:numPr>
        <w:spacing w:before="240" w:after="0"/>
        <w:jc w:val="left"/>
        <w:rPr/>
      </w:pPr>
      <w:r>
        <w:rPr/>
        <w:t xml:space="preserve">1 of 10 BTC_GAME buy orders closed. Next sell grid will show 9 indices. 1 new sell order will be created. Per the shell execution log, the order ID placed is 10963675388. </w:t>
      </w:r>
      <w:r>
        <w:rPr/>
        <w:t>The only thing I could do is to see if this order is closed by looking at the trade history and if it isnt there, to presume one of the open listings is it. You can’t even query the Polo API with a order number it gave you and find out the status. If it is not at least partially filled, then the Polo API returns an ERROR stating: either this is not your order id or it has not been (partially) filled.</w:t>
      </w:r>
      <w:r>
        <w:br w:type="page"/>
      </w:r>
    </w:p>
    <w:p>
      <w:pPr>
        <w:pStyle w:val="Heading2"/>
        <w:spacing w:before="240" w:after="0"/>
        <w:rPr/>
      </w:pPr>
      <w:bookmarkStart w:id="0" w:name="tradeHistoryTable"/>
      <w:bookmarkEnd w:id="0"/>
      <w:r>
        <w:rPr/>
        <w:t xml:space="preserve"> </w:t>
      </w:r>
    </w:p>
    <w:tbl>
      <w:tblPr>
        <w:tblW w:w="14330" w:type="dxa"/>
        <w:jc w:val="left"/>
        <w:tblInd w:w="0" w:type="dxa"/>
        <w:tblBorders>
          <w:right w:val="single" w:sz="2" w:space="0" w:color="F6FBF6"/>
          <w:insideV w:val="single" w:sz="2" w:space="0" w:color="F6FBF6"/>
        </w:tblBorders>
        <w:tblCellMar>
          <w:top w:w="0" w:type="dxa"/>
          <w:left w:w="0" w:type="dxa"/>
          <w:bottom w:w="0" w:type="dxa"/>
          <w:right w:w="48" w:type="dxa"/>
        </w:tblCellMar>
      </w:tblPr>
      <w:tblGrid>
        <w:gridCol w:w="889"/>
        <w:gridCol w:w="1366"/>
        <w:gridCol w:w="1043"/>
        <w:gridCol w:w="1310"/>
        <w:gridCol w:w="1240"/>
        <w:gridCol w:w="1600"/>
        <w:gridCol w:w="2845"/>
        <w:gridCol w:w="1860"/>
        <w:gridCol w:w="2177"/>
      </w:tblGrid>
      <w:tr>
        <w:trPr>
          <w:tblHeader w:val="true"/>
        </w:trPr>
        <w:tc>
          <w:tcPr>
            <w:tcW w:w="889" w:type="dxa"/>
            <w:tcBorders>
              <w:right w:val="single" w:sz="2" w:space="0" w:color="F6FBF6"/>
              <w:insideV w:val="single" w:sz="2" w:space="0" w:color="F6FBF6"/>
            </w:tcBorders>
            <w:shd w:fill="D3E7D9" w:val="clear"/>
            <w:vAlign w:val="center"/>
          </w:tcPr>
          <w:p>
            <w:pPr>
              <w:pStyle w:val="TableHeading"/>
              <w:jc w:val="left"/>
              <w:rPr>
                <w:b/>
              </w:rPr>
            </w:pPr>
            <w:r>
              <w:rPr>
                <w:b/>
              </w:rPr>
              <w:t>Market</w:t>
            </w:r>
          </w:p>
        </w:tc>
        <w:tc>
          <w:tcPr>
            <w:tcW w:w="1366" w:type="dxa"/>
            <w:tcBorders>
              <w:right w:val="single" w:sz="2" w:space="0" w:color="F6FBF6"/>
              <w:insideV w:val="single" w:sz="2" w:space="0" w:color="F6FBF6"/>
            </w:tcBorders>
            <w:shd w:fill="D3E7D9" w:val="clear"/>
            <w:vAlign w:val="center"/>
          </w:tcPr>
          <w:p>
            <w:pPr>
              <w:pStyle w:val="TableHeading"/>
              <w:jc w:val="left"/>
              <w:rPr>
                <w:b/>
              </w:rPr>
            </w:pPr>
            <w:r>
              <w:rPr>
                <w:b/>
              </w:rPr>
              <w:t>Type</w:t>
            </w:r>
          </w:p>
        </w:tc>
        <w:tc>
          <w:tcPr>
            <w:tcW w:w="1043" w:type="dxa"/>
            <w:tcBorders>
              <w:right w:val="single" w:sz="2" w:space="0" w:color="F6FBF6"/>
              <w:insideV w:val="single" w:sz="2" w:space="0" w:color="F6FBF6"/>
            </w:tcBorders>
            <w:shd w:fill="D3E7D9" w:val="clear"/>
            <w:vAlign w:val="center"/>
          </w:tcPr>
          <w:p>
            <w:pPr>
              <w:pStyle w:val="TableHeading"/>
              <w:jc w:val="left"/>
              <w:rPr>
                <w:b/>
              </w:rPr>
            </w:pPr>
            <w:r>
              <w:rPr>
                <w:b/>
              </w:rPr>
              <w:t>Category</w:t>
            </w:r>
          </w:p>
        </w:tc>
        <w:tc>
          <w:tcPr>
            <w:tcW w:w="1310" w:type="dxa"/>
            <w:tcBorders>
              <w:right w:val="single" w:sz="2" w:space="0" w:color="F6FBF6"/>
              <w:insideV w:val="single" w:sz="2" w:space="0" w:color="F6FBF6"/>
            </w:tcBorders>
            <w:shd w:fill="D3E7D9" w:val="clear"/>
            <w:vAlign w:val="center"/>
          </w:tcPr>
          <w:p>
            <w:pPr>
              <w:pStyle w:val="TableHeading"/>
              <w:jc w:val="left"/>
              <w:rPr>
                <w:b/>
              </w:rPr>
            </w:pPr>
            <w:r>
              <w:rPr>
                <w:b/>
              </w:rPr>
              <w:t>Price/Share</w:t>
            </w:r>
          </w:p>
        </w:tc>
        <w:tc>
          <w:tcPr>
            <w:tcW w:w="1240" w:type="dxa"/>
            <w:tcBorders>
              <w:right w:val="single" w:sz="2" w:space="0" w:color="F6FBF6"/>
              <w:insideV w:val="single" w:sz="2" w:space="0" w:color="F6FBF6"/>
            </w:tcBorders>
            <w:shd w:fill="D3E7D9" w:val="clear"/>
            <w:vAlign w:val="center"/>
          </w:tcPr>
          <w:p>
            <w:pPr>
              <w:pStyle w:val="TableHeading"/>
              <w:jc w:val="left"/>
              <w:rPr>
                <w:b/>
              </w:rPr>
            </w:pPr>
            <w:r>
              <w:rPr>
                <w:b/>
              </w:rPr>
              <w:t>Amount</w:t>
            </w:r>
          </w:p>
        </w:tc>
        <w:tc>
          <w:tcPr>
            <w:tcW w:w="1600" w:type="dxa"/>
            <w:tcBorders>
              <w:right w:val="single" w:sz="2" w:space="0" w:color="F6FBF6"/>
              <w:insideV w:val="single" w:sz="2" w:space="0" w:color="F6FBF6"/>
            </w:tcBorders>
            <w:shd w:fill="D3E7D9" w:val="clear"/>
            <w:vAlign w:val="center"/>
          </w:tcPr>
          <w:p>
            <w:pPr>
              <w:pStyle w:val="TableHeading"/>
              <w:jc w:val="left"/>
              <w:rPr>
                <w:b/>
              </w:rPr>
            </w:pPr>
            <w:r>
              <w:rPr>
                <w:b/>
              </w:rPr>
              <w:t>Fee</w:t>
            </w:r>
          </w:p>
        </w:tc>
        <w:tc>
          <w:tcPr>
            <w:tcW w:w="2845" w:type="dxa"/>
            <w:tcBorders>
              <w:right w:val="single" w:sz="2" w:space="0" w:color="F6FBF6"/>
              <w:insideV w:val="single" w:sz="2" w:space="0" w:color="F6FBF6"/>
            </w:tcBorders>
            <w:shd w:fill="D3E7D9" w:val="clear"/>
            <w:vAlign w:val="center"/>
          </w:tcPr>
          <w:p>
            <w:pPr>
              <w:pStyle w:val="TableHeading"/>
              <w:jc w:val="left"/>
              <w:rPr>
                <w:b/>
              </w:rPr>
            </w:pPr>
            <w:r>
              <w:rPr>
                <w:b/>
              </w:rPr>
              <w:t>Total</w:t>
            </w:r>
          </w:p>
        </w:tc>
        <w:tc>
          <w:tcPr>
            <w:tcW w:w="1860" w:type="dxa"/>
            <w:tcBorders>
              <w:right w:val="single" w:sz="2" w:space="0" w:color="D3E7D9"/>
              <w:insideV w:val="single" w:sz="2" w:space="0" w:color="D3E7D9"/>
            </w:tcBorders>
            <w:shd w:fill="D3E7D9" w:val="clear"/>
            <w:vAlign w:val="center"/>
          </w:tcPr>
          <w:p>
            <w:pPr>
              <w:pStyle w:val="TableHeading"/>
              <w:jc w:val="left"/>
              <w:rPr>
                <w:b/>
              </w:rPr>
            </w:pPr>
            <w:bookmarkStart w:id="1" w:name="tradeHistoryTableBody"/>
            <w:bookmarkEnd w:id="1"/>
            <w:r>
              <w:rPr>
                <w:b/>
              </w:rPr>
              <w:t>Transaction Date</w:t>
            </w:r>
          </w:p>
        </w:tc>
        <w:tc>
          <w:tcPr>
            <w:tcW w:w="2177" w:type="dxa"/>
            <w:tcBorders/>
            <w:shd w:fill="auto" w:val="clear"/>
            <w:tcMar>
              <w:top w:w="28" w:type="dxa"/>
              <w:left w:w="28" w:type="dxa"/>
              <w:bottom w:w="28" w:type="dxa"/>
              <w:right w:w="28" w:type="dxa"/>
            </w:tcMar>
          </w:tcPr>
          <w:p>
            <w:pPr>
              <w:pStyle w:val="TableContents"/>
              <w:rPr>
                <w:sz w:val="4"/>
                <w:szCs w:val="4"/>
              </w:rPr>
            </w:pPr>
            <w:r>
              <w:rPr>
                <w:sz w:val="4"/>
                <w:szCs w:val="4"/>
              </w:rPr>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0.00030641</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3.20424912</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0.00000147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0.00098034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14:29:02</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"analysis/XEM/BTC"</w:instrText>
            </w:r>
            <w:r>
              <w:fldChar w:fldCharType="separate"/>
            </w:r>
            <w:r>
              <w:rPr>
                <w:rStyle w:val="InternetLink"/>
                <w:strike w:val="false"/>
                <w:dstrike w:val="false"/>
                <w:color w:val="3A4449"/>
                <w:u w:val="none"/>
                <w:effect w:val="none"/>
              </w:rPr>
              <w:t>XEM/BTC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0.00001223</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1074.00000000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1.61100000 XEM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0.01313502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14:28:58</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0.00030641</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161.79575088</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0.00007436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0.04950147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14:28:18</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0.00030338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165.00000000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0.00007509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0.04998261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14:28:02</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0.00005102</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24.47676546</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0.00000187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0.00124693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14:23:19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0.00005153</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0.00001948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0.01296608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14:23:19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0.00005102</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227.52323454</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0.00001741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0.01159082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14:20:52</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0.00005051</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0.00001909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0.01270943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14:18:37</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0.00005000</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0.00001890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0.01258110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14:17:47</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0.00004950</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0.00001871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0.01245529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14:02:25</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0.00004802</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0.37800000 GNT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0.01210104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13:46:54</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0.00029443</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165.00000000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0.00007287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0.04850808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13:46:01</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0.00016494</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23.00000000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0.00000569 BTC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0.00378793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13:39:41</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0.00029142</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163.98586031</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0.24597879 GAME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0.04778875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13:39:08</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0.00004851</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0.37800000 GNT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0.01222452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13:38:36</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0.00029142</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1.01413969</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0.00152121 GAME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0.00029554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13:37:12</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0.00029399</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7.23479020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0.01808698 GAME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0.00212695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13:34:33</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0.00029400</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132.13270066</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0.33033175 GAME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0.03884701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13:34:33</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"analysis/GAME/BTC"</w:instrText>
            </w:r>
            <w:r>
              <w:fldChar w:fldCharType="separate"/>
            </w:r>
            <w:r>
              <w:rPr>
                <w:rStyle w:val="InternetLink"/>
                <w:strike w:val="false"/>
                <w:dstrike w:val="false"/>
                <w:color w:val="3A4449"/>
                <w:u w:val="none"/>
                <w:effect w:val="none"/>
              </w:rPr>
              <w:t>GAME/BTC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0.00029416</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25.63250914</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0.06408127 GAME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0.00754005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13:34:33</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0.00004900</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0.37800000 GNT (0.15%)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0.01234800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13:34:29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0.00016365</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23.00000000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0.00000941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0.00375454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13:32:54</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0.00016365</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23.00000000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0.00000941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0.00375454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13:32:53</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0.00016365</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23.00000000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0.00000941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0.00375454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13:32:52</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0.00016365</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8.78133397</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0.00000359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0.00143347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13:32:51</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0.00016427</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14.21866603</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0.00000584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0.00232986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13:32:51</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"analysis/STRAT/BTC"</w:instrText>
            </w:r>
            <w:r>
              <w:fldChar w:fldCharType="separate"/>
            </w:r>
            <w:r>
              <w:rPr>
                <w:rStyle w:val="InternetLink"/>
                <w:strike w:val="false"/>
                <w:dstrike w:val="false"/>
                <w:color w:val="3A4449"/>
                <w:u w:val="none"/>
                <w:effect w:val="none"/>
              </w:rPr>
              <w:t>STRAT/BTC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C02A1D"/>
              </w:rPr>
            </w:pPr>
            <w:r>
              <w:rPr>
                <w:color w:val="C02A1D"/>
              </w:rPr>
              <w:t>Sell</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0.00016427</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23.00000000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0.00000945 BTC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0.00376876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13:32:50</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13:32:39</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13:32:38</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13:32:38</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13:32:37</w:t>
            </w:r>
          </w:p>
        </w:tc>
      </w:tr>
      <w:tr>
        <w:trPr/>
        <w:tc>
          <w:tcPr>
            <w:tcW w:w="889" w:type="dxa"/>
            <w:tcBorders>
              <w:top w:val="single" w:sz="2" w:space="0" w:color="D3E7D9"/>
              <w:right w:val="single" w:sz="2" w:space="0" w:color="D3E7D9"/>
              <w:insideV w:val="single" w:sz="2" w:space="0" w:color="D3E7D9"/>
            </w:tcBorders>
            <w:shd w:fill="auto" w:val="clear"/>
            <w:tcMar>
              <w:top w:w="28" w:type="dxa"/>
              <w:right w:w="28" w:type="dxa"/>
            </w:tcMar>
            <w:vAlign w:val="center"/>
          </w:tcPr>
          <w:p>
            <w:pPr>
              <w:pStyle w:val="TableContents"/>
              <w:rPr>
                <w:sz w:val="4"/>
                <w:szCs w:val="4"/>
              </w:rPr>
            </w:pPr>
            <w:r>
              <w:rPr>
                <w:sz w:val="4"/>
                <w:szCs w:val="4"/>
              </w:rPr>
            </w:r>
          </w:p>
        </w:tc>
        <w:tc>
          <w:tcPr>
            <w:tcW w:w="1366"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fldChar w:fldCharType="begin"/>
            </w:r>
            <w:r>
              <w:instrText> HYPERLINK "https://poloniex.com/tradeHistory" \l "analysis/GNT/BTC"</w:instrText>
            </w:r>
            <w:r>
              <w:fldChar w:fldCharType="separate"/>
            </w:r>
            <w:r>
              <w:rPr>
                <w:rStyle w:val="InternetLink"/>
                <w:strike w:val="false"/>
                <w:dstrike w:val="false"/>
                <w:color w:val="3A4449"/>
                <w:u w:val="none"/>
                <w:effect w:val="none"/>
              </w:rPr>
              <w:t>GNT/BTC</w:t>
            </w:r>
            <w:r>
              <w:fldChar w:fldCharType="end"/>
            </w:r>
          </w:p>
        </w:tc>
        <w:tc>
          <w:tcPr>
            <w:tcW w:w="1043"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color w:val="27892F"/>
              </w:rPr>
            </w:pPr>
            <w:r>
              <w:rPr>
                <w:color w:val="27892F"/>
              </w:rPr>
              <w:t>Buy</w:t>
            </w:r>
          </w:p>
        </w:tc>
        <w:tc>
          <w:tcPr>
            <w:tcW w:w="131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left"/>
              <w:rPr/>
            </w:pPr>
            <w:r>
              <w:rPr/>
              <w:t>Exchange</w:t>
            </w:r>
          </w:p>
        </w:tc>
        <w:tc>
          <w:tcPr>
            <w:tcW w:w="124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0.00004908</w:t>
            </w:r>
          </w:p>
        </w:tc>
        <w:tc>
          <w:tcPr>
            <w:tcW w:w="160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252.00000000</w:t>
            </w:r>
          </w:p>
        </w:tc>
        <w:tc>
          <w:tcPr>
            <w:tcW w:w="2845"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0.63000000 GNT (0.25%)</w:t>
            </w:r>
          </w:p>
        </w:tc>
        <w:tc>
          <w:tcPr>
            <w:tcW w:w="1860" w:type="dxa"/>
            <w:tcBorders>
              <w:top w:val="single" w:sz="2" w:space="0" w:color="D3E7D9"/>
              <w:right w:val="single" w:sz="2" w:space="0" w:color="D3E7D9"/>
              <w:insideV w:val="single" w:sz="2" w:space="0" w:color="D3E7D9"/>
            </w:tcBorders>
            <w:shd w:fill="auto" w:val="clear"/>
            <w:tcMar>
              <w:top w:w="28" w:type="dxa"/>
            </w:tcMar>
            <w:vAlign w:val="center"/>
          </w:tcPr>
          <w:p>
            <w:pPr>
              <w:pStyle w:val="TableContents"/>
              <w:jc w:val="right"/>
              <w:rPr/>
            </w:pPr>
            <w:r>
              <w:rPr/>
              <w:t>0.01236816 BTC</w:t>
            </w:r>
          </w:p>
        </w:tc>
        <w:tc>
          <w:tcPr>
            <w:tcW w:w="2177" w:type="dxa"/>
            <w:tcBorders>
              <w:top w:val="single" w:sz="2" w:space="0" w:color="D3E7D9"/>
            </w:tcBorders>
            <w:shd w:fill="auto" w:val="clear"/>
            <w:tcMar>
              <w:top w:w="28" w:type="dxa"/>
              <w:right w:w="0" w:type="dxa"/>
            </w:tcMar>
            <w:vAlign w:val="center"/>
          </w:tcPr>
          <w:p>
            <w:pPr>
              <w:pStyle w:val="TableContents"/>
              <w:jc w:val="right"/>
              <w:rPr/>
            </w:pPr>
            <w:r>
              <w:rPr/>
              <w:t>2017-03-28 13:32:37</w:t>
            </w:r>
          </w:p>
        </w:tc>
      </w:tr>
    </w:tbl>
    <w:p>
      <w:pPr>
        <w:pStyle w:val="Heading2"/>
        <w:spacing w:before="240" w:after="0"/>
        <w:rPr/>
      </w:pPr>
      <w:r>
        <w:rPr/>
      </w:r>
    </w:p>
    <w:sectPr>
      <w:type w:val="nextPage"/>
      <w:pgSz w:orient="landscape" w:w="15840" w:h="15840"/>
      <w:pgMar w:left="144" w:right="144" w:header="0" w:top="144" w:footer="0" w:bottom="14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ntscr.com/ephy50" TargetMode="External"/><Relationship Id="rId3" Type="http://schemas.openxmlformats.org/officeDocument/2006/relationships/hyperlink" Target="http://prntscr.com/epi2m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3385</TotalTime>
  <Application>LibreOffice/5.2.4.2$Windows_x86 LibreOffice_project/3d5603e1122f0f102b62521720ab13a38a4e0eb0</Application>
  <Pages>3</Pages>
  <Words>776</Words>
  <Characters>4803</Characters>
  <CharactersWithSpaces>5317</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2017-03-09T06:33:07Z</dcterms:created>
  <dc:creator/>
  <dc:description/>
  <dc:language>en-US</dc:language>
  <cp:lastModifiedBy/>
  <dcterms:modified xsi:type="dcterms:W3CDTF">2017-03-28T11:12:40Z</dcterms:modified>
  <cp:revision>29</cp:revision>
  <dc:subject/>
  <dc:title/>
</cp:coreProperties>
</file>