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5.png" ContentType="image/png"/>
  <Override PartName="/word/media/rId108.png" ContentType="image/png"/>
  <Override PartName="/word/media/rId98.png" ContentType="image/png"/>
  <Override PartName="/word/media/rId105.png" ContentType="image/png"/>
  <Override PartName="/word/media/rId154.png" ContentType="image/png"/>
  <Override PartName="/word/media/rId102.png" ContentType="image/png"/>
  <Override PartName="/word/media/rId111.png" ContentType="image/png"/>
  <Override PartName="/word/media/rId91.png" ContentType="image/png"/>
  <Override PartName="/word/media/rId160.png" ContentType="image/png"/>
  <Override PartName="/word/media/rId85.png" ContentType="image/png"/>
  <Override PartName="/word/media/rId88.png" ContentType="image/png"/>
  <Override PartName="/word/media/rId25.png" ContentType="image/png"/>
  <Override PartName="/word/media/rId28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1.png" ContentType="image/png"/>
  <Override PartName="/word/media/rId181.png" ContentType="image/png"/>
  <Override PartName="/word/media/rId185.png" ContentType="image/png"/>
  <Override PartName="/word/media/rId177.png" ContentType="image/png"/>
  <Override PartName="/word/media/rId173.png" ContentType="image/png"/>
  <Override PartName="/word/media/rId134.png" ContentType="image/png"/>
  <Override PartName="/word/media/rId131.png" ContentType="image/png"/>
  <Override PartName="/word/media/rId128.png" ContentType="image/png"/>
  <Override PartName="/word/media/rId124.png" ContentType="image/png"/>
  <Override PartName="/word/media/rId121.png" ContentType="image/png"/>
  <Override PartName="/word/media/rId157.png" ContentType="image/png"/>
  <Override PartName="/word/media/rId115.png" ContentType="image/png"/>
  <Override PartName="/word/media/rId141.png" ContentType="image/png"/>
  <Override PartName="/word/media/rId149.png" ContentType="image/png"/>
  <Override PartName="/word/media/rId146.png" ContentType="image/png"/>
  <Override PartName="/word/media/rId163.png" ContentType="image/png"/>
  <Override PartName="/word/media/rId118.png" ContentType="image/png"/>
  <Override PartName="/word/media/rId1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INDIAN INSTITUTE OF TECHNOLOGY KHARAGPUR</w:t>
      </w:r>
    </w:p>
    <w:p>
      <w:pPr>
        <w:pStyle w:val="BodyText"/>
      </w:pPr>
      <w:r>
        <w:t xml:space="preserve">Data Science Lab (DSL) — Course Project Report</w:t>
      </w:r>
    </w:p>
    <w:p>
      <w:pPr>
        <w:pStyle w:val="BodyText"/>
      </w:pPr>
      <w:r>
        <w:t xml:space="preserve">Credit Risk Modelling:</w:t>
      </w:r>
    </w:p>
    <w:p>
      <w:pPr>
        <w:pStyle w:val="BodyText"/>
      </w:pPr>
      <w:r>
        <w:t xml:space="preserve">An Explainable Credit Scoring System: Integrating Default Probability</w:t>
      </w:r>
      <w:r>
        <w:br/>
      </w:r>
      <w:r>
        <w:t xml:space="preserve">Estimation with CIBIL Score Calculation and Borrower Guidance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Submitted by: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Hrishav Majumdar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25BM6JP15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Kingshuk Barua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25BM6JP23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Patil Rohit Ranjit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25BM6JP34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Pritam Sarkar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25BM6JP40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Siddharth Sharan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25BM6JP48</w:t>
            </w:r>
          </w:p>
        </w:tc>
      </w:tr>
    </w:tbl>
    <w:p>
      <w:pPr>
        <w:pStyle w:val="BodyText"/>
      </w:pPr>
      <w:r>
        <w:t xml:space="preserve">Under the guidance of:</w:t>
      </w:r>
    </w:p>
    <w:p>
      <w:pPr>
        <w:pStyle w:val="BodyText"/>
      </w:pPr>
      <w:r>
        <w:t xml:space="preserve">Swaminathan Sir</w:t>
      </w:r>
    </w:p>
    <w:p>
      <w:pPr>
        <w:pStyle w:val="BodyText"/>
      </w:pPr>
      <w:r>
        <w:t xml:space="preserve">April 2026</w:t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This report presents a comprehensive machine-learning-driven credit risk modelling framework designed for deployment as an internal credit decisioning tool within Indian banks and Non-Banking Financial Companies (NBFCs). Using the</w:t>
      </w:r>
      <w:r>
        <w:t xml:space="preserve"> </w:t>
      </w:r>
      <w:r>
        <w:t xml:space="preserve">“</w:t>
      </w:r>
      <w:r>
        <w:t xml:space="preserve">Give Me Some Credit</w:t>
      </w:r>
      <w:r>
        <w:t xml:space="preserve">”</w:t>
      </w:r>
      <w:r>
        <w:t xml:space="preserve"> </w:t>
      </w:r>
      <w:r>
        <w:t xml:space="preserve">dataset (150,000 borrower records with 11 financial attributes), we train and evaluate four model architectures: Logistic Regression (baseline), XGBoost, CatBoost (primary production model), and a PyTorch Mixture-of-Experts (MoE) neural network. CatBoost, optimised via Optuna Bayesian hyperparameter search (50 TPE trials across 7 parameters), achieves a ROC-AUC of approximately 0.86 on the held-out test set. A dual-threshold decision framework (Max-F1 and Precision-targeted) enables banks to calibrate precision–recall trade-offs to their specific risk appetite.</w:t>
      </w:r>
    </w:p>
    <w:p>
      <w:pPr>
        <w:pStyle w:val="BodyText"/>
      </w:pPr>
      <w:r>
        <w:t xml:space="preserve">Each prediction is accompanied by a SHAP-based explainability layer providing per-feature impact quantification and actionable improvement recommendations. The model output is further transformed into a CIBIL-aligned credit score (300–900) using a composite formula weighting default probability at 50%, payment history at 25%, credit utilisation at 15%, and credit mix at 10%. The system is deployed via a Next.js CRM dashboard for real-time scoring and a Google Sheets API integration for batch processing.</w:t>
      </w:r>
    </w:p>
    <w:bookmarkEnd w:id="20"/>
    <w:bookmarkStart w:id="22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Credit risk assessment remains one of the most consequential decision-making processes in the financial services industry. In India, the banking sector disbursed over INR 150 lakh crore in credit by FY 2024–25, yet Non-Performing Assets (NPAs) continue to pose systemic threats. The Reserve Bank of India reported gross NPAs of approximately 2.8% across scheduled commercial banks as of March 2025, translating to billions of rupees in potential losses.</w:t>
      </w:r>
    </w:p>
    <w:bookmarkStart w:id="21" w:name="the-present-gap"/>
    <w:p>
      <w:pPr>
        <w:pStyle w:val="Heading2"/>
      </w:pPr>
      <w:r>
        <w:t xml:space="preserve">The Present Gap</w:t>
      </w:r>
    </w:p>
    <w:p>
      <w:pPr>
        <w:pStyle w:val="FirstParagraph"/>
      </w:pPr>
      <w:r>
        <w:t xml:space="preserve">The current credit risk landscape in India is characterised by several structural deficiencies: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Over-reliance on static scorecards</w:t>
      </w:r>
      <w:r>
        <w:t xml:space="preserve">: Most Indian banks and NBFCs employ rule-based or logistic-regression-driven scorecards that struggle to capture non-linear interactions.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Opacity in credit decisions</w:t>
      </w:r>
      <w:r>
        <w:t xml:space="preserve">: Borrowers denied credit rarely receive clear, actionable explanations.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Reactive rather than predictive posture</w:t>
      </w:r>
      <w:r>
        <w:t xml:space="preserve">: Traditional approaches assess creditworthiness at a point in time, rather than modelling future default probability.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Threshold rigidity</w:t>
      </w:r>
      <w:r>
        <w:t xml:space="preserve">: Conventional models apply a single decision boundary instead of context-specific precision–recall trade-offs.</w:t>
      </w:r>
    </w:p>
    <w:p>
      <w:pPr>
        <w:pStyle w:val="FirstParagraph"/>
      </w:pPr>
      <w:r>
        <w:t xml:space="preserve">This project addresses these gaps by developing a machine-learning-driven credit risk modelling framework that combines predictive accuracy with explainability.</w:t>
      </w:r>
    </w:p>
    <w:bookmarkEnd w:id="21"/>
    <w:bookmarkEnd w:id="22"/>
    <w:bookmarkStart w:id="23" w:name="dataset-description"/>
    <w:p>
      <w:pPr>
        <w:pStyle w:val="Heading1"/>
      </w:pPr>
      <w:r>
        <w:t xml:space="preserve">Dataset Description</w:t>
      </w:r>
    </w:p>
    <w:p>
      <w:pPr>
        <w:pStyle w:val="FirstParagraph"/>
      </w:pPr>
      <w:r>
        <w:t xml:space="preserve">The project uses the</w:t>
      </w:r>
      <w:r>
        <w:t xml:space="preserve"> </w:t>
      </w:r>
      <w:r>
        <w:t xml:space="preserve">“</w:t>
      </w:r>
      <w:r>
        <w:t xml:space="preserve">Give Me Some Credit</w:t>
      </w:r>
      <w:r>
        <w:t xml:space="preserve">”</w:t>
      </w:r>
      <w:r>
        <w:t xml:space="preserve"> </w:t>
      </w:r>
      <w:r>
        <w:t xml:space="preserve">dataset containing 150,000 training observations with 11 financial attributes.</w:t>
      </w:r>
    </w:p>
    <w:p>
      <w:pPr>
        <w:pStyle w:val="TableCaption"/>
      </w:pPr>
      <w:r>
        <w:t xml:space="preserve">Feature descriptions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Feature description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Kaggle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Internal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SeriousDlqin2yrs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Target: 90+ days past due in 2 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RevolvingUtilization…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unsecured_credit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Revolving utilisation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 age in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NumberOfTime30–59…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delinq_30_59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30–59 day late 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debt_ratio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debt / income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MonthlyIncome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monthly_income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salary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NumberOfOpenCredit…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open_credit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credit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NumberOfTimes90DaysLate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delinq_90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90+ day late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NumberRealEstate…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real_estate_loans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Home/mortgage loans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NumberOfTime60–89…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delinq_60_89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60–89 day late 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NumberOfDependents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Household dependents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statistics</w:t>
      </w:r>
      <w:r>
        <w:t xml:space="preserve">: 150,000 rows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bCs/>
          <w:b/>
        </w:rPr>
        <w:t xml:space="preserve">112,021</w:t>
      </w:r>
      <w:r>
        <w:t xml:space="preserve"> </w:t>
      </w:r>
      <w:r>
        <w:t xml:space="preserve">after cleaning. Default rate: 6.74% (</w:t>
      </w:r>
      <m:oMath>
        <m:r>
          <m:rPr>
            <m:sty m:val="p"/>
          </m:rPr>
          <m:t>≈</m:t>
        </m:r>
      </m:oMath>
      <w:r>
        <w:t xml:space="preserve"> 13.5:1 class imbalance). Values 96 and 98 in delinquency fields are sentinel codes (not actual counts).</w:t>
      </w:r>
    </w:p>
    <w:bookmarkEnd w:id="23"/>
    <w:bookmarkStart w:id="24" w:name="data-cleaning-preprocessing-pipeline"/>
    <w:p>
      <w:pPr>
        <w:pStyle w:val="Heading1"/>
      </w:pPr>
      <w:r>
        <w:t xml:space="preserve">Data Cleaning &amp; Preprocessing Pipeline</w:t>
      </w:r>
    </w:p>
    <w:p>
      <w:pPr>
        <w:pStyle w:val="FirstParagraph"/>
      </w:pPr>
      <w:r>
        <w:t xml:space="preserve">The same preprocessing pipeline is shared across all notebooks to ensure reproducibility.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Column rename</w:t>
      </w:r>
      <w:r>
        <w:t xml:space="preserve">: Kaggle names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internal snake_case names.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Remove age</w:t>
      </w:r>
      <w:r>
        <w:rPr>
          <w:bCs/>
          <w:b/>
        </w:rPr>
        <w:t xml:space="preserve"> </w:t>
      </w:r>
      <m:oMath>
        <m:r>
          <m:rPr>
            <m:sty m:val="p"/>
          </m:rPr>
          <m:t>≤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0</w:t>
      </w:r>
      <w:r>
        <w:t xml:space="preserve">: Impossible ages filtered out.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Sentinel flag</w:t>
      </w:r>
      <w:r>
        <w:t xml:space="preserve">:</w:t>
      </w:r>
      <w:r>
        <w:t xml:space="preserve"> </w:t>
      </w:r>
      <w:r>
        <w:rPr>
          <w:rStyle w:val="VerbatimChar"/>
        </w:rPr>
        <w:t xml:space="preserve">delinq_90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t>96</m:t>
        </m:r>
        <m:r>
          <m:rPr>
            <m:sty m:val="p"/>
          </m:rPr>
          <m:t>,</m:t>
        </m:r>
        <m:r>
          <m:t>98</m:t>
        </m:r>
        <m:r>
          <m:rPr>
            <m:sty m:val="p"/>
          </m:rPr>
          <m:t>}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delinq_sentinel = 1</w:t>
      </w:r>
      <w:r>
        <w:t xml:space="preserve"> </w:t>
      </w:r>
      <w:r>
        <w:t xml:space="preserve">(54.6% default rate in this group vs. 6.6% overall).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Delinquency cap</w:t>
      </w:r>
      <w:r>
        <w:t xml:space="preserve">: All delinq columns clipped to</w:t>
      </w:r>
      <w:r>
        <w:t xml:space="preserve"> </w:t>
      </w:r>
      <m:oMath>
        <m:r>
          <m:rPr>
            <m:sty m:val="p"/>
          </m:rPr>
          <m:t>≤</m:t>
        </m:r>
        <m:r>
          <m:t>10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Missing indicators</w:t>
      </w:r>
      <w:r>
        <w:t xml:space="preserve">:</w:t>
      </w:r>
      <w:r>
        <w:t xml:space="preserve"> </w:t>
      </w:r>
      <w:r>
        <w:rPr>
          <w:rStyle w:val="VerbatimChar"/>
        </w:rPr>
        <w:t xml:space="preserve">monthly_income_missing</w:t>
      </w:r>
      <w:r>
        <w:t xml:space="preserve"> </w:t>
      </w:r>
      <w:r>
        <w:t xml:space="preserve">(19.8% MNAR),</w:t>
      </w:r>
      <w:r>
        <w:t xml:space="preserve"> </w:t>
      </w:r>
      <w:r>
        <w:rPr>
          <w:rStyle w:val="VerbatimChar"/>
        </w:rPr>
        <w:t xml:space="preserve">dependents_missing</w:t>
      </w:r>
      <w:r>
        <w:t xml:space="preserve"> </w:t>
      </w:r>
      <w:r>
        <w:t xml:space="preserve">(2.6% MCAR).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Median imputation</w:t>
      </w:r>
      <w:r>
        <w:t xml:space="preserve">: Income and dependents filled with column median.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Train/Val/Test split</w:t>
      </w:r>
      <w:r>
        <w:t xml:space="preserve">: 70/15/15% stratified.</w:t>
      </w:r>
    </w:p>
    <w:p>
      <w:pPr>
        <w:pStyle w:val="FirstParagraph"/>
      </w:pPr>
      <w:r>
        <w:t xml:space="preserve">Final feature set: 13 variables (10 original +</w:t>
      </w:r>
      <w:r>
        <w:t xml:space="preserve"> </w:t>
      </w:r>
      <w:r>
        <w:rPr>
          <w:rStyle w:val="VerbatimChar"/>
        </w:rPr>
        <w:t xml:space="preserve">delinq_sentinel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monthly_income_missing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dependents_missing</w:t>
      </w:r>
      <w:r>
        <w:t xml:space="preserve">).</w:t>
      </w:r>
    </w:p>
    <w:bookmarkEnd w:id="24"/>
    <w:bookmarkStart w:id="59" w:name="exploratory-data-analysis"/>
    <w:p>
      <w:pPr>
        <w:pStyle w:val="Heading1"/>
      </w:pPr>
      <w:r>
        <w:t xml:space="preserve">Exploratory Data Analysis</w:t>
      </w:r>
    </w:p>
    <w:bookmarkStart w:id="33" w:name="sentinel-accounts-missingness"/>
    <w:p>
      <w:pPr>
        <w:pStyle w:val="Heading2"/>
      </w:pPr>
      <w:r>
        <w:t xml:space="preserve">Sentinel Accounts &amp; Missingness</w:t>
      </w:r>
    </w:p>
    <w:p>
      <w:pPr>
        <w:pStyle w:val="FirstParagraph"/>
      </w:pPr>
      <w:r>
        <w:t xml:space="preserve">Two key data-quality findings emerge before any modelling:</w:t>
      </w:r>
    </w:p>
    <w:bookmarkStart w:id="31" w:name="sentinel-codes-in-delinquency-fields."/>
    <w:p>
      <w:pPr>
        <w:pStyle w:val="Heading4"/>
      </w:pPr>
      <w:r>
        <w:t xml:space="preserve">Sentinel codes in delinquency fields.</w:t>
      </w:r>
    </w:p>
    <w:p>
      <w:pPr>
        <w:pStyle w:val="FirstParagraph"/>
      </w:pPr>
      <w:r>
        <w:t xml:space="preserve">Values 96 and 98 in the delinquency columns are data-entry codes, not actual past-due counts.</w:t>
      </w:r>
      <w:r>
        <w:t xml:space="preserve"> </w:t>
      </w:r>
      <w:r>
        <w:t xml:space="preserve">Only 269 accounts (0.18%) carry these codes, but they exhibit a</w:t>
      </w:r>
      <w:r>
        <w:t xml:space="preserve"> </w:t>
      </w:r>
      <w:r>
        <w:rPr>
          <w:bCs/>
          <w:b/>
        </w:rPr>
        <w:t xml:space="preserve">54.6% default rate</w:t>
      </w:r>
      <w:r>
        <w:t xml:space="preserve"> </w:t>
      </w:r>
      <w:r>
        <w:t xml:space="preserve">vs. 6.6% for non-sentinel borrowers — an 8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difference.</w:t>
      </w:r>
      <w:r>
        <w:t xml:space="preserve"> </w:t>
      </w:r>
      <w:r>
        <w:t xml:space="preserve">We retain these rows, flag them with</w:t>
      </w:r>
      <w:r>
        <w:t xml:space="preserve"> </w:t>
      </w:r>
      <w:r>
        <w:rPr>
          <w:rStyle w:val="VerbatimChar"/>
        </w:rPr>
        <w:t xml:space="preserve">delinq_sentinel = 1</w:t>
      </w:r>
      <w:r>
        <w:t xml:space="preserve">, and cap all delinquency counts at 10.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11771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eda/eda_cell010_out000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177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Feature distributions: sentinel (red) vs non-sentinel (blue)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155575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eda/eda_cell010_out001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5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Default rate comparison</w:t>
            </w:r>
          </w:p>
        </w:tc>
      </w:tr>
    </w:tbl>
    <w:p>
      <w:pPr>
        <w:pStyle w:val="ImageCaption"/>
      </w:pPr>
      <w:r>
        <w:t xml:space="preserve">Sentinel vs non-sentinel account profiles</w:t>
      </w:r>
    </w:p>
    <w:p>
      <w:pPr>
        <w:pStyle w:val="BodyText"/>
      </w:pPr>
      <w:r>
        <w:t xml:space="preserve">Sentinel borrowers are younger (median age 33 vs 52), have near-maximal credit utilisation, and carry substantially lower incomes — a high-risk profile consistent with the extreme default rate.</w:t>
      </w:r>
    </w:p>
    <w:bookmarkEnd w:id="31"/>
    <w:bookmarkStart w:id="32" w:name="missing-values."/>
    <w:p>
      <w:pPr>
        <w:pStyle w:val="Heading4"/>
      </w:pPr>
      <w:r>
        <w:t xml:space="preserve">Missing values.</w:t>
      </w:r>
    </w:p>
    <w:p>
      <w:pPr>
        <w:pStyle w:val="FirstParagraph"/>
      </w:pPr>
      <w:r>
        <w:t xml:space="preserve">Only two columns have missing data:</w:t>
      </w:r>
    </w:p>
    <w:p>
      <w:pPr>
        <w:pStyle w:val="TableCaption"/>
      </w:pPr>
      <w:r>
        <w:t xml:space="preserve">Missing value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Missing value summary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Column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monthly_income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MNAR — missing-income borrowers default at 5.6% vs 6.9% (observed)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MCAR — no association with target</w:t>
            </w:r>
          </w:p>
        </w:tc>
      </w:tr>
    </w:tbl>
    <w:p>
      <w:pPr>
        <w:pStyle w:val="BodyText"/>
      </w:pPr>
      <w:r>
        <w:t xml:space="preserve">The counter-intuitive finding that missing income is</w:t>
      </w:r>
      <w:r>
        <w:t xml:space="preserve"> </w:t>
      </w:r>
      <w:r>
        <w:rPr>
          <w:iCs/>
          <w:i/>
        </w:rPr>
        <w:t xml:space="preserve">protective</w:t>
      </w:r>
      <w:r>
        <w:t xml:space="preserve"> </w:t>
      </w:r>
      <w:r>
        <w:t xml:space="preserve">(lower default rate) suggests MNAR: financially stable borrowers (self-employed, investment income) are less likely to report a salaried income field.</w:t>
      </w:r>
      <w:r>
        <w:t xml:space="preserve"> </w:t>
      </w:r>
      <w:r>
        <w:t xml:space="preserve">Binary indicators</w:t>
      </w:r>
      <w:r>
        <w:t xml:space="preserve"> </w:t>
      </w:r>
      <w:r>
        <w:rPr>
          <w:rStyle w:val="VerbatimChar"/>
        </w:rPr>
        <w:t xml:space="preserve">monthly_income_missing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dependents_missing</w:t>
      </w:r>
      <w:r>
        <w:t xml:space="preserve"> </w:t>
      </w:r>
      <w:r>
        <w:t xml:space="preserve">are created before median imputation to preserve this signal.</w:t>
      </w:r>
    </w:p>
    <w:bookmarkEnd w:id="32"/>
    <w:bookmarkEnd w:id="33"/>
    <w:bookmarkStart w:id="40" w:name="univariate-analysis-continuous-features"/>
    <w:p>
      <w:pPr>
        <w:pStyle w:val="Heading2"/>
      </w:pPr>
      <w:r>
        <w:t xml:space="preserve">Univariate Analysis — Continuous Features</w:t>
      </w:r>
    </w:p>
    <w:p>
      <w:pPr>
        <w:pStyle w:val="FirstParagraph"/>
      </w:pPr>
      <w:r>
        <w:t xml:space="preserve">Histograms with KDE overlays reveal extreme right-skew in</w:t>
      </w:r>
      <w:r>
        <w:t xml:space="preserve"> </w:t>
      </w:r>
      <w:r>
        <w:rPr>
          <w:rStyle w:val="VerbatimChar"/>
        </w:rPr>
        <w:t xml:space="preserve">monthly_income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debt_ratio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unsecured_credit</w:t>
      </w:r>
      <w:r>
        <w:t xml:space="preserve">. Log1p transforms are applied for visualisation and for linear/neural models.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1703916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eda/eda_cell018_out000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03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Continuous feature distributions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75693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eda/eda_cell019_out000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56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Monthly income (linear &amp; log scale)</w:t>
            </w:r>
          </w:p>
        </w:tc>
      </w:tr>
    </w:tbl>
    <w:p>
      <w:pPr>
        <w:pStyle w:val="ImageCaption"/>
      </w:pPr>
      <w:r>
        <w:t xml:space="preserve">Continuous feature distributions</w:t>
      </w:r>
    </w:p>
    <w:bookmarkEnd w:id="40"/>
    <w:bookmarkStart w:id="44" w:name="discrete-feature-distributions"/>
    <w:p>
      <w:pPr>
        <w:pStyle w:val="Heading2"/>
      </w:pPr>
      <w:r>
        <w:t xml:space="preserve">Discrete Feature Distributions</w:t>
      </w:r>
    </w:p>
    <w:p>
      <w:pPr>
        <w:pStyle w:val="FirstParagraph"/>
      </w:pPr>
      <w:r>
        <w:t xml:space="preserve">Delinquency variables are heavily zero-inflated (</w:t>
      </w:r>
      <m:oMath>
        <m:r>
          <m:rPr>
            <m:sty m:val="p"/>
          </m:rPr>
          <m:t>&gt;</m:t>
        </m:r>
      </m:oMath>
      <w:r>
        <w:t xml:space="preserve">85% at 0).</w:t>
      </w:r>
      <w:r>
        <w:t xml:space="preserve"> </w:t>
      </w:r>
      <w:r>
        <w:rPr>
          <w:rStyle w:val="VerbatimChar"/>
        </w:rPr>
        <w:t xml:space="preserve">open_credit</w:t>
      </w:r>
      <w:r>
        <w:t xml:space="preserve"> </w:t>
      </w:r>
      <w:r>
        <w:t xml:space="preserve">follows a near-Poisson distribution.</w:t>
      </w:r>
    </w:p>
    <w:p>
      <w:pPr>
        <w:pStyle w:val="CaptionedFigure"/>
      </w:pPr>
      <w:r>
        <w:drawing>
          <wp:inline>
            <wp:extent cx="4533900" cy="225021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eda/eda_cell021_out000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50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Discrete feature distributions (capped at 99.99th percentile)</w:t>
      </w:r>
    </w:p>
    <w:bookmarkEnd w:id="44"/>
    <w:bookmarkStart w:id="48" w:name="class-imbalance"/>
    <w:p>
      <w:pPr>
        <w:pStyle w:val="Heading2"/>
      </w:pPr>
      <w:r>
        <w:t xml:space="preserve">Class Imbalance</w:t>
      </w:r>
    </w:p>
    <w:p>
      <w:pPr>
        <w:pStyle w:val="FirstParagraph"/>
      </w:pPr>
      <w:r>
        <w:t xml:space="preserve">The dataset exhibits a</w:t>
      </w:r>
      <w:r>
        <w:t xml:space="preserve"> </w:t>
      </w:r>
      <w:r>
        <w:rPr>
          <w:bCs/>
          <w:b/>
        </w:rPr>
        <w:t xml:space="preserve">13.5:1</w:t>
      </w:r>
      <w:r>
        <w:t xml:space="preserve"> </w:t>
      </w:r>
      <w:r>
        <w:t xml:space="preserve">imbalance ratio. Only 6.74% of borrowers defaulted.</w:t>
      </w:r>
    </w:p>
    <w:p>
      <w:pPr>
        <w:pStyle w:val="CaptionedFigure"/>
      </w:pPr>
      <w:r>
        <w:drawing>
          <wp:inline>
            <wp:extent cx="3733800" cy="1505048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eda/eda_cell024_out00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5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Target class distribution</w:t>
      </w:r>
    </w:p>
    <w:p>
      <w:pPr>
        <w:pStyle w:val="TableCaption"/>
      </w:pPr>
      <w:r>
        <w:t xml:space="preserve">Class imbalance handling by model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lass imbalance handling by model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class_weight=’balanced’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scale_pos_weight </w:t>
            </w:r>
            <m:oMath>
              <m:r>
                <m:rPr>
                  <m:sty m:val="p"/>
                </m:rPr>
                <m:t>≈</m:t>
              </m:r>
            </m:oMath>
            <w:r>
              <w:rPr>
                <w:rStyle w:val="VerbatimChar"/>
              </w:rPr>
              <w:t xml:space="preserve">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CatBoost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class_weights = [1, class_ratio]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MoE / 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pos_weight = 7.0</w:t>
            </w:r>
            <w:r>
              <w:t xml:space="preserve"> </w:t>
            </w:r>
            <w:r>
              <w:t xml:space="preserve">in BCEWithLogitsLoss</w:t>
            </w:r>
          </w:p>
        </w:tc>
      </w:tr>
    </w:tbl>
    <w:bookmarkEnd w:id="48"/>
    <w:bookmarkStart w:id="58" w:name="bivariate-analysis-features-vs-default"/>
    <w:p>
      <w:pPr>
        <w:pStyle w:val="Heading2"/>
      </w:pPr>
      <w:r>
        <w:t xml:space="preserve">Bivariate Analysis — Features vs Default</w:t>
      </w:r>
    </w:p>
    <w:p>
      <w:pPr>
        <w:pStyle w:val="CaptionedFigure"/>
      </w:pPr>
      <w:r>
        <w:drawing>
          <wp:inline>
            <wp:extent cx="4800600" cy="213764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eda/eda_cell026_out00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37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Violin plots — feature distributions split by default status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927652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eda/eda_cell027_out000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927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Default rate by age group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734174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da/eda_cell028_out000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341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Default rate by delinquency</w:t>
            </w:r>
          </w:p>
        </w:tc>
      </w:tr>
    </w:tbl>
    <w:p>
      <w:pPr>
        <w:pStyle w:val="ImageCaption"/>
      </w:pPr>
      <w:r>
        <w:t xml:space="preserve">Bivariate relationships with default</w:t>
      </w:r>
    </w:p>
    <w:bookmarkEnd w:id="58"/>
    <w:bookmarkEnd w:id="59"/>
    <w:bookmarkStart w:id="77" w:name="correlation-analysis"/>
    <w:p>
      <w:pPr>
        <w:pStyle w:val="Heading1"/>
      </w:pPr>
      <w:r>
        <w:t xml:space="preserve">Correlation Analysis</w:t>
      </w:r>
    </w:p>
    <w:bookmarkStart w:id="60" w:name="why-standard-correlation-is-insufficient"/>
    <w:p>
      <w:pPr>
        <w:pStyle w:val="Heading2"/>
      </w:pPr>
      <w:r>
        <w:t xml:space="preserve">Why Standard Correlation Is Insufficient</w:t>
      </w:r>
    </w:p>
    <w:p>
      <w:pPr>
        <w:pStyle w:val="FirstParagraph"/>
      </w:pPr>
      <w:r>
        <w:t xml:space="preserve">With a</w:t>
      </w:r>
      <w:r>
        <w:t xml:space="preserve"> </w:t>
      </w:r>
      <w:r>
        <w:rPr>
          <w:bCs/>
          <w:b/>
        </w:rPr>
        <w:t xml:space="preserve">binary target</w:t>
      </w:r>
      <w:r>
        <w:t xml:space="preserve"> </w:t>
      </w:r>
      <w:r>
        <w:t xml:space="preserve">(</w:t>
      </w:r>
      <w:r>
        <w:rPr>
          <w:rStyle w:val="VerbatimChar"/>
        </w:rPr>
        <w:t xml:space="preserve">defaulted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) and a mix of continuous, count, and binary inputs, a single correlation coefficient is not appropriate for all pairs:</w:t>
      </w:r>
    </w:p>
    <w:p>
      <w:pPr>
        <w:pStyle w:val="TableCaption"/>
      </w:pPr>
      <w:r>
        <w:t xml:space="preserve">Appropriate association measures by input type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Appropriate association measures by input type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Appropriate Measures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Point-biserial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Mann-Whitney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Rank-biserial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Cohen’s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, AUC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Discrete/Count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Chi-square, Cramér’s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Odds Ratio, Cochran-Armitage trend, Somers’</w:t>
            </w:r>
            <w:r>
              <w:t xml:space="preserve"> </w:t>
            </w:r>
            <m:oMath>
              <m:r>
                <m:t>D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VIF</w:t>
            </w:r>
          </w:p>
        </w:tc>
      </w:tr>
    </w:tbl>
    <w:bookmarkEnd w:id="60"/>
    <w:bookmarkStart w:id="65" w:name="continuous-features-vs-binary-target"/>
    <w:p>
      <w:pPr>
        <w:pStyle w:val="Heading2"/>
      </w:pPr>
      <w:r>
        <w:t xml:space="preserve">Continuous Features vs Binary Target</w:t>
      </w:r>
    </w:p>
    <w:p>
      <w:pPr>
        <w:pStyle w:val="TableCaption"/>
      </w:pPr>
      <w:r>
        <w:t xml:space="preserve">Association measures for continuous feature–target pairs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Association measures for continuous feature–target pair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Point-biserial</w:t>
            </w:r>
            <w: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Linear association (= Pearson with coded binary)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Mann-Whitney</w:t>
            </w:r>
            <w:r>
              <w:t xml:space="preserve"> </w:t>
            </w: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Stochastic dominance (non-parametric; robust to skew)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Rank-biserial</w:t>
            </w:r>
            <w: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Effect size for MWU: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U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Cohen’s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Standardised mean 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Single-feature AUC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score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default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score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non-default</m:t>
                      </m:r>
                    </m:sub>
                  </m:sSub>
                </m:e>
              </m:d>
            </m:oMath>
          </w:p>
        </w:tc>
      </w:tr>
    </w:tbl>
    <w:p/>
    <w:p>
      <w:pPr>
        <w:pStyle w:val="TableCaption"/>
      </w:pPr>
      <w:r>
        <w:t xml:space="preserve">Continuous features vs default — computed association scores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ontinuous features vs default — computed association score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PB</w:t>
            </w:r>
            <w:r>
              <w:rPr>
                <w:bCs/>
                <w:b/>
              </w:rP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Rank-bis. 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Cohen’s</w:t>
            </w:r>
            <w:r>
              <w:rPr>
                <w:bCs/>
                <w:b/>
              </w:rP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AUC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unsecured_credit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0.556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0.222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0.115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0.271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0.465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0.635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monthly_income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0.142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0.069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0.571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debt_ratio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0.048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0.030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0.476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5334000" cy="2375156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eda/eda_cell026_out00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5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Violin + box plots of key features split by default status (log-scaled where needed)</w:t>
      </w:r>
    </w:p>
    <w:p>
      <w:pPr>
        <w:pStyle w:val="CaptionedFigure"/>
      </w:pPr>
      <w:r>
        <w:drawing>
          <wp:inline>
            <wp:extent cx="4533900" cy="1577008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eda/eda_cell027_out00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577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Default rate by age group — dual-axis: line = default rate %, bars = borrower count</w:t>
      </w:r>
    </w:p>
    <w:p>
      <w:pPr>
        <w:pStyle w:val="BodyText"/>
      </w:pPr>
      <w:r>
        <w:rPr>
          <w:bCs/>
          <w:b/>
        </w:rPr>
        <w:t xml:space="preserve">Key findings</w:t>
      </w:r>
      <w:r>
        <w:t xml:space="preserve">: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unsecured_credit</w:t>
      </w:r>
      <w:r>
        <w:t xml:space="preserve"> </w:t>
      </w:r>
      <w:r>
        <w:t xml:space="preserve">has the lowest single-feature AUC (0.222, inverted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0.778) — high utilisation is a strong stress flag.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age</w:t>
      </w:r>
      <w:r>
        <w:t xml:space="preserve"> </w:t>
      </w:r>
      <w:r>
        <w:t xml:space="preserve">shows the largest rank-biserial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(+0.271, AUC = 0.635) — younger borrowers default more.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monthly_income</w:t>
      </w:r>
      <w:r>
        <w:t xml:space="preserve">: Raw Cohen’s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0.069</m:t>
        </m:r>
      </m:oMath>
      <w:r>
        <w:t xml:space="preserve">) is distorted by extreme skew; rank-biserial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(+0.142) is more reliable.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debt_ratio</w:t>
      </w:r>
      <w:r>
        <w:t xml:space="preserve">: Weak linear association (PB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0.008</m:t>
        </m:r>
      </m:oMath>
      <w:r>
        <w:t xml:space="preserve">) despite conceptual importance.</w:t>
      </w:r>
    </w:p>
    <w:bookmarkEnd w:id="65"/>
    <w:bookmarkStart w:id="68" w:name="discrete-count-features-vs-binary-target"/>
    <w:p>
      <w:pPr>
        <w:pStyle w:val="Heading2"/>
      </w:pPr>
      <w:r>
        <w:t xml:space="preserve">Discrete / Count Features vs Binary Target</w:t>
      </w:r>
    </w:p>
    <w:p>
      <w:pPr>
        <w:pStyle w:val="TableCaption"/>
      </w:pPr>
      <w:r>
        <w:t xml:space="preserve">Association measures for discrete feature–target pairs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Association measures for discrete feature–target pair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Chi-square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independence for any discrete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Cramér’s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Effect size: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χ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min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r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</m:d>
                </m:e>
              </m:ra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Odds Ratio + 95%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inputs only: OR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t xml:space="preserve"> </w:t>
            </w:r>
            <w:r>
              <w:t xml:space="preserve">means feature=1 increases default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Cochran-Armitage 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linear dose-response trend for ordinal/count inputs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2 levels);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Somers’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Directional ordinal association; handles ties properly;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</w:p>
        </w:tc>
      </w:tr>
    </w:tbl>
    <w:p/>
    <w:p>
      <w:pPr>
        <w:pStyle w:val="TableCaption"/>
      </w:pPr>
      <w:r>
        <w:t xml:space="preserve">Discrete features vs default — computed association scores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Discrete features vs default — computed association score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Cramér’s</w:t>
            </w:r>
            <w:r>
              <w:rPr>
                <w:bCs/>
                <w:b/>
              </w:rP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Somers’</w:t>
            </w:r>
            <w:r>
              <w:rPr>
                <w:bCs/>
                <w:b/>
              </w:rP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CA</w:t>
            </w:r>
            <w:r>
              <w:rPr>
                <w:bCs/>
                <w:b/>
              </w:rPr>
              <w:t xml:space="preserve"> </w:t>
            </w:r>
            <m:oMath>
              <m:r>
                <m:t>z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OR [95% CI]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delinq_90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17895.5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0.362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120.7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delinq_60_89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11461.4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0.305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102.9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delinq_30_59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11429.2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0.163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105.1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open_credit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11.5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delinq_sentinel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0.481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17.06 [13.41, 21.70]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real_estate_loans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2.7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0.020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18.2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 [0.75, 0.84]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0.022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 [0.57, 0.77]</w:t>
            </w:r>
          </w:p>
        </w:tc>
      </w:tr>
    </w:tbl>
    <w:p>
      <w:pPr>
        <w:pStyle w:val="CaptionedFigure"/>
      </w:pPr>
      <w:r>
        <w:drawing>
          <wp:inline>
            <wp:extent cx="5334000" cy="1468348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eda/eda_cell028_out000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8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Default rate by delinquency count — dose-response relationship for 30–59, 60–89, and 90+ day past-due events</w:t>
      </w:r>
    </w:p>
    <w:p>
      <w:pPr>
        <w:pStyle w:val="BodyText"/>
      </w:pPr>
      <w:r>
        <w:rPr>
          <w:bCs/>
          <w:b/>
        </w:rPr>
        <w:t xml:space="preserve">Key findings</w:t>
      </w:r>
      <w:r>
        <w:t xml:space="preserve">: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delinq_sentinel</w:t>
      </w:r>
      <w:r>
        <w:t xml:space="preserve"> </w:t>
      </w:r>
      <w:r>
        <w:t xml:space="preserve">(Cramér’s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0.356</m:t>
        </m:r>
      </m:oMath>
      <w:r>
        <w:t xml:space="preserve">) is the strongest single predictor.</w:t>
      </w:r>
    </w:p>
    <w:p>
      <w:pPr>
        <w:numPr>
          <w:ilvl w:val="0"/>
          <w:numId w:val="1004"/>
        </w:numPr>
      </w:pPr>
      <w:r>
        <w:t xml:space="preserve">All three delinquency features show massive Cochran-Armitage</w:t>
      </w:r>
      <w:r>
        <w:t xml:space="preserve"> </w:t>
      </w:r>
      <m:oMath>
        <m:r>
          <m:t>z</m:t>
        </m:r>
        <m:r>
          <m:rPr>
            <m:sty m:val="p"/>
          </m:rPr>
          <m:t>&gt;</m:t>
        </m:r>
        <m:r>
          <m:t>100</m:t>
        </m:r>
      </m:oMath>
      <w:r>
        <w:t xml:space="preserve"> </w:t>
      </w:r>
      <w:r>
        <w:t xml:space="preserve">and positive Somers’</w:t>
      </w:r>
      <w:r>
        <w:t xml:space="preserve"> </w:t>
      </w:r>
      <m:oMath>
        <m:r>
          <m:t>D</m:t>
        </m:r>
      </m:oMath>
      <w:r>
        <w:t xml:space="preserve">, confirming strong monotonic dose-response trends.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delinq_30_59</w:t>
      </w:r>
      <w:r>
        <w:t xml:space="preserve"> </w:t>
      </w:r>
      <w:r>
        <w:t xml:space="preserve">has notably lower Somers’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(+0.163) than Cramér’s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(0.289) because the association concentrates at the 0</w:t>
      </w:r>
      <m:oMath>
        <m:r>
          <m:rPr>
            <m:sty m:val="p"/>
          </m:rPr>
          <m:t>→</m:t>
        </m:r>
      </m:oMath>
      <w:r>
        <w:t xml:space="preserve">1 jump rather than a smooth linear gradient.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monthly_income_missing</w:t>
      </w:r>
      <w:r>
        <w:t xml:space="preserve"> </w:t>
      </w:r>
      <w:r>
        <w:t xml:space="preserve">has OR </w:t>
      </w:r>
      <m:oMath>
        <m:r>
          <m:rPr>
            <m:sty m:val="p"/>
          </m:rPr>
          <m:t>=</m:t>
        </m:r>
        <m:r>
          <m:t>0.80</m:t>
        </m:r>
      </m:oMath>
      <w:r>
        <w:t xml:space="preserve"> </w:t>
      </w:r>
      <w:r>
        <w:t xml:space="preserve">[0.75, 0.84] — missing income is</w:t>
      </w:r>
      <w:r>
        <w:t xml:space="preserve"> </w:t>
      </w:r>
      <w:r>
        <w:rPr>
          <w:iCs/>
          <w:i/>
        </w:rPr>
        <w:t xml:space="preserve">protective</w:t>
      </w:r>
      <w:r>
        <w:t xml:space="preserve"> </w:t>
      </w:r>
      <w:r>
        <w:t xml:space="preserve">(MNAR mechanism).</w:t>
      </w:r>
    </w:p>
    <w:p>
      <w:pPr>
        <w:numPr>
          <w:ilvl w:val="0"/>
          <w:numId w:val="1004"/>
        </w:numPr>
      </w:pPr>
      <w:r>
        <w:t xml:space="preserve">All p-values survive Benjamini-Hochberg FDR correction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</w:p>
    <w:bookmarkEnd w:id="68"/>
    <w:bookmarkStart w:id="72" w:name="variance-inflation-factor-vif"/>
    <w:p>
      <w:pPr>
        <w:pStyle w:val="Heading2"/>
      </w:pPr>
      <w:r>
        <w:t xml:space="preserve">Variance Inflation Factor (VIF)</w:t>
      </w:r>
    </w:p>
    <w:p>
      <w:pPr>
        <w:pStyle w:val="FirstParagraph"/>
      </w:pPr>
      <w:r>
        <w:t xml:space="preserve">VIF measures how much a feature’s variance is inflated by multicollinearity: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VIF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R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TableCaption"/>
      </w:pPr>
      <w:r>
        <w:t xml:space="preserve">VIF interpretation thresholds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VIF interpretation threshold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VIF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Low multicollinearity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rPr>
                  <m:sty m:val="p"/>
                </m:rPr>
                <m:t>≤</m:t>
              </m:r>
              <m:r>
                <m:rPr>
                  <m:nor/>
                  <m:sty m:val="p"/>
                </m:rPr>
                <m:t>VIF</m:t>
              </m:r>
              <m:r>
                <m:rPr>
                  <m:sty m:val="p"/>
                </m:rPr>
                <m:t>&lt;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Moderate —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VIF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Severe — consider dropping</w:t>
            </w:r>
          </w:p>
        </w:tc>
      </w:tr>
    </w:tbl>
    <w:p>
      <w:pPr>
        <w:pStyle w:val="CaptionedFigure"/>
      </w:pPr>
      <w:r>
        <w:drawing>
          <wp:inline>
            <wp:extent cx="4000500" cy="218209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eda/eda_cell033_out00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Variance Inflation Factors. All features have VIF</w:t>
      </w:r>
      <w:r>
        <w:t xml:space="preserve"> </w:t>
      </w:r>
      <m:oMath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— no problematic multicollinearity.</w:t>
      </w:r>
    </w:p>
    <w:bookmarkEnd w:id="72"/>
    <w:bookmarkStart w:id="76" w:name="mutual-information"/>
    <w:p>
      <w:pPr>
        <w:pStyle w:val="Heading2"/>
      </w:pPr>
      <w:r>
        <w:t xml:space="preserve">Mutual Information</w:t>
      </w:r>
    </w:p>
    <w:p>
      <w:pPr>
        <w:pStyle w:val="FirstParagraph"/>
      </w:pPr>
      <w:r>
        <w:t xml:space="preserve">Mutual information captures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(including non-linear) dependence between a feature and the target: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log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</m:num>
            <m:den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</m:e>
              </m:d>
            </m:den>
          </m:f>
        </m:oMath>
      </m:oMathPara>
    </w:p>
    <w:p>
      <w:pPr>
        <w:pStyle w:val="CaptionedFigure"/>
      </w:pPr>
      <w:r>
        <w:drawing>
          <wp:inline>
            <wp:extent cx="4000500" cy="218209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eda/eda_cell044_out000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Mutual information ranking (bits)</w:t>
      </w:r>
    </w:p>
    <w:p>
      <w:pPr>
        <w:pStyle w:val="TableCaption"/>
      </w:pPr>
      <w:r>
        <w:t xml:space="preserve">Top 5 features by mutual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op 5 features by mutual information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MI (bits)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delinq_90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delinq_60_89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delinq_30_59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unsecured_credit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</w:t>
            </w:r>
          </w:p>
        </w:tc>
      </w:tr>
    </w:tbl>
    <w:bookmarkEnd w:id="76"/>
    <w:bookmarkEnd w:id="77"/>
    <w:bookmarkStart w:id="153" w:name="modelling"/>
    <w:p>
      <w:pPr>
        <w:pStyle w:val="Heading1"/>
      </w:pPr>
      <w:r>
        <w:t xml:space="preserve">Modelling</w:t>
      </w:r>
    </w:p>
    <w:p>
      <w:pPr>
        <w:pStyle w:val="FirstParagraph"/>
      </w:pPr>
      <w:r>
        <w:t xml:space="preserve">Six models were trained and evaluated on a consistent 70/15/15 stratified split. All models use the same 13-feature set. Two decision thresholds are tuned on the validation set: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Max-F1</w:t>
      </w:r>
      <w:r>
        <w:t xml:space="preserve">: Threshold maximising F1 score on the default class.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Precision</w:t>
      </w:r>
      <w:r>
        <w:rPr>
          <w:bCs/>
          <w:b/>
        </w:rPr>
        <w:t xml:space="preserve"> </w:t>
      </w:r>
      <m:oMath>
        <m:r>
          <m:rPr>
            <m:sty m:val="p"/>
          </m:rPr>
          <m:t>≥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50%</w:t>
      </w:r>
      <w:r>
        <w:t xml:space="preserve">: Maximum recall subject to precision</w:t>
      </w:r>
      <w:r>
        <w:t xml:space="preserve"> </w:t>
      </w:r>
      <m:oMath>
        <m:r>
          <m:rPr>
            <m:sty m:val="p"/>
          </m:rPr>
          <m:t>≥</m:t>
        </m:r>
        <m:r>
          <m:t>50</m:t>
        </m:r>
        <m:r>
          <m:rPr>
            <m:sty m:val="p"/>
          </m:rPr>
          <m:t>%</m:t>
        </m:r>
      </m:oMath>
      <w:r>
        <w:t xml:space="preserve">.</w:t>
      </w:r>
    </w:p>
    <w:bookmarkStart w:id="84" w:name="logistic-regression-baseline"/>
    <w:p>
      <w:pPr>
        <w:pStyle w:val="Heading2"/>
      </w:pPr>
      <w:r>
        <w:t xml:space="preserve">Logistic Regression (Baseline)</w:t>
      </w:r>
    </w:p>
    <w:p>
      <w:pPr>
        <w:pStyle w:val="FirstParagraph"/>
      </w:pPr>
      <w:r>
        <w:rPr>
          <w:bCs/>
          <w:b/>
        </w:rPr>
        <w:t xml:space="preserve">Theory.</w:t>
      </w:r>
      <w:r>
        <w:t xml:space="preserve"> </w:t>
      </w:r>
      <w:r>
        <w:t xml:space="preserve">Logistic regression models the log-odds of the positive class as a linear function: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sSub>
            <m:e>
              <m:r>
                <m:t>x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β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Implementation.</w:t>
      </w:r>
      <w:r>
        <w:t xml:space="preserve"> </w:t>
      </w:r>
      <w:r>
        <w:t xml:space="preserve">Trained with L2 regularisation (</w:t>
      </w:r>
      <m:oMath>
        <m:r>
          <m:t>C</m:t>
        </m:r>
        <m:r>
          <m:rPr>
            <m:sty m:val="p"/>
          </m:rPr>
          <m:t>=</m:t>
        </m:r>
        <m:r>
          <m:t>1.0</m:t>
        </m:r>
      </m:oMath>
      <w:r>
        <w:t xml:space="preserve">) and</w:t>
      </w:r>
      <w:r>
        <w:t xml:space="preserve"> </w:t>
      </w:r>
      <w:r>
        <w:rPr>
          <w:rStyle w:val="VerbatimChar"/>
        </w:rPr>
        <w:t xml:space="preserve">class_weight=’balanced’</w:t>
      </w:r>
      <w:r>
        <w:t xml:space="preserve">. Income is log1p-transformed before fitting.</w:t>
      </w:r>
    </w:p>
    <w:p>
      <w:pPr>
        <w:pStyle w:val="TableCaption"/>
      </w:pPr>
      <w:r>
        <w:t xml:space="preserve">Logistic Regression — test set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Logistic Regression — test set result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(Max-F1 threshold)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(P50% threshold)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0.4947</w:t>
            </w:r>
          </w:p>
        </w:tc>
      </w:tr>
    </w:tbl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1454727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eda/lr_coefficients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4547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LR coefficients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734174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eda/lr_confusion_matrix_roc_pr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341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Confusion matrix, ROC, PR</w:t>
            </w:r>
          </w:p>
        </w:tc>
      </w:tr>
    </w:tbl>
    <w:p>
      <w:pPr>
        <w:pStyle w:val="ImageCaption"/>
      </w:pPr>
      <w:r>
        <w:t xml:space="preserve">Logistic Regression evaluation</w:t>
      </w:r>
    </w:p>
    <w:bookmarkEnd w:id="84"/>
    <w:bookmarkStart w:id="94" w:name="xgboost"/>
    <w:p>
      <w:pPr>
        <w:pStyle w:val="Heading2"/>
      </w:pPr>
      <w:r>
        <w:t xml:space="preserve">XGBoost</w:t>
      </w:r>
    </w:p>
    <w:p>
      <w:pPr>
        <w:pStyle w:val="FirstParagraph"/>
      </w:pPr>
      <w:r>
        <w:rPr>
          <w:bCs/>
          <w:b/>
        </w:rPr>
        <w:t xml:space="preserve">Theory.</w:t>
      </w:r>
      <w:r>
        <w:t xml:space="preserve"> </w:t>
      </w:r>
      <w:r>
        <w:t xml:space="preserve">XGBoost builds an ensemble of decision trees sequentially, where each tree corrects residual errors: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sup>
          </m:sSubSup>
          <m:r>
            <m:rPr>
              <m:sty m:val="p"/>
            </m:rPr>
            <m:t>=</m:t>
          </m:r>
          <m:sSub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sup>
          </m:sSubSup>
          <m:r>
            <m:rPr>
              <m:sty m:val="p"/>
            </m:rPr>
            <m:t>+</m:t>
          </m:r>
          <m:r>
            <m:t>η</m:t>
          </m:r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The objective includes a regularisation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  <m:scr m:val="script"/>
                </m:rPr>
                <m:t>L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l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+</m:t>
          </m:r>
          <m:r>
            <m:t>Ω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t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Ω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γ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λ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Sup>
              <m:e>
                <m:r>
                  <m:t>w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Implementation.</w:t>
      </w:r>
      <w:r>
        <w:t xml:space="preserve"> </w:t>
      </w:r>
      <w:r>
        <w:t xml:space="preserve">2,000 estimators, learning rate 0.05, max depth 6,</w:t>
      </w:r>
      <w:r>
        <w:t xml:space="preserve"> </w:t>
      </w:r>
      <w:r>
        <w:rPr>
          <w:rStyle w:val="VerbatimChar"/>
        </w:rPr>
        <w:t xml:space="preserve">scale_pos_weight</w:t>
      </w:r>
      <w:r>
        <w:t xml:space="preserve"> </w:t>
      </w:r>
      <m:oMath>
        <m:r>
          <m:rPr>
            <m:sty m:val="p"/>
          </m:rPr>
          <m:t>≈</m:t>
        </m:r>
        <m:r>
          <m:t>14</m:t>
        </m:r>
      </m:oMath>
      <w:r>
        <w:t xml:space="preserve">, early stopping at 30 rounds. Best iteration: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284 trees.</w:t>
      </w:r>
    </w:p>
    <w:p>
      <w:pPr>
        <w:pStyle w:val="TableCaption"/>
      </w:pPr>
      <w:r>
        <w:t xml:space="preserve">XGBoost — test set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XGBoost — test set result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(Max-F1)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(P50%)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0.5431</w:t>
            </w:r>
          </w:p>
        </w:tc>
      </w:tr>
    </w:tbl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624214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boosting_models/xgboost_confusion_matrix_roc_pr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624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Confusion matrix, ROC, PR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737522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boosting_models/xgboost_feature_importanc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375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Feature importance</w:t>
            </w:r>
          </w:p>
        </w:tc>
      </w:tr>
    </w:tbl>
    <w:p>
      <w:pPr>
        <w:pStyle w:val="ImageCaption"/>
      </w:pPr>
      <w:r>
        <w:t xml:space="preserve">XGBoost evaluation</w:t>
      </w:r>
    </w:p>
    <w:p>
      <w:pPr>
        <w:pStyle w:val="CaptionedFigure"/>
      </w:pPr>
      <w:r>
        <w:drawing>
          <wp:inline>
            <wp:extent cx="4267200" cy="3630099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boosting_models/shap_beeswarm_xgboost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30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XGBoost — SHAP beeswarm</w:t>
      </w:r>
    </w:p>
    <w:bookmarkEnd w:id="94"/>
    <w:bookmarkStart w:id="101" w:name="catboost-baseline"/>
    <w:p>
      <w:pPr>
        <w:pStyle w:val="Heading2"/>
      </w:pPr>
      <w:r>
        <w:t xml:space="preserve">CatBoost (Baseline)</w:t>
      </w:r>
    </w:p>
    <w:p>
      <w:pPr>
        <w:pStyle w:val="FirstParagraph"/>
      </w:pPr>
      <w:r>
        <w:rPr>
          <w:bCs/>
          <w:b/>
        </w:rPr>
        <w:t xml:space="preserve">Theory.</w:t>
      </w:r>
      <w:r>
        <w:t xml:space="preserve"> </w:t>
      </w:r>
      <w:r>
        <w:t xml:space="preserve">CatBoost (Prokhorenkova et al., 2018) uses</w:t>
      </w:r>
      <w:r>
        <w:t xml:space="preserve"> </w:t>
      </w:r>
      <w:r>
        <w:rPr>
          <w:bCs/>
          <w:b/>
        </w:rPr>
        <w:t xml:space="preserve">ordered boosting</w:t>
      </w:r>
      <w:r>
        <w:t xml:space="preserve"> </w:t>
      </w:r>
      <w:r>
        <w:t xml:space="preserve">to reduce prediction shift. Key innovations: (1) observations are permuted so target statistics never include the current sample; (2) symmetric (oblivious) trees where all nodes at the same depth share the same split.</w:t>
      </w:r>
    </w:p>
    <w:p>
      <w:pPr>
        <w:pStyle w:val="BodyText"/>
      </w:pPr>
      <w:r>
        <w:rPr>
          <w:bCs/>
          <w:b/>
        </w:rPr>
        <w:t xml:space="preserve">Implementation.</w:t>
      </w:r>
      <w:r>
        <w:t xml:space="preserve"> </w:t>
      </w:r>
      <w:r>
        <w:t xml:space="preserve">2,000 iterations, learning rate 0.05, depth 6,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leaf reg</w:t>
      </w:r>
      <w:r>
        <w:t xml:space="preserve"> </w:t>
      </w:r>
      <m:oMath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TableCaption"/>
      </w:pPr>
      <w:r>
        <w:t xml:space="preserve">CatBoost Baseline — test set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atBoost Baseline — test set result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(Max-F1)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(P50%)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0.5480</w:t>
            </w:r>
          </w:p>
        </w:tc>
      </w:tr>
    </w:tbl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624214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boosting_models/catboost_baseline_confusion_matrix_roc_pr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624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Confusion matrix, ROC, PR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95032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boosting_models/catboost_feature_importanc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950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Feature importance</w:t>
            </w:r>
          </w:p>
        </w:tc>
      </w:tr>
    </w:tbl>
    <w:p>
      <w:pPr>
        <w:pStyle w:val="ImageCaption"/>
      </w:pPr>
      <w:r>
        <w:t xml:space="preserve">CatBoost Baseline evaluation</w:t>
      </w:r>
    </w:p>
    <w:bookmarkEnd w:id="101"/>
    <w:bookmarkStart w:id="114" w:name="Xc81d14fee24a6bf1cb81665b33370af2bf08e36"/>
    <w:p>
      <w:pPr>
        <w:pStyle w:val="Heading2"/>
      </w:pPr>
      <w:r>
        <w:t xml:space="preserve">CatBoost (Optuna-Tuned) — Primary Production Model</w:t>
      </w:r>
    </w:p>
    <w:p>
      <w:pPr>
        <w:pStyle w:val="FirstParagraph"/>
      </w:pPr>
      <w:r>
        <w:rPr>
          <w:bCs/>
          <w:b/>
        </w:rPr>
        <w:t xml:space="preserve">Optuna</w:t>
      </w:r>
      <w:r>
        <w:t xml:space="preserve"> </w:t>
      </w:r>
      <w:r>
        <w:t xml:space="preserve">(Akiba et al., 2019) uses the Tree-structured Parzen Estimator (TPE) sampler for Bayesian hyperparameter optimisation. 50 trials were run.</w:t>
      </w:r>
    </w:p>
    <w:p>
      <w:pPr>
        <w:pStyle w:val="BodyText"/>
      </w:pPr>
      <w:r>
        <w:rPr>
          <w:bCs/>
          <w:b/>
        </w:rPr>
        <w:t xml:space="preserve">Search space</w:t>
      </w:r>
      <w:r>
        <w:t xml:space="preserve">: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learning_rate</w:t>
      </w:r>
      <w:r>
        <w:t xml:space="preserve">: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0.01</m:t>
            </m:r>
            <m:r>
              <m:rPr>
                <m:sty m:val="p"/>
              </m:rPr>
              <m:t>,</m:t>
            </m:r>
            <m:r>
              <m:t>0.3</m:t>
            </m:r>
          </m:e>
        </m:d>
      </m:oMath>
      <w:r>
        <w:t xml:space="preserve"> </w:t>
      </w:r>
      <w:r>
        <w:t xml:space="preserve">(log scale)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depth</w:t>
      </w:r>
      <w:r>
        <w:t xml:space="preserve">: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</w:p>
    <w:p>
      <w:pPr>
        <w:numPr>
          <w:ilvl w:val="0"/>
          <w:numId w:val="1006"/>
        </w:numPr>
      </w:pPr>
      <w:r>
        <w:rPr>
          <w:rStyle w:val="VerbatimChar"/>
        </w:rPr>
        <w:t xml:space="preserve">iterations</w:t>
      </w:r>
      <w:r>
        <w:t xml:space="preserve">: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500</m:t>
            </m:r>
            <m:r>
              <m:rPr>
                <m:sty m:val="p"/>
              </m:rPr>
              <m:t>,</m:t>
            </m:r>
            <m:r>
              <m:t>3000</m:t>
            </m:r>
          </m:e>
        </m:d>
      </m:oMath>
    </w:p>
    <w:p>
      <w:pPr>
        <w:numPr>
          <w:ilvl w:val="0"/>
          <w:numId w:val="1006"/>
        </w:numPr>
      </w:pPr>
      <w:r>
        <w:rPr>
          <w:rStyle w:val="VerbatimChar"/>
        </w:rPr>
        <w:t xml:space="preserve">l2_leaf_reg</w:t>
      </w:r>
      <w:r>
        <w:t xml:space="preserve">: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1.0</m:t>
            </m:r>
            <m:r>
              <m:rPr>
                <m:sty m:val="p"/>
              </m:rPr>
              <m:t>,</m:t>
            </m:r>
            <m:r>
              <m:t>10.0</m:t>
            </m:r>
          </m:e>
        </m:d>
      </m:oMath>
    </w:p>
    <w:p>
      <w:pPr>
        <w:numPr>
          <w:ilvl w:val="0"/>
          <w:numId w:val="1006"/>
        </w:numPr>
      </w:pPr>
      <w:r>
        <w:rPr>
          <w:rStyle w:val="VerbatimChar"/>
        </w:rPr>
        <w:t xml:space="preserve">bagging_temperature</w:t>
      </w:r>
      <w:r>
        <w:t xml:space="preserve">: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0.0</m:t>
            </m:r>
            <m:r>
              <m:rPr>
                <m:sty m:val="p"/>
              </m:rPr>
              <m:t>,</m:t>
            </m:r>
            <m:r>
              <m:t>1.0</m:t>
            </m:r>
          </m:e>
        </m:d>
      </m:oMath>
    </w:p>
    <w:p>
      <w:pPr>
        <w:pStyle w:val="FirstParagraph"/>
      </w:pPr>
      <w:r>
        <w:rPr>
          <w:bCs/>
          <w:b/>
        </w:rPr>
        <w:t xml:space="preserve">Best hyperparameters found</w:t>
      </w:r>
      <w:r>
        <w:t xml:space="preserve">:</w:t>
      </w:r>
    </w:p>
    <w:p>
      <w:pPr>
        <w:pStyle w:val="TableCaption"/>
      </w:pPr>
      <w:r>
        <w:t xml:space="preserve">Optuna best hyperparameters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Optuna best hyperparameter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learning_rate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l2_leaf_reg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bagging_temperature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border_count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</w:tr>
    </w:tbl>
    <w:p>
      <w:pPr>
        <w:pStyle w:val="CaptionedFigure"/>
      </w:pPr>
      <w:r>
        <w:drawing>
          <wp:inline>
            <wp:extent cx="4533900" cy="1595563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boosting_models/optuna_history_param_importance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595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Optuna optimisation history and parameter importance</w:t>
      </w:r>
    </w:p>
    <w:p>
      <w:pPr>
        <w:pStyle w:val="TableCaption"/>
      </w:pPr>
      <w:r>
        <w:t xml:space="preserve">CatBoost Tuned vs Baseline — test 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atBoost Tuned vs Baseline — test 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Tuned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Δ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0.8351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(Max-F1)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(P50%)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+0.009</w:t>
            </w:r>
          </w:p>
        </w:tc>
      </w:tr>
    </w:tbl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624214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boosting_models/catboost_tuned_confusion_matrix_roc_pr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624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Confusion matrix, ROC, PR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1097077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boosting_models/catboost_baseline_vs_tuned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0970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Baseline vs Tuned</w:t>
            </w:r>
          </w:p>
        </w:tc>
      </w:tr>
    </w:tbl>
    <w:p>
      <w:pPr>
        <w:pStyle w:val="ImageCaption"/>
      </w:pPr>
      <w:r>
        <w:t xml:space="preserve">CatBoost Tuned evaluation</w:t>
      </w:r>
    </w:p>
    <w:p>
      <w:pPr>
        <w:pStyle w:val="CaptionedFigure"/>
      </w:pPr>
      <w:r>
        <w:drawing>
          <wp:inline>
            <wp:extent cx="4267200" cy="3630099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boosting_models/shap_beeswarm_catboost_tuned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30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CatBoost Tuned — SHAP beeswarm (production model)</w:t>
      </w:r>
    </w:p>
    <w:bookmarkEnd w:id="114"/>
    <w:bookmarkStart w:id="145" w:name="mixture-of-experts-moe-teacher"/>
    <w:p>
      <w:pPr>
        <w:pStyle w:val="Heading2"/>
      </w:pPr>
      <w:r>
        <w:t xml:space="preserve">Mixture-of-Experts (MoE) Teacher</w:t>
      </w:r>
    </w:p>
    <w:p>
      <w:pPr>
        <w:pStyle w:val="FirstParagraph"/>
      </w:pPr>
      <w:r>
        <w:rPr>
          <w:bCs/>
          <w:b/>
        </w:rPr>
        <w:t xml:space="preserve">Theory.</w:t>
      </w:r>
      <w:r>
        <w:t xml:space="preserve"> </w:t>
      </w:r>
      <w:r>
        <w:t xml:space="preserve">The MoE architecture routes each input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specialised expert networks weighted by a learned gating function: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softmax</m:t>
        </m:r>
        <m:sSub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W</m:t>
                    </m:r>
                  </m:e>
                  <m:sub>
                    <m:r>
                      <m:t>g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g</m:t>
                    </m:r>
                  </m:sub>
                </m:sSub>
              </m:e>
            </m:d>
          </m:e>
          <m:sub>
            <m:r>
              <m:t>k</m:t>
            </m:r>
          </m:sub>
        </m:sSub>
      </m:oMath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 independent 3-layer MLP.</w:t>
      </w:r>
    </w:p>
    <w:p>
      <w:pPr>
        <w:pStyle w:val="BodyText"/>
      </w:pPr>
      <w:r>
        <w:rPr>
          <w:bCs/>
          <w:b/>
        </w:rPr>
        <w:t xml:space="preserve">Load-balancing auxiliary loss</w:t>
      </w:r>
      <w:r>
        <w:t xml:space="preserve"> </w:t>
      </w:r>
      <w:r>
        <w:t xml:space="preserve">(Switch Transformer, Fedus et al. 2022):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aux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⋅</m:t>
          </m:r>
          <m:r>
            <m:t>K</m:t>
          </m:r>
          <m:r>
            <m:rPr>
              <m:sty m:val="p"/>
            </m:rPr>
            <m:t>⋅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= fraction of samples hard-routed to expert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= mean gate probability for expert</w:t>
      </w:r>
      <w:r>
        <w:t xml:space="preserve"> </w:t>
      </w:r>
      <m:oMath>
        <m:r>
          <m:t>k</m:t>
        </m:r>
      </m:oMath>
      <w:r>
        <w:t xml:space="preserve">, and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Implementation.</w:t>
      </w:r>
      <w:r>
        <w:t xml:space="preserve"> </w:t>
      </w:r>
      <w:r>
        <w:t xml:space="preserve">3 experts, each a 3-layer MLP (13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64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64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1) with BatchNorm and Dropout(0.3). Gating network: 13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32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3 (softmax). Trained with Adam (</w:t>
      </w:r>
      <m:oMath>
        <m:r>
          <m:rPr>
            <m:nor/>
            <m:sty m:val="p"/>
          </m:rPr>
          <m:t>lr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), ReduceLROnPlateau, early stopping (patience 100).</w:t>
      </w:r>
      <w:r>
        <w:t xml:space="preserve"> </w:t>
      </w:r>
      <w:r>
        <w:rPr>
          <w:rStyle w:val="VerbatimChar"/>
        </w:rPr>
        <w:t xml:space="preserve">pos_weight</w:t>
      </w:r>
      <w:r>
        <w:t xml:space="preserve"> </w:t>
      </w:r>
      <w:r>
        <w:t xml:space="preserve">= 7.0. Convergence: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187 epochs.</w:t>
      </w:r>
    </w:p>
    <w:p>
      <w:pPr>
        <w:pStyle w:val="TableCaption"/>
      </w:pPr>
      <w:r>
        <w:t xml:space="preserve">MoE Teacher — test set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MoE Teacher — test set result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0.8426</w:t>
            </w:r>
            <w:r>
              <w:t xml:space="preserve"> </w:t>
            </w:r>
            <w:r>
              <w:t xml:space="preserve">(best overall)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Precision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0.5348</w:t>
            </w:r>
            <w:r>
              <w:t xml:space="preserve"> </w:t>
            </w:r>
            <w:r>
              <w:t xml:space="preserve">(best overall)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(Max-F1)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(P50%)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0.5223</w:t>
            </w:r>
          </w:p>
        </w:tc>
      </w:tr>
    </w:tbl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624214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moe_model_with_log_income/moe_teacher_confusion_matrix_roc_pr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624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Confusion matrix, ROC, PR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654856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moe_model_with_log_income/training_diagnostics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6548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Training diagnostics</w:t>
            </w:r>
          </w:p>
        </w:tc>
      </w:tr>
    </w:tbl>
    <w:p>
      <w:pPr>
        <w:pStyle w:val="ImageCaption"/>
      </w:pPr>
      <w:r>
        <w:t xml:space="preserve">MoE Teacher evaluation</w:t>
      </w:r>
    </w:p>
    <w:bookmarkStart w:id="127" w:name="expert-specialisation"/>
    <w:p>
      <w:pPr>
        <w:pStyle w:val="Heading3"/>
      </w:pPr>
      <w:r>
        <w:t xml:space="preserve">Expert Specialisation</w:t>
      </w:r>
    </w:p>
    <w:p>
      <w:pPr>
        <w:pStyle w:val="TableCaption"/>
      </w:pPr>
      <w:r>
        <w:t xml:space="preserve">Per-expert routing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Per-expert routing statistic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Expert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Sample Share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Default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6.3%</w:t>
            </w:r>
          </w:p>
        </w:tc>
      </w:tr>
    </w:tbl>
    <w:p>
      <w:pPr>
        <w:pStyle w:val="BodyText"/>
      </w:pPr>
      <w:r>
        <w:t xml:space="preserve">Mean gate confidence: 0.46 (healthy uncertainty; gates are not collapsed).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654512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e_model_with_log_income/expert_specialisation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6545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Expert specialisation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2317102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e_model_with_log_income/expert_metrics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317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Expert metrics</w:t>
            </w:r>
          </w:p>
        </w:tc>
      </w:tr>
    </w:tbl>
    <w:p>
      <w:pPr>
        <w:pStyle w:val="ImageCaption"/>
      </w:pPr>
      <w:r>
        <w:t xml:space="preserve">Expert routing and per-expert performance</w:t>
      </w:r>
    </w:p>
    <w:bookmarkEnd w:id="127"/>
    <w:bookmarkStart w:id="137" w:name="per-expert-feature-importance"/>
    <w:p>
      <w:pPr>
        <w:pStyle w:val="Heading3"/>
      </w:pPr>
      <w:r>
        <w:t xml:space="preserve">Per-Expert Feature Importance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197235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moe_model_with_log_income/expert_gradient_importance_heatmap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972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Gradient-based importance heatmap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939129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e_model_with_log_income/expert_gradient_importance_bars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9391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Per-expert importance bars</w:t>
            </w:r>
          </w:p>
        </w:tc>
      </w:tr>
    </w:tbl>
    <w:p>
      <w:pPr>
        <w:pStyle w:val="ImageCaption"/>
      </w:pPr>
      <w:r>
        <w:t xml:space="preserve">Per-expert feature importance — each expert learns to weight features differently, confirming genuine specialisation rather than redundancy.</w:t>
      </w:r>
    </w:p>
    <w:p>
      <w:pPr>
        <w:pStyle w:val="CaptionedFigure"/>
      </w:pPr>
      <w:r>
        <w:drawing>
          <wp:inline>
            <wp:extent cx="4000500" cy="1318474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moe_model_with_log_income/expert_feature_profiles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318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Expert feature profiles — mean feature values per expert cluster</w:t>
      </w:r>
    </w:p>
    <w:bookmarkEnd w:id="137"/>
    <w:bookmarkStart w:id="144" w:name="umap-projection-2d"/>
    <w:p>
      <w:pPr>
        <w:pStyle w:val="Heading3"/>
      </w:pPr>
      <w:r>
        <w:t xml:space="preserve">UMAP Projection (2D)</w:t>
      </w:r>
    </w:p>
    <w:p>
      <w:pPr>
        <w:pStyle w:val="FirstParagraph"/>
      </w:pPr>
      <w:r>
        <w:t xml:space="preserve">UMAP (McInnes et al., 2018) projects the 13-dimensional feature space into 2D, coloured by expert assignment. Clear clustering confirms that the gating network routes borrowers into distinct sub-populations.</w:t>
      </w:r>
    </w:p>
    <w:p>
      <w:pPr>
        <w:pStyle w:val="CaptionedFigure"/>
      </w:pPr>
      <w:r>
        <w:drawing>
          <wp:inline>
            <wp:extent cx="4533900" cy="3692756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moe_model_with_log_income/umap_projection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692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UMAP 2D projection of borrowers, coloured by expert assignment. Three distinct territories are visible, validating the MoE architecture’s ability to discover latent population structure.</w:t>
      </w:r>
    </w:p>
    <w:p>
      <w:pPr>
        <w:pStyle w:val="CaptionedFigure"/>
      </w:pPr>
      <w:r>
        <w:drawing>
          <wp:inline>
            <wp:extent cx="4267200" cy="3630099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moe_model_with_log_income/shap_beeswarm_moe_teacher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30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MoE Teacher — SHAP beeswarm</w:t>
      </w:r>
    </w:p>
    <w:bookmarkEnd w:id="144"/>
    <w:bookmarkEnd w:id="145"/>
    <w:bookmarkStart w:id="152" w:name="knowledge-distillation-student-networks"/>
    <w:p>
      <w:pPr>
        <w:pStyle w:val="Heading2"/>
      </w:pPr>
      <w:r>
        <w:t xml:space="preserve">Knowledge Distillation — Student Networks</w:t>
      </w:r>
    </w:p>
    <w:p>
      <w:pPr>
        <w:pStyle w:val="FirstParagraph"/>
      </w:pPr>
      <w:r>
        <w:rPr>
          <w:bCs/>
          <w:b/>
        </w:rPr>
        <w:t xml:space="preserve">Theory.</w:t>
      </w:r>
      <w:r>
        <w:t xml:space="preserve"> </w:t>
      </w:r>
      <w:r>
        <w:t xml:space="preserve">Knowledge Distillation (Hinton et al., 2015) transfers the learned representation from the teacher to a lightweight student by training on soft probability outputs: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soft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teacher</m:t>
                      </m:r>
                    </m:sub>
                  </m:sSub>
                </m:num>
                <m:den>
                  <m:r>
                    <m:t>T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KD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BCE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soft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student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3.0</m:t>
        </m:r>
      </m:oMath>
      <w:r>
        <w:t xml:space="preserve"> </w:t>
      </w:r>
      <w:r>
        <w:t xml:space="preserve">is the temperature parameter.</w:t>
      </w:r>
    </w:p>
    <w:p>
      <w:pPr>
        <w:pStyle w:val="BodyText"/>
      </w:pPr>
      <w:r>
        <w:rPr>
          <w:bCs/>
          <w:b/>
        </w:rPr>
        <w:t xml:space="preserve">Student architecture</w:t>
      </w:r>
      <w:r>
        <w:t xml:space="preserve">: 2-layer feedforward (13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64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1 with ReLU + Dropout).</w:t>
      </w:r>
    </w:p>
    <w:p>
      <w:pPr>
        <w:pStyle w:val="TableCaption"/>
      </w:pPr>
      <w:r>
        <w:t xml:space="preserve">Knowledge Distillation results (test set)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Knowledge Distillation results (test set)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Teacher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Soft-KD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Hard-Label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Spearman</w:t>
            </w:r>
            <w: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0.9876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0.9654</w:t>
            </w:r>
          </w:p>
        </w:tc>
      </w:tr>
    </w:tbl>
    <w:p>
      <w:pPr>
        <w:pStyle w:val="BodyText"/>
      </w:pPr>
      <w:r>
        <w:rPr>
          <w:bCs/>
          <w:b/>
        </w:rPr>
        <w:t xml:space="preserve">88% AUC recovery</w:t>
      </w:r>
      <w:r>
        <w:t xml:space="preserve"> </w:t>
      </w:r>
      <w:r>
        <w:t xml:space="preserve">with a model 10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smaller. Soft labels provide a clear advantage over hard labels.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2268812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moe_model_with_log_income/shap_beeswarm_nn_soft_kd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2688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Soft-KD Student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2268812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moe_model_with_log_income/shap_beeswarm_nn_hard_labels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2688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Hard-Label Student</w:t>
            </w:r>
          </w:p>
        </w:tc>
      </w:tr>
    </w:tbl>
    <w:p>
      <w:pPr>
        <w:pStyle w:val="ImageCaption"/>
      </w:pPr>
      <w:r>
        <w:t xml:space="preserve">SHAP beeswarms — Knowledge Distillation students</w:t>
      </w:r>
    </w:p>
    <w:bookmarkEnd w:id="152"/>
    <w:bookmarkEnd w:id="153"/>
    <w:bookmarkStart w:id="166" w:name="model-comparison"/>
    <w:p>
      <w:pPr>
        <w:pStyle w:val="Heading1"/>
      </w:pPr>
      <w:r>
        <w:t xml:space="preserve">Model Comparison</w:t>
      </w:r>
    </w:p>
    <w:p>
      <w:pPr>
        <w:pStyle w:val="TableCaption"/>
      </w:pPr>
      <w:r>
        <w:t xml:space="preserve">Cross-model comparison (test set)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ross-model comparison (test set)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ROC-AUC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Avg Prec.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F1 (Max-F1)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F1 (P50%)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CatBoost (Baseline)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CatBoost (Tuned)</w:t>
            </w:r>
            <w:r>
              <w:rPr>
                <w:bCs/>
                <w:b/>
              </w:rPr>
              <w:t xml:space="preserve"> </w:t>
            </w:r>
            <m:oMath>
              <m:r>
                <m:rPr>
                  <m:sty m:val="p"/>
                </m:rPr>
                <m:t>⋆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0.8351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0.5124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0.5703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0.5566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MoE Teacher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0.8426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Soft-KD Student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0.5146</w:t>
            </w:r>
          </w:p>
        </w:tc>
      </w:tr>
    </w:tbl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737522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boosting_models/model_comparison_roc_pr_bars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375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Boosting models ROC/PR comparison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772337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moe_model_with_log_income/model_comparison_roc_pr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723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Neural models ROC/PR comparison</w:t>
            </w:r>
          </w:p>
        </w:tc>
      </w:tr>
    </w:tbl>
    <w:p>
      <w:pPr>
        <w:pStyle w:val="ImageCaption"/>
      </w:pPr>
      <w:r>
        <w:t xml:space="preserve">Model comparison — ROC and PR curves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994356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boosting_models/shap_cross_model_comparison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994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Boosting models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994356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e_model_with_log_income/shap_cross_model_comparison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994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Neural models</w:t>
            </w:r>
          </w:p>
        </w:tc>
      </w:tr>
    </w:tbl>
    <w:p>
      <w:pPr>
        <w:pStyle w:val="ImageCaption"/>
      </w:pPr>
      <w:r>
        <w:t xml:space="preserve">SHAP cross-model feature importance comparison</w:t>
      </w:r>
    </w:p>
    <w:p>
      <w:pPr>
        <w:pStyle w:val="BodyText"/>
      </w:pPr>
      <w:r>
        <w:rPr>
          <w:bCs/>
          <w:b/>
        </w:rPr>
        <w:t xml:space="preserve">Feature importance consensus</w:t>
      </w:r>
      <w:r>
        <w:t xml:space="preserve">: All models rank</w:t>
      </w:r>
      <w:r>
        <w:t xml:space="preserve"> </w:t>
      </w:r>
      <w:r>
        <w:rPr>
          <w:rStyle w:val="VerbatimChar"/>
        </w:rPr>
        <w:t xml:space="preserve">delinq_90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delinq_30_59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delinq_60_89</w:t>
      </w:r>
      <w:r>
        <w:t xml:space="preserve"> </w:t>
      </w:r>
      <w:r>
        <w:t xml:space="preserve">as the top 3 predictors, accounting for 60–70% of model variance.</w:t>
      </w:r>
    </w:p>
    <w:bookmarkEnd w:id="166"/>
    <w:bookmarkStart w:id="169" w:name="final-model-optuna-tuned-catboost"/>
    <w:p>
      <w:pPr>
        <w:pStyle w:val="Heading1"/>
      </w:pPr>
      <w:r>
        <w:t xml:space="preserve">Final Model — Optuna-Tuned CatBoost</w:t>
      </w:r>
    </w:p>
    <w:bookmarkStart w:id="167" w:name="why-catboost-over-moe"/>
    <w:p>
      <w:pPr>
        <w:pStyle w:val="Heading2"/>
      </w:pPr>
      <w:r>
        <w:t xml:space="preserve">Why CatBoost Over MoE?</w:t>
      </w:r>
    </w:p>
    <w:p>
      <w:pPr>
        <w:pStyle w:val="TableCaption"/>
      </w:pPr>
      <w:r>
        <w:t xml:space="preserve">Production model selection criteria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Production model selection criteria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MoE Teacher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CatBoost (Tuned)</w:t>
            </w:r>
            <w:r>
              <w:rPr>
                <w:bCs/>
                <w:b/>
              </w:rPr>
              <w:t xml:space="preserve"> </w:t>
            </w:r>
            <m:oMath>
              <m:r>
                <m:rPr>
                  <m:sty m:val="p"/>
                </m:rPr>
                <m:t>⋆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0.8351 (</w:t>
            </w:r>
            <m:oMath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(Max-F1)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0.5703 (</w:t>
            </w:r>
            <m:oMath>
              <m:r>
                <m:rPr>
                  <m:sty m:val="p"/>
                </m:rPr>
                <m:t>+</m:t>
              </m:r>
              <m:r>
                <m:t>0.04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Inference speed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5ms (GPU)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0.1ms (CPU)</w:t>
            </w:r>
            <w:r>
              <w:t xml:space="preserve"> </w:t>
            </w:r>
            <m:oMath>
              <m:r>
                <m:rPr>
                  <m:sty m:val="p"/>
                </m:rPr>
                <m:t>⋆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size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15 MB .pt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2 MB .cbm</w:t>
            </w:r>
            <w:r>
              <w:t xml:space="preserve"> </w:t>
            </w:r>
            <m:oMath>
              <m:r>
                <m:rPr>
                  <m:sty m:val="p"/>
                </m:rPr>
                <m:t>⋆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SHAP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KernelSHAP (approx)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TreeExplainer (exact)</w:t>
            </w:r>
            <w:r>
              <w:t xml:space="preserve"> </w:t>
            </w:r>
            <m:oMath>
              <m:r>
                <m:rPr>
                  <m:sty m:val="p"/>
                </m:rPr>
                <m:t>⋆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(C++ core)</w:t>
            </w:r>
            <w:r>
              <w:t xml:space="preserve"> </w:t>
            </w:r>
            <m:oMath>
              <m:r>
                <m:rPr>
                  <m:sty m:val="p"/>
                </m:rPr>
                <m:t>⋆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NaN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</w:t>
            </w:r>
            <w:r>
              <w:t xml:space="preserve"> </w:t>
            </w:r>
            <m:oMath>
              <m:r>
                <m:rPr>
                  <m:sty m:val="p"/>
                </m:rPr>
                <m:t>⋆</m:t>
              </m:r>
            </m:oMath>
          </w:p>
        </w:tc>
      </w:tr>
    </w:tbl>
    <w:p>
      <w:pPr>
        <w:pStyle w:val="BodyText"/>
      </w:pPr>
      <w:r>
        <w:t xml:space="preserve">CatBoost (Tuned)</w:t>
      </w:r>
      <w:r>
        <w:t xml:space="preserve"> </w:t>
      </w:r>
      <w:r>
        <w:rPr>
          <w:bCs/>
          <w:b/>
        </w:rPr>
        <w:t xml:space="preserve">matches MoE on F1</w:t>
      </w:r>
      <w:r>
        <w:t xml:space="preserve"> </w:t>
      </w:r>
      <w:r>
        <w:t xml:space="preserve">while being 50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faster at inference with exact SHAP explanations — the clear choice for real-time deployment.</w:t>
      </w:r>
    </w:p>
    <w:bookmarkEnd w:id="167"/>
    <w:bookmarkStart w:id="168" w:name="model-artefacts"/>
    <w:p>
      <w:pPr>
        <w:pStyle w:val="Heading2"/>
      </w:pPr>
      <w:r>
        <w:t xml:space="preserve">Model Artefacts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models/catboost_tuned.cbm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Serialised CatBoost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models/catboost_tuned_meta.joblib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StandardScaler, feature names, thresholds</w:t>
            </w:r>
          </w:p>
        </w:tc>
      </w:tr>
    </w:tbl>
    <w:bookmarkEnd w:id="168"/>
    <w:bookmarkEnd w:id="169"/>
    <w:bookmarkStart w:id="170" w:name="cibil-credit-score-engine"/>
    <w:p>
      <w:pPr>
        <w:pStyle w:val="Heading1"/>
      </w:pPr>
      <w:r>
        <w:t xml:space="preserve">CIBIL Credit Score Engine</w:t>
      </w:r>
    </w:p>
    <w:p>
      <w:pPr>
        <w:pStyle w:val="FirstParagraph"/>
      </w:pPr>
      <w:r>
        <w:t xml:space="preserve">The model output is transformed into a 300–900 CIBIL-aligned score using a composite formula: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clamp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300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Weighted_Avg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300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900</m:t>
              </m:r>
            </m:e>
          </m:d>
        </m:oMath>
      </m:oMathPara>
    </w:p>
    <w:p>
      <w:pPr>
        <w:pStyle w:val="TableCaption"/>
      </w:pPr>
      <w:r>
        <w:t xml:space="preserve">CIBIL score component weights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IBIL score component weight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Scoring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Probability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model</w:t>
            </w:r>
            <w: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default</m:t>
                  </m:r>
                </m:e>
              </m:d>
            </m:oMath>
            <w:r>
              <w:t xml:space="preserve"> </w:t>
            </w:r>
            <w:r>
              <w:t xml:space="preserve">mapped to 0–100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History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Delinquency penalties: 90d (</w:t>
            </w:r>
            <m:oMath>
              <m:r>
                <m:rPr>
                  <m:sty m:val="p"/>
                </m:rPr>
                <m:t>−</m:t>
              </m:r>
              <m:r>
                <m:t>25</m:t>
              </m:r>
            </m:oMath>
            <w:r>
              <w:t xml:space="preserve">), 60d (</w:t>
            </w:r>
            <m:oMath>
              <m:r>
                <m:rPr>
                  <m:sty m:val="p"/>
                </m:rPr>
                <m:t>−</m:t>
              </m:r>
              <m:r>
                <m:t>15</m:t>
              </m:r>
            </m:oMath>
            <w:r>
              <w:t xml:space="preserve">), 30d (</w:t>
            </w:r>
            <m:oMath>
              <m:r>
                <m:rPr>
                  <m:sty m:val="p"/>
                </m:rPr>
                <m:t>−</m:t>
              </m:r>
              <m:r>
                <m:t>7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Utilisation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100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utilisation</m:t>
                  </m:r>
                  <m:r>
                    <m:rPr>
                      <m:sty m:val="p"/>
                    </m:rPr>
                    <m:t>×</m:t>
                  </m:r>
                  <m:r>
                    <m:t>150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Mix &amp; Duration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bonus +</w:t>
            </w:r>
            <w:r>
              <w:t xml:space="preserve"> </w:t>
            </w:r>
            <w:r>
              <w:rPr>
                <w:rStyle w:val="VerbatimChar"/>
              </w:rPr>
              <w:t xml:space="preserve">open_credit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real_estate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r>
                <m:t>10</m:t>
              </m:r>
            </m:oMath>
          </w:p>
        </w:tc>
      </w:tr>
    </w:tbl>
    <w:p/>
    <w:p>
      <w:pPr>
        <w:pStyle w:val="TableCaption"/>
      </w:pPr>
      <w:r>
        <w:t xml:space="preserve">CIBIL grade assignments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IBIL grade assignment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Score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 – 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 – 749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 – 699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– 649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– 599</w:t>
            </w:r>
          </w:p>
        </w:tc>
      </w:tr>
    </w:tbl>
    <w:bookmarkEnd w:id="170"/>
    <w:bookmarkStart w:id="190" w:name="business-workflow-and-deployment"/>
    <w:p>
      <w:pPr>
        <w:pStyle w:val="Heading1"/>
      </w:pPr>
      <w:r>
        <w:t xml:space="preserve">Business Workflow and Deployment</w:t>
      </w:r>
    </w:p>
    <w:bookmarkStart w:id="171" w:name="system-architecture"/>
    <w:p>
      <w:pPr>
        <w:pStyle w:val="Heading2"/>
      </w:pPr>
      <w:r>
        <w:t xml:space="preserve">System Architecture</w:t>
      </w:r>
    </w:p>
    <w:p>
      <w:pPr>
        <w:pStyle w:val="FirstParagraph"/>
      </w:pPr>
      <w:r>
        <w:t xml:space="preserve">The system is deployed via two channels: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Real-time scoring</w:t>
      </w:r>
      <w:r>
        <w:t xml:space="preserve">: A Next.js/React CRM dashboard (TypeScript, Tailwind, Radix UI) with API routes calling Python backend scripts (</w:t>
      </w:r>
      <w:r>
        <w:rPr>
          <w:rStyle w:val="VerbatimChar"/>
        </w:rPr>
        <w:t xml:space="preserve">phase1_prediction.py</w:t>
      </w:r>
      <w:r>
        <w:t xml:space="preserve"> </w:t>
      </w:r>
      <w:r>
        <w:t xml:space="preserve">for scoring,</w:t>
      </w:r>
      <w:r>
        <w:t xml:space="preserve"> </w:t>
      </w:r>
      <w:r>
        <w:rPr>
          <w:rStyle w:val="VerbatimChar"/>
        </w:rPr>
        <w:t xml:space="preserve">phase2_suggestions.py</w:t>
      </w:r>
      <w:r>
        <w:t xml:space="preserve"> </w:t>
      </w:r>
      <w:r>
        <w:t xml:space="preserve">for LLM-powered recommendations).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Batch prediction</w:t>
      </w:r>
      <w:r>
        <w:t xml:space="preserve">: Google Sheets API integration via</w:t>
      </w:r>
      <w:r>
        <w:t xml:space="preserve"> </w:t>
      </w:r>
      <w:r>
        <w:rPr>
          <w:rStyle w:val="VerbatimChar"/>
        </w:rPr>
        <w:t xml:space="preserve">gspread</w:t>
      </w:r>
      <w:r>
        <w:t xml:space="preserve"> </w:t>
      </w:r>
      <w:r>
        <w:t xml:space="preserve">for bulk scoring.</w:t>
      </w:r>
    </w:p>
    <w:p>
      <w:pPr>
        <w:pStyle w:val="FirstParagraph"/>
      </w:pPr>
      <w:r>
        <w:t xml:space="preserve">Additionally, a Streamlit dashboard (</w:t>
      </w:r>
      <w:r>
        <w:rPr>
          <w:rStyle w:val="VerbatimChar"/>
        </w:rPr>
        <w:t xml:space="preserve">scripts/app.py</w:t>
      </w:r>
      <w:r>
        <w:t xml:space="preserve">) serves as a standalone scoring tool with SHAP waterfall visualisation.</w:t>
      </w:r>
    </w:p>
    <w:bookmarkEnd w:id="171"/>
    <w:bookmarkStart w:id="172" w:name="end-to-end-decision-flow"/>
    <w:p>
      <w:pPr>
        <w:pStyle w:val="Heading2"/>
      </w:pPr>
      <w:r>
        <w:t xml:space="preserve">End-to-End Decision Flow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Data Input</w:t>
      </w:r>
      <w:r>
        <w:t xml:space="preserve">: Customer submits financial data via CRM form.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Preprocessing</w:t>
      </w:r>
      <w:r>
        <w:t xml:space="preserve">: Sentinel flagging, delinquency capping, missing indicators, median imputation, StandardScaler.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ML Scoring</w:t>
      </w:r>
      <w:r>
        <w:t xml:space="preserve">: CatBoost Tuned predicts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default</m:t>
            </m:r>
          </m:e>
        </m:d>
      </m:oMath>
      <w:r>
        <w:t xml:space="preserve">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CIBIL Score</w:t>
      </w:r>
      <w:r>
        <w:t xml:space="preserve">: Composite formula maps probability to 300–900.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Explainability + LLM</w:t>
      </w:r>
      <w:r>
        <w:t xml:space="preserve">: SHAP decomposition identifies risk drivers; LLM generates qualitative insights.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Output</w:t>
      </w:r>
      <w:r>
        <w:t xml:space="preserve">: Dashboard displays credit score, risk level, SHAP bar chart, and actionable recommendations.</w:t>
      </w:r>
    </w:p>
    <w:bookmarkEnd w:id="172"/>
    <w:bookmarkStart w:id="176" w:name="end-to-end-ml-pipeline"/>
    <w:p>
      <w:pPr>
        <w:pStyle w:val="Heading2"/>
      </w:pPr>
      <w:r>
        <w:t xml:space="preserve">End-to-End ML Pipeline</w:t>
      </w:r>
    </w:p>
    <w:p>
      <w:pPr>
        <w:pStyle w:val="FirstParagraph"/>
      </w:pPr>
      <w:r>
        <w:t xml:space="preserve">Figure </w:t>
      </w:r>
      <w:hyperlink w:anchor="fig:crm_pipeline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illustrates the complete machine-learning pipeline from raw data ingestion to LLM-powered insight generation.</w:t>
      </w:r>
    </w:p>
    <w:p>
      <w:pPr>
        <w:pStyle w:val="CaptionedFigure"/>
      </w:pPr>
      <w:r>
        <w:drawing>
          <wp:inline>
            <wp:extent cx="4000500" cy="3905352"/>
            <wp:effectExtent b="0" l="0" r="0" t="0"/>
            <wp:docPr descr="" title="" id="174" name="Picture"/>
            <a:graphic>
              <a:graphicData uri="http://schemas.openxmlformats.org/drawingml/2006/picture">
                <pic:pic>
                  <pic:nvPicPr>
                    <pic:cNvPr descr="img/crm_pipeline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905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End-to-end ML pipeline for credit risk scoring with explainability and LLM insights.</w:t>
      </w:r>
    </w:p>
    <w:bookmarkEnd w:id="176"/>
    <w:bookmarkStart w:id="189" w:name="user-journey"/>
    <w:p>
      <w:pPr>
        <w:pStyle w:val="Heading2"/>
      </w:pPr>
      <w:r>
        <w:t xml:space="preserve">User Journey</w:t>
      </w:r>
    </w:p>
    <w:p>
      <w:pPr>
        <w:pStyle w:val="FirstParagraph"/>
      </w:pPr>
      <w:r>
        <w:t xml:space="preserve">The CRM dashboard guides a loan officer through a three-step workflow:</w:t>
      </w:r>
    </w:p>
    <w:bookmarkStart w:id="180" w:name="step-1-data-input."/>
    <w:p>
      <w:pPr>
        <w:pStyle w:val="Heading4"/>
      </w:pPr>
      <w:r>
        <w:t xml:space="preserve">Step 1 — Data Input.</w:t>
      </w:r>
    </w:p>
    <w:p>
      <w:pPr>
        <w:pStyle w:val="FirstParagraph"/>
      </w:pPr>
      <w:r>
        <w:t xml:space="preserve">The officer clicks</w:t>
      </w:r>
      <w:r>
        <w:t xml:space="preserve"> </w:t>
      </w:r>
      <w:r>
        <w:rPr>
          <w:iCs/>
          <w:i/>
        </w:rPr>
        <w:t xml:space="preserve">+ New</w:t>
      </w:r>
      <w:r>
        <w:t xml:space="preserve"> </w:t>
      </w:r>
      <w:r>
        <w:t xml:space="preserve">in the customer sidebar and fills the</w:t>
      </w:r>
      <w:r>
        <w:t xml:space="preserve"> </w:t>
      </w:r>
      <w:r>
        <w:t xml:space="preserve">“</w:t>
      </w:r>
      <w:r>
        <w:t xml:space="preserve">Add New Customer</w:t>
      </w:r>
      <w:r>
        <w:t xml:space="preserve">”</w:t>
      </w:r>
      <w:r>
        <w:t xml:space="preserve"> </w:t>
      </w:r>
      <w:r>
        <w:t xml:space="preserve">form with the applicant’s financial features (monthly income, open credit lines, delinquency counts, real-estate loans, dependents, etc.). Figure </w:t>
      </w:r>
      <w:hyperlink w:anchor="fig:crm_input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shows the modal overlay.</w:t>
      </w:r>
    </w:p>
    <w:p>
      <w:pPr>
        <w:pStyle w:val="CaptionedFigure"/>
      </w:pPr>
      <w:r>
        <w:drawing>
          <wp:inline>
            <wp:extent cx="5334000" cy="2713672"/>
            <wp:effectExtent b="0" l="0" r="0" t="0"/>
            <wp:docPr descr="" title="" id="178" name="Picture"/>
            <a:graphic>
              <a:graphicData uri="http://schemas.openxmlformats.org/drawingml/2006/picture">
                <pic:pic>
                  <pic:nvPicPr>
                    <pic:cNvPr descr="img/crm_input_form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3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CRM dashboard —</w:t>
      </w:r>
      <w:r>
        <w:t xml:space="preserve"> </w:t>
      </w:r>
      <w:r>
        <w:t xml:space="preserve">“</w:t>
      </w:r>
      <w:r>
        <w:t xml:space="preserve">Add New Customer</w:t>
      </w:r>
      <w:r>
        <w:t xml:space="preserve">”</w:t>
      </w:r>
      <w:r>
        <w:t xml:space="preserve"> </w:t>
      </w:r>
      <w:r>
        <w:t xml:space="preserve">data-entry form.</w:t>
      </w:r>
    </w:p>
    <w:bookmarkEnd w:id="180"/>
    <w:bookmarkStart w:id="184" w:name="step-2-credit-profiling."/>
    <w:p>
      <w:pPr>
        <w:pStyle w:val="Heading4"/>
      </w:pPr>
      <w:r>
        <w:t xml:space="preserve">Step 2 — Credit Profiling.</w:t>
      </w:r>
    </w:p>
    <w:p>
      <w:pPr>
        <w:pStyle w:val="FirstParagraph"/>
      </w:pPr>
      <w:r>
        <w:t xml:space="preserve">Upon submission, the backend runs CatBoost inference, CIBIL score computation, and SHAP decomposition in real time. The customer profile page (Figure </w:t>
      </w:r>
      <w:hyperlink w:anchor="fig:crm_profile">
        <w:r>
          <w:rPr>
            <w:rStyle w:val="Hyperlink"/>
          </w:rPr>
          <w:t xml:space="preserve">3</w:t>
        </w:r>
      </w:hyperlink>
      <w:r>
        <w:t xml:space="preserve">) presents:</w:t>
      </w:r>
    </w:p>
    <w:p>
      <w:pPr>
        <w:numPr>
          <w:ilvl w:val="0"/>
          <w:numId w:val="1009"/>
        </w:numPr>
      </w:pPr>
      <w:r>
        <w:t xml:space="preserve">A</w:t>
      </w:r>
      <w:r>
        <w:t xml:space="preserve"> </w:t>
      </w:r>
      <w:r>
        <w:rPr>
          <w:bCs/>
          <w:b/>
        </w:rPr>
        <w:t xml:space="preserve">credit-score gauge</w:t>
      </w:r>
      <w:r>
        <w:t xml:space="preserve"> </w:t>
      </w:r>
      <w:r>
        <w:t xml:space="preserve">(300–850) with colour-coded risk band.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Customer information</w:t>
      </w:r>
      <w:r>
        <w:t xml:space="preserve"> </w:t>
      </w:r>
      <w:r>
        <w:t xml:space="preserve">summary (age, income, debt ratio, credit utilisation, etc.).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Risk Factors Analysis</w:t>
      </w:r>
      <w:r>
        <w:t xml:space="preserve"> </w:t>
      </w:r>
      <w:r>
        <w:t xml:space="preserve">— a horizontal SHAP bar chart showing each feature’s signed contribution to the predicted default probability. Green bars increase creditworthiness; red bars increase risk. The badge</w:t>
      </w:r>
      <w:r>
        <w:t xml:space="preserve"> </w:t>
      </w:r>
      <w:r>
        <w:t xml:space="preserve">“</w:t>
      </w:r>
      <w:r>
        <w:t xml:space="preserve">2 concerns</w:t>
      </w:r>
      <w:r>
        <w:t xml:space="preserve">”</w:t>
      </w:r>
      <w:r>
        <w:t xml:space="preserve"> </w:t>
      </w:r>
      <w:r>
        <w:t xml:space="preserve">flags features exceeding an internal threshold.</w:t>
      </w:r>
    </w:p>
    <w:p>
      <w:pPr>
        <w:pStyle w:val="CaptionedFigure"/>
      </w:pPr>
      <w:r>
        <w:drawing>
          <wp:inline>
            <wp:extent cx="5334000" cy="2750689"/>
            <wp:effectExtent b="0" l="0" r="0" t="0"/>
            <wp:docPr descr="" title="" id="182" name="Picture"/>
            <a:graphic>
              <a:graphicData uri="http://schemas.openxmlformats.org/drawingml/2006/picture">
                <pic:pic>
                  <pic:nvPicPr>
                    <pic:cNvPr descr="img/crm_credit_profile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CRM dashboard — credit score gauge, customer information, and SHAP risk-factor analysis.</w:t>
      </w:r>
    </w:p>
    <w:bookmarkEnd w:id="184"/>
    <w:bookmarkStart w:id="188" w:name="step-3-ai-diagnosis."/>
    <w:p>
      <w:pPr>
        <w:pStyle w:val="Heading4"/>
      </w:pPr>
      <w:r>
        <w:t xml:space="preserve">Step 3 — AI Diagnosis.</w:t>
      </w:r>
    </w:p>
    <w:p>
      <w:pPr>
        <w:pStyle w:val="FirstParagraph"/>
      </w:pPr>
      <w:r>
        <w:t xml:space="preserve">Clicking</w:t>
      </w:r>
      <w:r>
        <w:t xml:space="preserve"> </w:t>
      </w:r>
      <w:r>
        <w:rPr>
          <w:iCs/>
          <w:i/>
        </w:rPr>
        <w:t xml:space="preserve">Diagnose Credit Risk</w:t>
      </w:r>
      <w:r>
        <w:t xml:space="preserve"> </w:t>
      </w:r>
      <w:r>
        <w:t xml:space="preserve">invokes the LLM module (</w:t>
      </w:r>
      <w:r>
        <w:rPr>
          <w:rStyle w:val="VerbatimChar"/>
        </w:rPr>
        <w:t xml:space="preserve">phase2_suggestions.py</w:t>
      </w:r>
      <w:r>
        <w:t xml:space="preserve">). It synthesises the SHAP decomposition into plain-language</w:t>
      </w:r>
      <w:r>
        <w:t xml:space="preserve"> </w:t>
      </w:r>
      <w:r>
        <w:rPr>
          <w:bCs/>
          <w:b/>
        </w:rPr>
        <w:t xml:space="preserve">Key Recommendations</w:t>
      </w:r>
      <w:r>
        <w:t xml:space="preserve"> </w:t>
      </w:r>
      <w:r>
        <w:t xml:space="preserve">and ranks them as</w:t>
      </w:r>
      <w:r>
        <w:t xml:space="preserve"> </w:t>
      </w:r>
      <w:r>
        <w:rPr>
          <w:bCs/>
          <w:b/>
        </w:rPr>
        <w:t xml:space="preserve">Priority Actions</w:t>
      </w:r>
      <w:r>
        <w:t xml:space="preserve"> </w:t>
      </w:r>
      <w:r>
        <w:t xml:space="preserve">with estimated risk-reduction impact (Figure </w:t>
      </w:r>
      <w:hyperlink w:anchor="fig:crm_diagnosis">
        <w:r>
          <w:rPr>
            <w:rStyle w:val="Hyperlink"/>
          </w:rPr>
          <w:t xml:space="preserve">4</w:t>
        </w:r>
      </w:hyperlink>
      <w:r>
        <w:t xml:space="preserve">). Each action is tagged</w:t>
      </w:r>
      <w:r>
        <w:t xml:space="preserve"> </w:t>
      </w:r>
      <w:r>
        <w:rPr>
          <w:iCs/>
          <w:i/>
        </w:rPr>
        <w:t xml:space="preserve">Immediate</w:t>
      </w:r>
      <w:r>
        <w:t xml:space="preserve">,</w:t>
      </w:r>
      <w:r>
        <w:t xml:space="preserve"> </w:t>
      </w:r>
      <w:r>
        <w:rPr>
          <w:iCs/>
          <w:i/>
        </w:rPr>
        <w:t xml:space="preserve">Short-term</w:t>
      </w:r>
      <w:r>
        <w:t xml:space="preserve">, or</w:t>
      </w:r>
      <w:r>
        <w:t xml:space="preserve"> </w:t>
      </w:r>
      <w:r>
        <w:rPr>
          <w:iCs/>
          <w:i/>
        </w:rPr>
        <w:t xml:space="preserve">Long-term</w:t>
      </w:r>
      <w:r>
        <w:t xml:space="preserve">, enabling the officer to provide the applicant with a concrete improvement roadmap.</w:t>
      </w:r>
    </w:p>
    <w:p>
      <w:pPr>
        <w:pStyle w:val="CaptionedFigure"/>
      </w:pPr>
      <w:r>
        <w:drawing>
          <wp:inline>
            <wp:extent cx="5334000" cy="2810676"/>
            <wp:effectExtent b="0" l="0" r="0" t="0"/>
            <wp:docPr descr="" title="" id="186" name="Picture"/>
            <a:graphic>
              <a:graphicData uri="http://schemas.openxmlformats.org/drawingml/2006/picture">
                <pic:pic>
                  <pic:nvPicPr>
                    <pic:cNvPr descr="img/crm_diagnosis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0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CRM dashboard — AI diagnosis results with key recommendations and prioritised actions.</w:t>
      </w:r>
    </w:p>
    <w:bookmarkEnd w:id="188"/>
    <w:bookmarkEnd w:id="189"/>
    <w:bookmarkEnd w:id="190"/>
    <w:bookmarkStart w:id="194" w:name="key-project-insights"/>
    <w:p>
      <w:pPr>
        <w:pStyle w:val="Heading1"/>
      </w:pPr>
      <w:r>
        <w:t xml:space="preserve">Key Project Insights</w:t>
      </w:r>
    </w:p>
    <w:bookmarkStart w:id="191" w:name="model-performance"/>
    <w:p>
      <w:pPr>
        <w:pStyle w:val="Heading2"/>
      </w:pPr>
      <w:r>
        <w:t xml:space="preserve">Model Performance</w:t>
      </w:r>
    </w:p>
    <w:p>
      <w:pPr>
        <w:numPr>
          <w:ilvl w:val="0"/>
          <w:numId w:val="1010"/>
        </w:numPr>
      </w:pPr>
      <w:r>
        <w:t xml:space="preserve">CatBoost outperforms XGBoost marginally: ordered boosting provides a slight edge (</w:t>
      </w:r>
      <m:oMath>
        <m:r>
          <m:rPr>
            <m:sty m:val="p"/>
          </m:rPr>
          <m:t>∼</m:t>
        </m:r>
      </m:oMath>
      <w:r>
        <w:t xml:space="preserve">0.86 vs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0.85 ROC-AUC).</w:t>
      </w:r>
    </w:p>
    <w:p>
      <w:pPr>
        <w:numPr>
          <w:ilvl w:val="0"/>
          <w:numId w:val="1010"/>
        </w:numPr>
      </w:pPr>
      <w:r>
        <w:t xml:space="preserve">Optuna tuning yields diminishing returns: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0.5–1% improvement.</w:t>
      </w:r>
      <w:r>
        <w:t xml:space="preserve"> </w:t>
      </w:r>
      <w:r>
        <w:rPr>
          <w:rStyle w:val="VerbatimChar"/>
        </w:rPr>
        <w:t xml:space="preserve">learning_rate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depth</w:t>
      </w:r>
      <w:r>
        <w:t xml:space="preserve"> </w:t>
      </w:r>
      <w:r>
        <w:t xml:space="preserve">are the most impactful hyperparameters.</w:t>
      </w:r>
    </w:p>
    <w:p>
      <w:pPr>
        <w:numPr>
          <w:ilvl w:val="0"/>
          <w:numId w:val="1010"/>
        </w:numPr>
      </w:pPr>
      <w:r>
        <w:t xml:space="preserve">MoE expert specialisation is meaningful: three experts specialise on distinct borrower segments.</w:t>
      </w:r>
    </w:p>
    <w:bookmarkEnd w:id="191"/>
    <w:bookmarkStart w:id="192" w:name="feature-importance"/>
    <w:p>
      <w:pPr>
        <w:pStyle w:val="Heading2"/>
      </w:pPr>
      <w:r>
        <w:t xml:space="preserve">Feature Importance</w:t>
      </w:r>
    </w:p>
    <w:p>
      <w:pPr>
        <w:numPr>
          <w:ilvl w:val="0"/>
          <w:numId w:val="1011"/>
        </w:numPr>
      </w:pPr>
      <w:r>
        <w:t xml:space="preserve">Delinquency features dominate across all models.</w:t>
      </w:r>
    </w:p>
    <w:p>
      <w:pPr>
        <w:numPr>
          <w:ilvl w:val="0"/>
          <w:numId w:val="1011"/>
        </w:numPr>
      </w:pPr>
      <w:r>
        <w:t xml:space="preserve">Revolving utilisation is the top non-delinquency feature.</w:t>
      </w:r>
    </w:p>
    <w:p>
      <w:pPr>
        <w:numPr>
          <w:ilvl w:val="0"/>
          <w:numId w:val="1011"/>
        </w:numPr>
      </w:pPr>
      <w:r>
        <w:t xml:space="preserve">Missingness is informative:</w:t>
      </w:r>
      <w:r>
        <w:t xml:space="preserve"> </w:t>
      </w:r>
      <w:r>
        <w:rPr>
          <w:rStyle w:val="VerbatimChar"/>
        </w:rPr>
        <w:t xml:space="preserve">monthly_income_missing</w:t>
      </w:r>
      <w:r>
        <w:t xml:space="preserve"> </w:t>
      </w:r>
      <w:r>
        <w:t xml:space="preserve">carries significant predictive power (9.7% vs 6.0% default rate).</w:t>
      </w:r>
    </w:p>
    <w:bookmarkEnd w:id="192"/>
    <w:bookmarkStart w:id="193" w:name="business-insights"/>
    <w:p>
      <w:pPr>
        <w:pStyle w:val="Heading2"/>
      </w:pPr>
      <w:r>
        <w:t xml:space="preserve">Business Insights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Threshold choice matters more than model choice</w:t>
      </w:r>
      <w:r>
        <w:t xml:space="preserve">: Max-F1 vs Precision-targeted thresholds have far larger impact than model architecture differences.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SHAP enables targeted interventions</w:t>
      </w:r>
      <w:r>
        <w:t xml:space="preserve">: For borderline cases, SHAP identifies which features would flip the prediction.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Score compositing adds value</w:t>
      </w:r>
      <w:r>
        <w:t xml:space="preserve">: 300–900 CIBIL-aligned score is immediately interpretable by loan officers.</w:t>
      </w:r>
    </w:p>
    <w:bookmarkEnd w:id="193"/>
    <w:bookmarkEnd w:id="194"/>
    <w:bookmarkStart w:id="195" w:name="limitations-and-future-work"/>
    <w:p>
      <w:pPr>
        <w:pStyle w:val="Heading1"/>
      </w:pPr>
      <w:r>
        <w:t xml:space="preserve">Limitations and Future Work</w:t>
      </w:r>
    </w:p>
    <w:p>
      <w:pPr>
        <w:pStyle w:val="TableCaption"/>
      </w:pPr>
      <w:r>
        <w:t xml:space="preserve">Current limitations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urrent limitation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Limitation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reflect real-time Indian credit dynamics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Retrain on live institutional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temporal modelling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trajectories not captured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LSTM/Transformer sequence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alternative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UPI, GST filings not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alternative data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dataset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Generalisability unverified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Cross-validate on Indian bureau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Approximate CIBIL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calibrated to proprietary 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Calibrate with actual CIBIL distributions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fairness auditing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demographic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Aequitas / AI Fairness 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model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drift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Evidently AI / PSI monitoring</w:t>
            </w:r>
          </w:p>
        </w:tc>
      </w:tr>
    </w:tbl>
    <w:bookmarkEnd w:id="195"/>
    <w:bookmarkStart w:id="196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project demonstrates a complete, production-ready credit risk modelling framework that bridges the gap between advanced machine learning and practical credit decisioning. By combining CatBoost gradient boosting with Optuna hyperparameter optimisation, a neural Mixture-of-Experts architecture, and SHAP-based explainability, the system achieves both predictive accuracy (ROC-AUC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0.86) and interpretability.</w:t>
      </w:r>
    </w:p>
    <w:p>
      <w:pPr>
        <w:pStyle w:val="BodyText"/>
      </w:pPr>
      <w:r>
        <w:t xml:space="preserve">The key contributions are:</w:t>
      </w:r>
    </w:p>
    <w:p>
      <w:pPr>
        <w:numPr>
          <w:ilvl w:val="0"/>
          <w:numId w:val="1013"/>
        </w:numPr>
      </w:pPr>
      <w:r>
        <w:t xml:space="preserve">A</w:t>
      </w:r>
      <w:r>
        <w:t xml:space="preserve"> </w:t>
      </w:r>
      <w:r>
        <w:rPr>
          <w:bCs/>
          <w:b/>
        </w:rPr>
        <w:t xml:space="preserve">dual-threshold decision framework</w:t>
      </w:r>
      <w:r>
        <w:t xml:space="preserve"> </w:t>
      </w:r>
      <w:r>
        <w:t xml:space="preserve">enabling precision–recall calibration to institutional risk appetite.</w:t>
      </w:r>
    </w:p>
    <w:p>
      <w:pPr>
        <w:numPr>
          <w:ilvl w:val="0"/>
          <w:numId w:val="1013"/>
        </w:numPr>
      </w:pPr>
      <w:r>
        <w:t xml:space="preserve">A</w:t>
      </w:r>
      <w:r>
        <w:t xml:space="preserve"> </w:t>
      </w:r>
      <w:r>
        <w:rPr>
          <w:bCs/>
          <w:b/>
        </w:rPr>
        <w:t xml:space="preserve">CIBIL-aligned credit scoring formula</w:t>
      </w:r>
      <w:r>
        <w:t xml:space="preserve"> </w:t>
      </w:r>
      <w:r>
        <w:t xml:space="preserve">weighting ML-derived default probability at 50%, integrating predictions into the familiar 300–900 range.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Per-prediction SHAP explanations</w:t>
      </w:r>
      <w:r>
        <w:t xml:space="preserve"> </w:t>
      </w:r>
      <w:r>
        <w:t xml:space="preserve">with actionable improvement recommendations supporting fair lending.</w:t>
      </w:r>
    </w:p>
    <w:p>
      <w:pPr>
        <w:numPr>
          <w:ilvl w:val="0"/>
          <w:numId w:val="1013"/>
        </w:numPr>
      </w:pPr>
      <w:r>
        <w:t xml:space="preserve">A</w:t>
      </w:r>
      <w:r>
        <w:t xml:space="preserve"> </w:t>
      </w:r>
      <w:r>
        <w:rPr>
          <w:bCs/>
          <w:b/>
        </w:rPr>
        <w:t xml:space="preserve">deployment-ready system</w:t>
      </w:r>
      <w:r>
        <w:t xml:space="preserve"> </w:t>
      </w:r>
      <w:r>
        <w:t xml:space="preserve">with a Next.js CRM dashboard, Streamlit tool, and Google Sheets batch integration.</w:t>
      </w:r>
    </w:p>
    <w:bookmarkEnd w:id="196"/>
    <w:bookmarkStart w:id="197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Chen, T. and Guestrin, C. (2016). XGBoost: A Scalable Tree Boosting System.</w:t>
      </w:r>
      <w:r>
        <w:t xml:space="preserve"> </w:t>
      </w:r>
      <w:r>
        <w:rPr>
          <w:iCs/>
          <w:i/>
        </w:rPr>
        <w:t xml:space="preserve">Proc. 22nd ACM SIGKDD</w:t>
      </w:r>
      <w:r>
        <w:t xml:space="preserve">, pp. 785–794.</w:t>
      </w:r>
    </w:p>
    <w:p>
      <w:pPr>
        <w:pStyle w:val="BodyText"/>
      </w:pPr>
      <w:r>
        <w:t xml:space="preserve">Prokhorenkova, L. et al. (2018). CatBoost: Unbiased Boosting with Categorical Features.</w:t>
      </w:r>
      <w:r>
        <w:t xml:space="preserve"> </w:t>
      </w:r>
      <w:r>
        <w:rPr>
          <w:iCs/>
          <w:i/>
        </w:rPr>
        <w:t xml:space="preserve">NeurIPS</w:t>
      </w:r>
      <w:r>
        <w:t xml:space="preserve"> 31.</w:t>
      </w:r>
    </w:p>
    <w:p>
      <w:pPr>
        <w:pStyle w:val="BodyText"/>
      </w:pPr>
      <w:r>
        <w:t xml:space="preserve">Lundberg, S.M. and Lee, S.I. (2017). A Unified Approach to Interpreting Model Predictions.</w:t>
      </w:r>
      <w:r>
        <w:t xml:space="preserve"> </w:t>
      </w:r>
      <w:r>
        <w:rPr>
          <w:iCs/>
          <w:i/>
        </w:rPr>
        <w:t xml:space="preserve">NeurIPS</w:t>
      </w:r>
      <w:r>
        <w:t xml:space="preserve"> 30.</w:t>
      </w:r>
    </w:p>
    <w:p>
      <w:pPr>
        <w:pStyle w:val="BodyText"/>
      </w:pPr>
      <w:r>
        <w:t xml:space="preserve">Akiba, T. et al. (2019). Optuna: A Next-generation Hyperparameter Optimization Framework.</w:t>
      </w:r>
      <w:r>
        <w:t xml:space="preserve"> </w:t>
      </w:r>
      <w:r>
        <w:rPr>
          <w:iCs/>
          <w:i/>
        </w:rPr>
        <w:t xml:space="preserve">Proc. 25th ACM SIGKDD</w:t>
      </w:r>
      <w:r>
        <w:t xml:space="preserve">, pp. 2623–2631.</w:t>
      </w:r>
    </w:p>
    <w:p>
      <w:pPr>
        <w:pStyle w:val="BodyText"/>
      </w:pPr>
      <w:r>
        <w:t xml:space="preserve">Jacobs, R.A. et al. (1991). Adaptive Mixtures of Local Experts.</w:t>
      </w:r>
      <w:r>
        <w:t xml:space="preserve"> </w:t>
      </w:r>
      <w:r>
        <w:rPr>
          <w:iCs/>
          <w:i/>
        </w:rPr>
        <w:t xml:space="preserve">Neural Computation</w:t>
      </w:r>
      <w:r>
        <w:t xml:space="preserve">, 3(1), pp. 79–87.</w:t>
      </w:r>
    </w:p>
    <w:p>
      <w:pPr>
        <w:pStyle w:val="BodyText"/>
      </w:pPr>
      <w:r>
        <w:t xml:space="preserve">Fedus, W. et al. (2022). Switch Transformers: Scaling to Trillion Parameter Models.</w:t>
      </w:r>
      <w:r>
        <w:t xml:space="preserve"> </w:t>
      </w:r>
      <w:r>
        <w:rPr>
          <w:iCs/>
          <w:i/>
        </w:rPr>
        <w:t xml:space="preserve">JMLR</w:t>
      </w:r>
      <w:r>
        <w:t xml:space="preserve">.</w:t>
      </w:r>
    </w:p>
    <w:p>
      <w:pPr>
        <w:pStyle w:val="BodyText"/>
      </w:pPr>
      <w:r>
        <w:t xml:space="preserve">Hinton, G. et al. (2015). Distilling the Knowledge in a Neural Network.</w:t>
      </w:r>
      <w:r>
        <w:t xml:space="preserve"> </w:t>
      </w:r>
      <w:r>
        <w:rPr>
          <w:iCs/>
          <w:i/>
        </w:rPr>
        <w:t xml:space="preserve">NeurIPS Workshop</w:t>
      </w:r>
      <w:r>
        <w:t xml:space="preserve">.</w:t>
      </w:r>
    </w:p>
    <w:p>
      <w:pPr>
        <w:pStyle w:val="BodyText"/>
      </w:pPr>
      <w:r>
        <w:t xml:space="preserve">McInnes, L. et al. (2018). UMAP: Uniform Manifold Approximation and Projection.</w:t>
      </w:r>
      <w:r>
        <w:t xml:space="preserve"> </w:t>
      </w:r>
      <w:r>
        <w:rPr>
          <w:iCs/>
          <w:i/>
        </w:rPr>
        <w:t xml:space="preserve">arXiv:1802.03426</w:t>
      </w:r>
      <w:r>
        <w:t xml:space="preserve">.</w:t>
      </w:r>
    </w:p>
    <w:p>
      <w:pPr>
        <w:pStyle w:val="BodyText"/>
      </w:pPr>
      <w:r>
        <w:t xml:space="preserve">Reserve Bank of India (2025). Financial Stability Report.</w:t>
      </w:r>
    </w:p>
    <w:p>
      <w:pPr>
        <w:pStyle w:val="BodyText"/>
      </w:pPr>
      <w:r>
        <w:t xml:space="preserve">TransUnion CIBIL (2025). CIBIL Score Methodology.</w:t>
      </w:r>
    </w:p>
    <w:p>
      <w:pPr>
        <w:pStyle w:val="BodyText"/>
      </w:pPr>
      <w:r>
        <w:t xml:space="preserve">Give Me Some Credit (2011). Kaggle Competition Dataset.</w:t>
      </w:r>
    </w:p>
    <w:p>
      <w:pPr>
        <w:pStyle w:val="BodyText"/>
      </w:pPr>
      <w:r>
        <w:t xml:space="preserve">Basel Committee on Banking Supervision (2006). International Convergence of Capital Measurement and Capital Standards. BIS.</w:t>
      </w:r>
    </w:p>
    <w:bookmarkEnd w:id="1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5" Target="media/rId95.png" /><Relationship Type="http://schemas.openxmlformats.org/officeDocument/2006/relationships/image" Id="rId108" Target="media/rId108.png" /><Relationship Type="http://schemas.openxmlformats.org/officeDocument/2006/relationships/image" Id="rId98" Target="media/rId98.png" /><Relationship Type="http://schemas.openxmlformats.org/officeDocument/2006/relationships/image" Id="rId105" Target="media/rId105.png" /><Relationship Type="http://schemas.openxmlformats.org/officeDocument/2006/relationships/image" Id="rId154" Target="media/rId154.png" /><Relationship Type="http://schemas.openxmlformats.org/officeDocument/2006/relationships/image" Id="rId102" Target="media/rId102.png" /><Relationship Type="http://schemas.openxmlformats.org/officeDocument/2006/relationships/image" Id="rId111" Target="media/rId111.png" /><Relationship Type="http://schemas.openxmlformats.org/officeDocument/2006/relationships/image" Id="rId91" Target="media/rId91.png" /><Relationship Type="http://schemas.openxmlformats.org/officeDocument/2006/relationships/image" Id="rId160" Target="media/rId160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181" Target="media/rId181.png" /><Relationship Type="http://schemas.openxmlformats.org/officeDocument/2006/relationships/image" Id="rId185" Target="media/rId185.png" /><Relationship Type="http://schemas.openxmlformats.org/officeDocument/2006/relationships/image" Id="rId177" Target="media/rId177.png" /><Relationship Type="http://schemas.openxmlformats.org/officeDocument/2006/relationships/image" Id="rId173" Target="media/rId173.png" /><Relationship Type="http://schemas.openxmlformats.org/officeDocument/2006/relationships/image" Id="rId134" Target="media/rId134.png" /><Relationship Type="http://schemas.openxmlformats.org/officeDocument/2006/relationships/image" Id="rId131" Target="media/rId131.png" /><Relationship Type="http://schemas.openxmlformats.org/officeDocument/2006/relationships/image" Id="rId128" Target="media/rId128.png" /><Relationship Type="http://schemas.openxmlformats.org/officeDocument/2006/relationships/image" Id="rId124" Target="media/rId124.png" /><Relationship Type="http://schemas.openxmlformats.org/officeDocument/2006/relationships/image" Id="rId121" Target="media/rId121.png" /><Relationship Type="http://schemas.openxmlformats.org/officeDocument/2006/relationships/image" Id="rId157" Target="media/rId157.png" /><Relationship Type="http://schemas.openxmlformats.org/officeDocument/2006/relationships/image" Id="rId115" Target="media/rId115.png" /><Relationship Type="http://schemas.openxmlformats.org/officeDocument/2006/relationships/image" Id="rId141" Target="media/rId141.png" /><Relationship Type="http://schemas.openxmlformats.org/officeDocument/2006/relationships/image" Id="rId149" Target="media/rId149.png" /><Relationship Type="http://schemas.openxmlformats.org/officeDocument/2006/relationships/image" Id="rId146" Target="media/rId146.png" /><Relationship Type="http://schemas.openxmlformats.org/officeDocument/2006/relationships/image" Id="rId163" Target="media/rId163.png" /><Relationship Type="http://schemas.openxmlformats.org/officeDocument/2006/relationships/image" Id="rId118" Target="media/rId118.png" /><Relationship Type="http://schemas.openxmlformats.org/officeDocument/2006/relationships/image" Id="rId138" Target="media/rId1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2026-04-05T19:15:09Z</dcterms:created>
  <dcterms:modified xsi:type="dcterms:W3CDTF">2026-04-05T19:15:09Z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