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b/>
          <w:color w:val="0F2340"/>
          <w:sz w:val="40"/>
        </w:rPr>
        <w:t>SUBCONTRACTOR AGREEMENT</w:t>
      </w:r>
    </w:p>
    <w:p>
      <w:pPr>
        <w:jc w:val="center"/>
        <w:spacing w:before="0" w:after="120"/>
      </w:pPr>
      <w:r>
        <w:rPr>
          <w:i/>
          <w:color w:val="2E75B6"/>
          <w:sz w:val="24"/>
        </w:rPr>
        <w:t>Including Non-Disclosure, Non-Solicitation &amp; Payment Terms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4FF"/>
            <w:tcBorders>
              <w:top w:val="single" w:sz="6" w:color="2E75B6" w:space="0"/>
              <w:left w:val="single" w:sz="6" w:color="2E75B6" w:space="0"/>
              <w:bottom w:val="single" w:sz="6" w:color="2E75B6" w:space="0"/>
              <w:right w:val="single" w:sz="6" w:color="2E75B6" w:space="0"/>
            </w:tcBorders>
          </w:tcPr>
          <w:p>
            <w:pPr>
              <w:ind w:left="170" w:right="170"/>
              <w:spacing w:before="30" w:after="30"/>
            </w:pPr>
            <w:r>
              <w:rPr>
                <w:b w:val="0"/>
                <w:sz w:val="21"/>
              </w:rPr>
              <w:t xml:space="preserve">THIS AGREEMENT is made on </w:t>
            </w:r>
            <w:r>
              <w:rPr>
                <w:b/>
                <w:sz w:val="21"/>
                <w:highlight w:val="yellow"/>
              </w:rPr>
              <w:t>[DATE]</w:t>
            </w:r>
            <w:r>
              <w:rPr>
                <w:b w:val="0"/>
                <w:sz w:val="21"/>
              </w:rPr>
              <w:t xml:space="preserve"> between:</w:t>
            </w:r>
          </w:p>
          <w:p>
            <w:pPr>
              <w:ind w:left="170" w:right="170"/>
              <w:spacing w:before="30" w:after="30"/>
            </w:pPr>
            <w:r>
              <w:rPr>
                <w:b w:val="0"/>
                <w:sz w:val="21"/>
              </w:rPr>
              <w:t>(1) Metaphrase Ltd, Company No. 16371031, 30 Victoria Road, Birmingham, B21 0SA (“Metaphrase”); and</w:t>
            </w:r>
          </w:p>
          <w:p>
            <w:pPr>
              <w:ind w:left="170" w:right="170"/>
              <w:spacing w:before="30" w:after="30"/>
            </w:pPr>
            <w:r>
              <w:rPr>
                <w:b w:val="0"/>
                <w:sz w:val="21"/>
              </w:rPr>
              <w:t xml:space="preserve">(2) </w:t>
            </w:r>
            <w:r>
              <w:rPr>
                <w:b/>
                <w:sz w:val="21"/>
                <w:highlight w:val="yellow"/>
              </w:rPr>
              <w:t>[SUBCONTRACTOR FULL NAME]</w:t>
            </w:r>
            <w:r>
              <w:rPr>
                <w:b w:val="0"/>
                <w:sz w:val="21"/>
              </w:rPr>
              <w:t xml:space="preserve">, of </w:t>
            </w:r>
            <w:r>
              <w:rPr>
                <w:b/>
                <w:sz w:val="21"/>
                <w:highlight w:val="yellow"/>
              </w:rPr>
              <w:t>[SUBCONTRACTOR ADDRESS]</w:t>
            </w:r>
            <w:r>
              <w:rPr>
                <w:b w:val="0"/>
                <w:sz w:val="21"/>
              </w:rPr>
              <w:t xml:space="preserve">, trading as </w:t>
            </w:r>
            <w:r>
              <w:rPr>
                <w:b/>
                <w:sz w:val="21"/>
                <w:highlight w:val="yellow"/>
              </w:rPr>
              <w:t>[TRADING NAME / N/A]</w:t>
            </w:r>
            <w:r>
              <w:rPr>
                <w:b w:val="0"/>
                <w:sz w:val="21"/>
              </w:rPr>
              <w:t xml:space="preserve"> (“the Subcontractor”).</w:t>
            </w:r>
          </w:p>
        </w:tc>
      </w:tr>
    </w:tbl>
    <w:p>
      <w:pPr>
        <w:spacing w:before="0" w:after="60"/>
      </w:pPr>
    </w:p>
    <w:p>
      <w:pPr>
        <w:spacing w:before="180" w:after="60"/>
      </w:pPr>
      <w:r>
        <w:rPr>
          <w:b/>
          <w:color w:val="0F2340"/>
          <w:sz w:val="22"/>
        </w:rPr>
        <w:t>1. APPOINTMENT</w:t>
      </w:r>
    </w:p>
    <w:p>
      <w:pPr>
        <w:ind w:left="340"/>
        <w:spacing w:before="20" w:after="20"/>
      </w:pPr>
      <w:r>
        <w:rPr>
          <w:sz w:val="21"/>
        </w:rPr>
        <w:t>1.1 Metaphrase appoints the Subcontractor on a non-exclusive basis to provide language services as specified in individual Project Briefs issued from time to time.</w:t>
      </w:r>
    </w:p>
    <w:p>
      <w:pPr>
        <w:ind w:left="340"/>
        <w:spacing w:before="20" w:after="20"/>
      </w:pPr>
      <w:r>
        <w:rPr>
          <w:sz w:val="21"/>
        </w:rPr>
        <w:t>1.2 This Agreement does not guarantee any minimum volume of work. Metaphrase may offer projects at its sole discretion; the Subcontractor may decline any project.</w:t>
      </w:r>
    </w:p>
    <w:p>
      <w:pPr>
        <w:ind w:left="340"/>
        <w:spacing w:before="20" w:after="20"/>
      </w:pPr>
      <w:r>
        <w:rPr>
          <w:sz w:val="21"/>
        </w:rPr>
        <w:t>1.3 The Subcontractor shall not substitute another person without Metaphrase’s prior written consent.</w:t>
      </w:r>
    </w:p>
    <w:p>
      <w:pPr>
        <w:spacing w:before="180" w:after="60"/>
      </w:pPr>
      <w:r>
        <w:rPr>
          <w:b/>
          <w:color w:val="0F2340"/>
          <w:sz w:val="22"/>
        </w:rPr>
        <w:t>2. SERVICES AND STANDARDS</w:t>
      </w:r>
    </w:p>
    <w:p>
      <w:pPr>
        <w:ind w:left="340"/>
        <w:spacing w:before="20" w:after="20"/>
      </w:pPr>
      <w:r>
        <w:rPr>
          <w:sz w:val="21"/>
        </w:rPr>
        <w:t>2.1 The Subcontractor shall perform all Services: (a) with professional skill, care and diligence; (b) in accordance with the CIOL Code of Professional Conduct or equivalent; (c) in compliance with specific instructions or style guides provided by Metaphrase; (d) in strict confidence.</w:t>
      </w:r>
    </w:p>
    <w:p>
      <w:pPr>
        <w:ind w:left="340"/>
        <w:spacing w:before="20" w:after="20"/>
      </w:pPr>
      <w:r>
        <w:rPr>
          <w:sz w:val="21"/>
        </w:rPr>
        <w:t>2.2 The Subcontractor warrants they hold appropriate qualifications relevant to the services undertaken and will notify Metaphrase promptly of any change to professional membership status.</w:t>
      </w:r>
    </w:p>
    <w:p>
      <w:pPr>
        <w:ind w:left="340"/>
        <w:spacing w:before="20" w:after="20"/>
      </w:pPr>
      <w:r>
        <w:rPr>
          <w:sz w:val="21"/>
        </w:rPr>
        <w:t>2.3 Work must be delivered by the deadline in each Project Brief. If a deadline cannot be met, Metaphrase must be notified immediately and no later than 24 hours before the deadline.</w:t>
      </w:r>
    </w:p>
    <w:p>
      <w:pPr>
        <w:ind w:left="340"/>
        <w:spacing w:before="20" w:after="20"/>
      </w:pPr>
      <w:r>
        <w:rPr>
          <w:sz w:val="21"/>
        </w:rPr>
        <w:t>2.4 The Subcontractor must not use machine translation or AI-generated output without Metaphrase’s prior written consent. All work must be the Subcontractor’s own professional output.</w:t>
      </w:r>
    </w:p>
    <w:p>
      <w:pPr>
        <w:spacing w:before="180" w:after="60"/>
      </w:pPr>
      <w:r>
        <w:rPr>
          <w:b/>
          <w:color w:val="0F2340"/>
          <w:sz w:val="22"/>
        </w:rPr>
        <w:t>3. RATES AND PAYMENT</w:t>
      </w:r>
    </w:p>
    <w:p>
      <w:pPr>
        <w:ind w:left="340"/>
        <w:spacing w:before="20" w:after="20"/>
      </w:pPr>
      <w:r>
        <w:rPr>
          <w:sz w:val="21"/>
        </w:rPr>
        <w:t>3.1 Rates will be agreed in writing via Project Brief or by email before work commences. Standard rates: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2835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Rate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1"/>
              </w:rPr>
              <w:t>Translation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highlight w:val="yellow"/>
              </w:rPr>
              <w:t>[£0.00 per word]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Interpreting</w:t>
            </w:r>
          </w:p>
        </w:tc>
        <w:tc>
          <w:tcPr>
            <w:tcW w:type="dxa" w:w="2835"/>
          </w:tcPr>
          <w:p>
            <w:r>
              <w:rPr>
                <w:highlight w:val="yellow"/>
              </w:rPr>
              <w:t>[£0.00 per hour]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1"/>
              </w:rPr>
              <w:t>Transcription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highlight w:val="yellow"/>
              </w:rPr>
              <w:t>[£0.00 per audio minute]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Other</w:t>
            </w:r>
          </w:p>
        </w:tc>
        <w:tc>
          <w:tcPr>
            <w:tcW w:type="dxa" w:w="2835"/>
          </w:tcPr>
          <w:p>
            <w:r>
              <w:rPr>
                <w:highlight w:val="yellow"/>
              </w:rPr>
              <w:t>[as agreed]</w:t>
            </w:r>
          </w:p>
        </w:tc>
      </w:tr>
    </w:tbl>
    <w:p>
      <w:pPr>
        <w:spacing w:before="0" w:after="40"/>
      </w:pPr>
    </w:p>
    <w:p>
      <w:pPr>
        <w:ind w:left="340"/>
        <w:spacing w:before="20" w:after="20"/>
      </w:pPr>
      <w:r>
        <w:rPr>
          <w:sz w:val="21"/>
        </w:rPr>
        <w:t xml:space="preserve">3.2 The Subcontractor shall submit an invoice within </w:t>
      </w:r>
      <w:r>
        <w:rPr>
          <w:sz w:val="21"/>
          <w:highlight w:val="yellow"/>
        </w:rPr>
        <w:t>[7]</w:t>
      </w:r>
      <w:r>
        <w:rPr>
          <w:sz w:val="21"/>
        </w:rPr>
        <w:t xml:space="preserve"> days of delivering completed work. Invoices must include name, address, bank details, description of services, agreed rate, total due, and VAT number if applicable.</w:t>
      </w:r>
    </w:p>
    <w:p>
      <w:pPr>
        <w:ind w:left="340"/>
        <w:spacing w:before="20" w:after="20"/>
      </w:pPr>
      <w:r>
        <w:rPr>
          <w:sz w:val="21"/>
        </w:rPr>
        <w:t xml:space="preserve">3.3 Metaphrase will pay valid invoices within </w:t>
      </w:r>
      <w:r>
        <w:rPr>
          <w:sz w:val="21"/>
          <w:highlight w:val="yellow"/>
        </w:rPr>
        <w:t>[30]</w:t>
      </w:r>
      <w:r>
        <w:rPr>
          <w:sz w:val="21"/>
        </w:rPr>
        <w:t xml:space="preserve"> days of receipt, subject to satisfactory delivery and receipt of payment from the end client.</w:t>
      </w:r>
    </w:p>
    <w:p>
      <w:pPr>
        <w:ind w:left="340"/>
        <w:spacing w:before="20" w:after="20"/>
      </w:pPr>
      <w:r>
        <w:rPr>
          <w:sz w:val="21"/>
        </w:rPr>
        <w:t>3.4 In the event of a quality dispute, Metaphrase may withhold the disputed amount until resolved but will not withhold undisputed amounts.</w:t>
      </w:r>
    </w:p>
    <w:p>
      <w:pPr>
        <w:ind w:left="340"/>
        <w:spacing w:before="20" w:after="20"/>
      </w:pPr>
      <w:r>
        <w:rPr>
          <w:sz w:val="21"/>
        </w:rPr>
        <w:t>3.5 The Subcontractor is responsible for their own income tax and National Insurance. Metaphrase will not deduct tax at source unless legally required.</w:t>
      </w:r>
    </w:p>
    <w:p>
      <w:pPr>
        <w:spacing w:before="180" w:after="60"/>
      </w:pPr>
      <w:r>
        <w:rPr>
          <w:b/>
          <w:color w:val="0F2340"/>
          <w:sz w:val="22"/>
        </w:rPr>
        <w:t>4. NON-DISCLOSURE AND CONFIDENTIALITY (NDA)</w:t>
      </w:r>
    </w:p>
    <w:p>
      <w:pPr>
        <w:ind w:left="340"/>
        <w:spacing w:before="20" w:after="20"/>
      </w:pPr>
      <w:r>
        <w:rPr>
          <w:sz w:val="21"/>
        </w:rPr>
        <w:t>4.1 The Subcontractor will have access to Confidential Information belonging to Metaphrase and its clients in the course of providing Services.</w:t>
      </w:r>
    </w:p>
    <w:p>
      <w:pPr>
        <w:ind w:left="340"/>
        <w:spacing w:before="20" w:after="20"/>
      </w:pPr>
      <w:r>
        <w:rPr>
          <w:sz w:val="21"/>
        </w:rPr>
        <w:t>4.2 “Confidential Information” includes client identities, contact details, source documents and contents, project details, pricing, and any information designated as confidential.</w:t>
      </w:r>
    </w:p>
    <w:p>
      <w:pPr>
        <w:ind w:left="340"/>
        <w:spacing w:before="20" w:after="20"/>
      </w:pPr>
      <w:r>
        <w:rPr>
          <w:sz w:val="21"/>
        </w:rPr>
        <w:t>4.3 The Subcontractor undertakes to: (a) keep all Confidential Information strictly secret; (b) not disclose it to any third party without Metaphrase’s written consent; (c) use it only to perform the Services; (d) immediately notify Metaphrase of any actual or suspected unauthorised disclosure.</w:t>
      </w:r>
    </w:p>
    <w:p>
      <w:pPr>
        <w:ind w:left="340"/>
        <w:spacing w:before="20" w:after="20"/>
      </w:pPr>
      <w:r>
        <w:rPr>
          <w:sz w:val="21"/>
        </w:rPr>
        <w:t xml:space="preserve">4.4 All client documents must be deleted from the Subcontractor’s systems within </w:t>
      </w:r>
      <w:r>
        <w:rPr>
          <w:sz w:val="21"/>
          <w:highlight w:val="yellow"/>
        </w:rPr>
        <w:t>[30]</w:t>
      </w:r>
      <w:r>
        <w:rPr>
          <w:sz w:val="21"/>
        </w:rPr>
        <w:t xml:space="preserve"> days of project completion unless otherwise instructed.</w:t>
      </w:r>
    </w:p>
    <w:p>
      <w:pPr>
        <w:ind w:left="340"/>
        <w:spacing w:before="20" w:after="20"/>
      </w:pPr>
      <w:r>
        <w:rPr>
          <w:sz w:val="21"/>
        </w:rPr>
        <w:t>4.5 This confidentiality obligation survives termination of this Agreement without limit in time.</w:t>
      </w:r>
    </w:p>
    <w:p>
      <w:pPr>
        <w:spacing w:before="180" w:after="60"/>
      </w:pPr>
      <w:r>
        <w:rPr>
          <w:b/>
          <w:color w:val="0F2340"/>
          <w:sz w:val="22"/>
        </w:rPr>
        <w:t>5. NON-SOLICITATION</w:t>
      </w:r>
    </w:p>
    <w:p>
      <w:pPr>
        <w:ind w:left="340"/>
        <w:spacing w:before="20" w:after="20"/>
      </w:pPr>
      <w:r>
        <w:rPr>
          <w:sz w:val="21"/>
        </w:rPr>
        <w:t xml:space="preserve">5.1 During this Agreement and for </w:t>
      </w:r>
      <w:r>
        <w:rPr>
          <w:sz w:val="21"/>
          <w:highlight w:val="yellow"/>
        </w:rPr>
        <w:t>[24]</w:t>
      </w:r>
      <w:r>
        <w:rPr>
          <w:sz w:val="21"/>
        </w:rPr>
        <w:t xml:space="preserve"> months following termination, the Subcontractor shall not: (a) solicit, approach or accept work from any Metaphrase client they encountered through Metaphrase; (b) encourage any Metaphrase client to reduce or terminate its relationship with Metaphrase; (c) contact any Metaphrase client for commercial purposes related to language services.</w:t>
      </w:r>
    </w:p>
    <w:p>
      <w:pPr>
        <w:ind w:left="340"/>
        <w:spacing w:before="20" w:after="20"/>
      </w:pPr>
      <w:r>
        <w:rPr>
          <w:sz w:val="21"/>
        </w:rPr>
        <w:t>5.2 Where the Subcontractor has an existing prior relationship with a client encountered through Metaphrase, they must disclose this immediately. Metaphrase will determine in good faith how to proceed.</w:t>
      </w:r>
    </w:p>
    <w:p>
      <w:pPr>
        <w:ind w:left="340"/>
        <w:spacing w:before="20" w:after="20"/>
      </w:pPr>
      <w:r>
        <w:rPr>
          <w:sz w:val="21"/>
        </w:rPr>
        <w:t>5.3 The parties acknowledge this clause is reasonable and necessary to protect Metaphrase’s legitimate business interests, client relationships and goodwill.</w:t>
      </w:r>
    </w:p>
    <w:p>
      <w:pPr>
        <w:spacing w:before="180" w:after="60"/>
      </w:pPr>
      <w:r>
        <w:rPr>
          <w:b/>
          <w:color w:val="0F2340"/>
          <w:sz w:val="22"/>
        </w:rPr>
        <w:t>6. NON-COMPETITION</w:t>
      </w:r>
    </w:p>
    <w:p>
      <w:pPr>
        <w:ind w:left="340"/>
        <w:spacing w:before="20" w:after="20"/>
      </w:pPr>
      <w:r>
        <w:rPr>
          <w:sz w:val="21"/>
        </w:rPr>
        <w:t>6.1 The Subcontractor may work for other agencies, direct clients and as a freelancer during this Agreement, provided it does not conflict with obligations under any active Project Brief.</w:t>
      </w:r>
    </w:p>
    <w:p>
      <w:pPr>
        <w:ind w:left="340"/>
        <w:spacing w:before="20" w:after="20"/>
      </w:pPr>
      <w:r>
        <w:rPr>
          <w:sz w:val="21"/>
        </w:rPr>
        <w:t>6.2 During any active Project Brief, the Subcontractor shall not: (a) perform work for a competitor on the same project; (b) use materials or resources received from Metaphrase for any third party’s benefit.</w:t>
      </w:r>
    </w:p>
    <w:p>
      <w:pPr>
        <w:spacing w:before="180" w:after="60"/>
      </w:pPr>
      <w:r>
        <w:rPr>
          <w:b/>
          <w:color w:val="0F2340"/>
          <w:sz w:val="22"/>
        </w:rPr>
        <w:t>7. INTELLECTUAL PROPERTY</w:t>
      </w:r>
    </w:p>
    <w:p>
      <w:pPr>
        <w:ind w:left="340"/>
        <w:spacing w:before="20" w:after="20"/>
      </w:pPr>
      <w:r>
        <w:rPr>
          <w:sz w:val="21"/>
        </w:rPr>
        <w:t>7.1 All Deliverables are created as work for hire. All intellectual property rights vest in Metaphrase (and thereafter its client) upon creation and full payment to the Subcontractor.</w:t>
      </w:r>
    </w:p>
    <w:p>
      <w:pPr>
        <w:ind w:left="340"/>
        <w:spacing w:before="20" w:after="20"/>
      </w:pPr>
      <w:r>
        <w:rPr>
          <w:sz w:val="21"/>
        </w:rPr>
        <w:t>7.2 The Subcontractor waives all moral rights in the Deliverables to the fullest extent permitted by law.</w:t>
      </w:r>
    </w:p>
    <w:p>
      <w:pPr>
        <w:ind w:left="340"/>
        <w:spacing w:before="20" w:after="20"/>
      </w:pPr>
      <w:r>
        <w:rPr>
          <w:sz w:val="21"/>
        </w:rPr>
        <w:t>7.3 The Subcontractor shall not use Deliverables as portfolio pieces or for any other purpose without Metaphrase’s prior written consent.</w:t>
      </w:r>
    </w:p>
    <w:p>
      <w:pPr>
        <w:spacing w:before="180" w:after="60"/>
      </w:pPr>
      <w:r>
        <w:rPr>
          <w:b/>
          <w:color w:val="0F2340"/>
          <w:sz w:val="22"/>
        </w:rPr>
        <w:t>8. DATA PROTECTION</w:t>
      </w:r>
    </w:p>
    <w:p>
      <w:pPr>
        <w:ind w:left="340"/>
        <w:spacing w:before="20" w:after="20"/>
      </w:pPr>
      <w:r>
        <w:rPr>
          <w:sz w:val="21"/>
        </w:rPr>
        <w:t>8.1 The Subcontractor acts as a sub-processor on behalf of Metaphrase in accordance with UK GDPR.</w:t>
      </w:r>
    </w:p>
    <w:p>
      <w:pPr>
        <w:ind w:left="340"/>
        <w:spacing w:before="20" w:after="20"/>
      </w:pPr>
      <w:r>
        <w:rPr>
          <w:sz w:val="21"/>
        </w:rPr>
        <w:t>8.2 The Subcontractor shall: (a) process personal data only as instructed by Metaphrase; (b) implement appropriate security measures; (c) not transfer personal data outside the UK without Metaphrase’s written consent; (d) report any personal data breach to Metaphrase within 24 hours.</w:t>
      </w:r>
    </w:p>
    <w:p>
      <w:pPr>
        <w:spacing w:before="180" w:after="60"/>
      </w:pPr>
      <w:r>
        <w:rPr>
          <w:b/>
          <w:color w:val="0F2340"/>
          <w:sz w:val="22"/>
        </w:rPr>
        <w:t>9. INDEPENDENT CONTRACTOR STATUS</w:t>
      </w:r>
    </w:p>
    <w:p>
      <w:pPr>
        <w:ind w:left="340"/>
        <w:spacing w:before="20" w:after="20"/>
      </w:pPr>
      <w:r>
        <w:rPr>
          <w:sz w:val="21"/>
        </w:rPr>
        <w:t>9.1 The Subcontractor is an independent contractor, not an employee, agent or partner of Metaphrase.</w:t>
      </w:r>
    </w:p>
    <w:p>
      <w:pPr>
        <w:ind w:left="340"/>
        <w:spacing w:before="20" w:after="20"/>
      </w:pPr>
      <w:r>
        <w:rPr>
          <w:sz w:val="21"/>
        </w:rPr>
        <w:t>9.2 The Subcontractor has no authority to contract, represent, or incur liabilities on Metaphrase’s behalf.</w:t>
      </w:r>
    </w:p>
    <w:p>
      <w:pPr>
        <w:ind w:left="340"/>
        <w:spacing w:before="20" w:after="20"/>
      </w:pPr>
      <w:r>
        <w:rPr>
          <w:sz w:val="21"/>
        </w:rPr>
        <w:t>9.3 The Subcontractor is responsible for their own professional indemnity insurance, tax, and regulatory compliance.</w:t>
      </w:r>
    </w:p>
    <w:p>
      <w:pPr>
        <w:spacing w:before="180" w:after="60"/>
      </w:pPr>
      <w:r>
        <w:rPr>
          <w:b/>
          <w:color w:val="0F2340"/>
          <w:sz w:val="22"/>
        </w:rPr>
        <w:t>10. QUALITY ASSURANCE</w:t>
      </w:r>
    </w:p>
    <w:p>
      <w:pPr>
        <w:ind w:left="340"/>
        <w:spacing w:before="20" w:after="20"/>
      </w:pPr>
      <w:r>
        <w:rPr>
          <w:sz w:val="21"/>
        </w:rPr>
        <w:t xml:space="preserve">10.1 Metaphrase will notify the Subcontractor of any quality issue within </w:t>
      </w:r>
      <w:r>
        <w:rPr>
          <w:sz w:val="21"/>
          <w:highlight w:val="yellow"/>
        </w:rPr>
        <w:t>[5]</w:t>
      </w:r>
      <w:r>
        <w:rPr>
          <w:sz w:val="21"/>
        </w:rPr>
        <w:t xml:space="preserve"> working days of delivery.</w:t>
      </w:r>
    </w:p>
    <w:p>
      <w:pPr>
        <w:ind w:left="340"/>
        <w:spacing w:before="20" w:after="20"/>
      </w:pPr>
      <w:r>
        <w:rPr>
          <w:sz w:val="21"/>
        </w:rPr>
        <w:t>10.2 The Subcontractor shall correct identified errors without additional charge within a reasonable timeframe.</w:t>
      </w:r>
    </w:p>
    <w:p>
      <w:pPr>
        <w:ind w:left="340"/>
        <w:spacing w:before="20" w:after="20"/>
      </w:pPr>
      <w:r>
        <w:rPr>
          <w:sz w:val="21"/>
        </w:rPr>
        <w:t>10.3 Where errors are significant and caused by the Subcontractor, Metaphrase may deduct a proportionate sum from the invoice, not exceeding the full invoice value for that project.</w:t>
      </w:r>
    </w:p>
    <w:p>
      <w:pPr>
        <w:spacing w:before="180" w:after="60"/>
      </w:pPr>
      <w:r>
        <w:rPr>
          <w:b/>
          <w:color w:val="0F2340"/>
          <w:sz w:val="22"/>
        </w:rPr>
        <w:t>11. TERMINATION</w:t>
      </w:r>
    </w:p>
    <w:p>
      <w:pPr>
        <w:ind w:left="340"/>
        <w:spacing w:before="20" w:after="20"/>
      </w:pPr>
      <w:r>
        <w:rPr>
          <w:sz w:val="21"/>
        </w:rPr>
        <w:t xml:space="preserve">11.1 Either party may terminate this Agreement on </w:t>
      </w:r>
      <w:r>
        <w:rPr>
          <w:sz w:val="21"/>
          <w:highlight w:val="yellow"/>
        </w:rPr>
        <w:t>[30]</w:t>
      </w:r>
      <w:r>
        <w:rPr>
          <w:sz w:val="21"/>
        </w:rPr>
        <w:t xml:space="preserve"> days’ written notice.</w:t>
      </w:r>
    </w:p>
    <w:p>
      <w:pPr>
        <w:ind w:left="340"/>
        <w:spacing w:before="20" w:after="20"/>
      </w:pPr>
      <w:r>
        <w:rPr>
          <w:sz w:val="21"/>
        </w:rPr>
        <w:t>11.2 Metaphrase may terminate immediately if the Subcontractor: (a) commits a material breach including breach of confidentiality; (b) becomes insolvent; (c) is convicted of a criminal offence; (d) loses relevant professional membership; (e) engages in conduct damaging to Metaphrase’s reputation.</w:t>
      </w:r>
    </w:p>
    <w:p>
      <w:pPr>
        <w:ind w:left="340"/>
        <w:spacing w:before="20" w:after="20"/>
      </w:pPr>
      <w:r>
        <w:rPr>
          <w:sz w:val="21"/>
        </w:rPr>
        <w:t>11.3 On termination, the Subcontractor must: (a) return or destroy all Confidential Information and client materials; (b) submit outstanding invoices within 14 days; (c) complete active projects unless otherwise instructed.</w:t>
      </w:r>
    </w:p>
    <w:p>
      <w:pPr>
        <w:ind w:left="340"/>
        <w:spacing w:before="20" w:after="20"/>
      </w:pPr>
      <w:r>
        <w:rPr>
          <w:sz w:val="21"/>
        </w:rPr>
        <w:t>11.4 Clauses 4 (Confidentiality), 5 (Non-Solicitation), 7 (Intellectual Property) and 8 (Data Protection) survive termination.</w:t>
      </w:r>
    </w:p>
    <w:p>
      <w:pPr>
        <w:spacing w:before="180" w:after="60"/>
      </w:pPr>
      <w:r>
        <w:rPr>
          <w:b/>
          <w:color w:val="0F2340"/>
          <w:sz w:val="22"/>
        </w:rPr>
        <w:t>12. GOVERNING LAW</w:t>
      </w:r>
    </w:p>
    <w:p>
      <w:pPr>
        <w:ind w:left="340"/>
        <w:spacing w:before="20" w:after="20"/>
      </w:pPr>
      <w:r>
        <w:rPr>
          <w:sz w:val="21"/>
        </w:rPr>
        <w:t>12.1 This Agreement is governed by the laws of England and Wales.</w:t>
      </w:r>
    </w:p>
    <w:p>
      <w:pPr>
        <w:ind w:left="340"/>
        <w:spacing w:before="20" w:after="20"/>
      </w:pPr>
      <w:r>
        <w:rPr>
          <w:sz w:val="21"/>
        </w:rPr>
        <w:t>12.2 Disputes are subject to the exclusive jurisdiction of the courts of England and Wales.</w:t>
      </w:r>
    </w:p>
    <w:p>
      <w:pPr>
        <w:spacing w:before="180" w:after="60"/>
      </w:pPr>
      <w:r>
        <w:rPr>
          <w:b/>
          <w:color w:val="0F2340"/>
          <w:sz w:val="22"/>
        </w:rPr>
        <w:t>13. GENERAL</w:t>
      </w:r>
    </w:p>
    <w:p>
      <w:pPr>
        <w:ind w:left="340"/>
        <w:spacing w:before="20" w:after="20"/>
      </w:pPr>
      <w:r>
        <w:rPr>
          <w:sz w:val="21"/>
        </w:rPr>
        <w:t>13.1 Entire Agreement: This Agreement constitutes the entire agreement between the parties.</w:t>
      </w:r>
    </w:p>
    <w:p>
      <w:pPr>
        <w:ind w:left="340"/>
        <w:spacing w:before="20" w:after="20"/>
      </w:pPr>
      <w:r>
        <w:rPr>
          <w:sz w:val="21"/>
        </w:rPr>
        <w:t>13.2 Variation: Amendments are only effective if made in writing and signed by both parties.</w:t>
      </w:r>
    </w:p>
    <w:p>
      <w:pPr>
        <w:ind w:left="340"/>
        <w:spacing w:before="20" w:after="20"/>
      </w:pPr>
      <w:r>
        <w:rPr>
          <w:sz w:val="21"/>
        </w:rPr>
        <w:t>13.3 Severability: Invalid provisions shall be severed; remaining provisions continue in force.</w:t>
      </w:r>
    </w:p>
    <w:p>
      <w:pPr>
        <w:ind w:left="340"/>
        <w:spacing w:before="20" w:after="20"/>
      </w:pPr>
      <w:r>
        <w:rPr>
          <w:sz w:val="21"/>
        </w:rPr>
        <w:t>13.4 No Waiver: Failure to enforce any right is not a waiver of that right.</w:t>
      </w:r>
    </w:p>
    <w:p>
      <w:r>
        <w:br w:type="page"/>
      </w:r>
    </w:p>
    <w:p>
      <w:pPr>
        <w:spacing w:before="0" w:after="120"/>
      </w:pPr>
      <w:r>
        <w:rPr>
          <w:i/>
          <w:sz w:val="21"/>
        </w:rPr>
        <w:t>Each party confirms they have read, understood and agreed to the terms of this Subcontractor Agreement.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1134"/>
        <w:gridCol w:w="3969"/>
      </w:tblGrid>
      <w:tr>
        <w:tc>
          <w:tcPr>
            <w:tcW w:type="dxa" w:w="3024"/>
          </w:tcPr>
          <w:p>
            <w:pPr>
              <w:spacing w:before="0" w:after="60"/>
            </w:pPr>
            <w:r>
              <w:rPr>
                <w:b/>
                <w:color w:val="0F2340"/>
                <w:sz w:val="20"/>
              </w:rPr>
              <w:t>For and on behalf of Metaphrase Ltd: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Signed: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Full name: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Position: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Date:  </w:t>
            </w:r>
            <w:r>
              <w:rPr>
                <w:highlight w:val="green"/>
              </w:rPr>
              <w:t>________________________________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pPr>
              <w:spacing w:before="0" w:after="60"/>
            </w:pPr>
            <w:r>
              <w:rPr>
                <w:b/>
                <w:color w:val="0F2340"/>
                <w:sz w:val="20"/>
              </w:rPr>
              <w:t>For and on behalf of the Subcontractor: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Signed: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Full name: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Position:  </w:t>
            </w:r>
            <w:r>
              <w:rPr>
                <w:highlight w:val="green"/>
              </w:rPr>
              <w:t>________________________________</w:t>
            </w:r>
          </w:p>
          <w:p>
            <w:pPr>
              <w:spacing w:before="60" w:after="60"/>
            </w:pPr>
            <w:r>
              <w:rPr>
                <w:sz w:val="21"/>
              </w:rPr>
              <w:t xml:space="preserve">Date:  </w:t>
            </w:r>
            <w:r>
              <w:rPr>
                <w:highlight w:val="green"/>
              </w:rPr>
              <w:t>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E8E8"/>
            <w:tcBorders>
              <w:top w:val="single" w:sz="4" w:color="999999" w:space="0"/>
              <w:left w:val="single" w:sz="4" w:color="999999" w:space="0"/>
              <w:bottom w:val="single" w:sz="4" w:color="999999" w:space="0"/>
              <w:right w:val="single" w:sz="4" w:color="999999" w:space="0"/>
            </w:tcBorders>
          </w:tcPr>
          <w:p>
            <w:pPr>
              <w:ind w:left="170"/>
              <w:spacing w:before="40" w:after="30"/>
            </w:pPr>
            <w:r>
              <w:rPr>
                <w:b/>
                <w:color w:val="0F2340"/>
                <w:sz w:val="20"/>
              </w:rPr>
              <w:t>COMPLETION GUIDE</w:t>
            </w:r>
          </w:p>
          <w:p>
            <w:pPr>
              <w:ind w:left="170"/>
              <w:spacing w:before="0" w:after="20"/>
            </w:pPr>
            <w:r>
              <w:rPr>
                <w:b w:val="0"/>
                <w:sz w:val="20"/>
              </w:rPr>
              <w:t xml:space="preserve">Fields highlighted in </w:t>
            </w:r>
            <w:r>
              <w:rPr>
                <w:b/>
                <w:sz w:val="20"/>
                <w:highlight w:val="yellow"/>
              </w:rPr>
              <w:t>YELLOW</w:t>
            </w:r>
            <w:r>
              <w:rPr>
                <w:b w:val="0"/>
                <w:sz w:val="20"/>
              </w:rPr>
              <w:t xml:space="preserve"> — complete before sending to the client (dates, client details, payment terms, timescales)</w:t>
            </w:r>
          </w:p>
          <w:p>
            <w:pPr>
              <w:ind w:left="170"/>
              <w:spacing w:before="0" w:after="40"/>
            </w:pPr>
            <w:r>
              <w:rPr>
                <w:b w:val="0"/>
                <w:sz w:val="20"/>
              </w:rPr>
              <w:t xml:space="preserve">Fields highlighted in </w:t>
            </w:r>
            <w:r>
              <w:rPr>
                <w:b/>
                <w:sz w:val="20"/>
                <w:highlight w:val="green"/>
              </w:rPr>
              <w:t>GREEN</w:t>
            </w:r>
            <w:r>
              <w:rPr>
                <w:b w:val="0"/>
                <w:sz w:val="20"/>
              </w:rPr>
              <w:t xml:space="preserve"> — to be completed and signed by the other party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  <w:rPr>
        <w:color w:val="808080"/>
        <w:sz w:val="18"/>
        <w:szCs w:val="18"/>
      </w:rPr>
    </w:pPr>
    <w:r>
      <w:rPr>
        <w:color w:val="959595"/>
        <w:sz w:val="18"/>
        <w:color w:val="808080"/>
        <w:sz w:val="18"/>
        <w:szCs w:val="18"/>
      </w:rPr>
      <w:t xml:space="preserve">Metaphrase Ltd | Registered in England &amp; Wales | Company No. 16371031 | ICO Registered | </w:t>
    </w: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 xml:space="preserve"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NUMPAGES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 xml:space="preserve">1</w:t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969"/>
      <w:gridCol w:w="283"/>
      <w:gridCol w:w="4819"/>
    </w:tblGrid>
    <w:tr>
      <w:tc>
        <w:tcPr>
          <w:tcW w:type="dxa" w:w="3024"/>
          <w:vAlign w:val="center"/>
        </w:tcPr>
        <w:p>
          <w:pPr>
            <w:spacing w:before="0" w:after="0"/>
          </w:pPr>
          <w:r>
            <w:rPr>
              <w:b/>
              <w:color w:val="0F2340"/>
              <w:sz w:val="40"/>
            </w:rPr>
            <w:t>Metaphrase</w:t>
          </w:r>
        </w:p>
        <w:p>
          <w:pPr>
            <w:spacing w:before="0" w:after="0"/>
          </w:pPr>
          <w:r>
            <w:rPr>
              <w:b/>
              <w:color w:val="2E75B6"/>
              <w:sz w:val="14"/>
            </w:rPr>
            <w:t>TRANSLATION &amp; INTERPRETATION SERVICES</w:t>
          </w:r>
        </w:p>
        <w:p>
          <w:pPr>
            <w:spacing w:before="0" w:after="0"/>
          </w:pPr>
          <w:r>
            <w:rPr>
              <w:color w:val="606060"/>
              <w:sz w:val="15"/>
            </w:rPr>
            <w:t>Company No. 16371031</w:t>
          </w:r>
        </w:p>
      </w:tc>
      <w:tc>
        <w:tcPr>
          <w:tcW w:type="dxa" w:w="3024"/>
          <w:tcBorders>
            <w:right w:val="single" w:sz="12" w:color="2E75B6" w:space="0"/>
          </w:tcBorders>
        </w:tcPr>
        <w:p>
          <w:r/>
        </w:p>
      </w:tc>
      <w:tc>
        <w:tcPr>
          <w:tcW w:type="dxa" w:w="3024"/>
          <w:vAlign w:val="center"/>
        </w:tcPr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metaphrase.uk</w:t>
          </w:r>
        </w:p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info@metaphrase.uk</w:t>
          </w:r>
        </w:p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+44 7852 408 467</w:t>
          </w:r>
        </w:p>
        <w:p>
          <w:pPr>
            <w:spacing w:before="0" w:after="0"/>
            <w:jc w:val="right"/>
          </w:pPr>
          <w:r>
            <w:rPr>
              <w:color w:val="606060"/>
              <w:sz w:val="17"/>
            </w:rPr>
            <w:t>30 Victoria Road, Birmingham, B21 0SA</w:t>
          </w:r>
        </w:p>
      </w:tc>
    </w:tr>
  </w:tbl>
  <w:p>
    <w:pPr>
      <w:spacing w:before="4" w:after="4"/>
      <w:pBdr>
        <w:bottom w:val="single" w:sz="12" w:space="1" w:color="2E75B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