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u w:val="single"/>
        </w:rPr>
      </w:pPr>
      <w:r w:rsidDel="00000000" w:rsidR="00000000" w:rsidRPr="00000000">
        <w:rPr>
          <w:sz w:val="28"/>
          <w:szCs w:val="28"/>
          <w:u w:val="single"/>
          <w:rtl w:val="0"/>
        </w:rPr>
        <w:t xml:space="preserve">San Diego Deployment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will place 3 sensor packages (each including one of each type of MetaSense monitors listed below) at three different regulatory monitoring sites. Every two weeks will rotate the sensor packages allowing us to explore the transferability of calibrations and better isolate the variables impacting the sensors.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b w:val="1"/>
          <w:rtl w:val="0"/>
        </w:rPr>
        <w:t xml:space="preserve">Proposed Schedule: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Deploy the week of 8/14/17, possibly 8/15/17</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Configuration 1: 8/15 - 8/29 (30-31 pick-up &amp; re-deploy)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Configuration 2: 8/31 - 9/14 (14-15  pick-up &amp; re-deploy)</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Configuration 3: 9/15 - 10/2 (*2nd pick-up, possibly re-deploy to original sites) </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Week following SCAQMD conference*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MetaSense Monitors &amp; Needs: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3 stationary with VOC sensors and CO2</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3 pelican-type cases, with inlets and outlets</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Fans added for forced ventilation</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3 Additional boards with VOC PID and CO2 sensors </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Hardware for mounting boards</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3 power adapters </w:t>
      </w: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6</w:t>
      </w:r>
      <w:r w:rsidDel="00000000" w:rsidR="00000000" w:rsidRPr="00000000">
        <w:rPr>
          <w:rtl w:val="0"/>
        </w:rPr>
        <w:t xml:space="preserve"> outfitted for mobile use, but will be plugged in</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6 printed cases</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6 power adapters</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3 weatherproof ventilated cases or some simple shelter (to place the mobile monitors inside of at each monitoring site) </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Printing online = $60 per case </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EACH SENSOR PACKAGE WILL INCLUDE 1 STATIONARY AND 2 MOBILE </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Off-gassing by the protective coating?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Deployment Sites: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Donovan (San Diego) </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480 Alta Road, San Diego CA, 92179 </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NO2, O3</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higher pollutant levels, close to the border</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Contact: Bill Brick (SDAPCD)</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El Cajon Lexington Elementary  (San Diego) </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533 S. First Street, El Cajon CA, 92019 </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CO, NO2, O3, canister hydrocarbons</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further northeast</w:t>
      </w:r>
    </w:p>
    <w:p w:rsidR="00000000" w:rsidDel="00000000" w:rsidP="00000000" w:rsidRDefault="00000000" w:rsidRPr="00000000" w14:paraId="0000002A">
      <w:pPr>
        <w:numPr>
          <w:ilvl w:val="1"/>
          <w:numId w:val="2"/>
        </w:numPr>
        <w:ind w:left="1440" w:hanging="360"/>
        <w:rPr/>
      </w:pPr>
      <w:r w:rsidDel="00000000" w:rsidR="00000000" w:rsidRPr="00000000">
        <w:rPr>
          <w:rtl w:val="0"/>
        </w:rPr>
        <w:t xml:space="preserve">Contact Bill Brick (SDAPCD)</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Shafter (near Bakersfield)</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578 Walker St, Shafter CA 93263</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TNMHC (continuous), NO2, O3</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much further inland, rural/agricultural area, with continuous NMHC (this is a site we regularly use, space/power/access are easy) </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Contact: Kathy Edwards (ARB)</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