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val="1"/>
      </w:pPr>
      <w:r>
        <w:rPr>
          <w:rFonts w:ascii="Noto Sans" w:hAnsi="Noto Sans"/>
          <w:b/>
          <w:i w:val="0"/>
          <w:color w:val="1F415B"/>
          <w:sz w:val="50"/>
        </w:rPr>
        <w:t>HUMAN VERIFICATION DOSSIER</w:t>
      </w:r>
    </w:p>
    <w:p>
      <w:pPr>
        <w:jc w:val="center"/>
        <w:widowControl w:val="1"/>
      </w:pPr>
      <w:r>
        <w:rPr>
          <w:rFonts w:ascii="Noto Sans" w:hAnsi="Noto Sans"/>
          <w:b/>
          <w:i w:val="0"/>
          <w:color w:val="B2671F"/>
          <w:sz w:val="32"/>
        </w:rPr>
        <w:t>for Amber Classification of AI-Assisted Research</w:t>
      </w:r>
    </w:p>
    <w:p>
      <w:pPr>
        <w:spacing w:before="360"/>
        <w:jc w:val="center"/>
        <w:widowControl w:val="1"/>
      </w:pPr>
      <w:r>
        <w:rPr>
          <w:rFonts w:ascii="Noto Serif" w:hAnsi="Noto Serif"/>
          <w:b/>
          <w:i w:val="0"/>
          <w:color w:val="1F415B"/>
          <w:sz w:val="34"/>
        </w:rPr>
        <w:t>Linear Nonequilibrium Information Suffices for</w:t>
        <w:br/>
        <w:t>Fault-Tolerant Subquantum Search</w:t>
      </w:r>
    </w:p>
    <w:p>
      <w:pPr>
        <w:spacing w:before="320"/>
        <w:jc w:val="center"/>
        <w:widowControl w:val="1"/>
      </w:pPr>
      <w:r>
        <w:rPr>
          <w:rFonts w:ascii="Noto Sans" w:hAnsi="Noto Sans"/>
          <w:b w:val="0"/>
          <w:i w:val="0"/>
          <w:color w:val="5A646E"/>
          <w:sz w:val="20"/>
        </w:rPr>
        <w:t>Prepared for</w:t>
      </w:r>
    </w:p>
    <w:p>
      <w:pPr>
        <w:jc w:val="center"/>
        <w:widowControl w:val="1"/>
      </w:pPr>
      <w:r>
        <w:rPr>
          <w:rFonts w:ascii="Noto Serif" w:hAnsi="Noto Serif"/>
          <w:b w:val="0"/>
          <w:i w:val="0"/>
          <w:sz w:val="24"/>
        </w:rPr>
        <w:t>Dr. Michael A. Stay</w:t>
        <w:br/>
        <w:t>Computer Science Department, University of Auckland</w:t>
        <w:br/>
        <w:t>mike@cs.auckland.ac.nz</w:t>
      </w:r>
    </w:p>
    <w:p>
      <w:pPr>
        <w:spacing w:before="500"/>
        <w:jc w:val="center"/>
        <w:widowControl w:val="1"/>
      </w:pPr>
      <w:r>
        <w:rPr>
          <w:rFonts w:ascii="Noto Sans" w:hAnsi="Noto Sans"/>
          <w:b w:val="0"/>
          <w:i w:val="0"/>
          <w:color w:val="5A646E"/>
          <w:sz w:val="20"/>
        </w:rPr>
        <w:t>Version 2.0  |  8 October 2026</w:t>
      </w:r>
    </w:p>
    <w:tbl>
      <w:tblPr>
        <w:tblW w:type="auto" w:w="0"/>
        <w:jc w:val="center"/>
        <w:tblLayout w:type="fixed"/>
        <w:tblLook w:firstColumn="1" w:firstRow="1" w:lastColumn="0" w:lastRow="0" w:noHBand="0" w:noVBand="1" w:val="04A0"/>
      </w:tblPr>
      <w:tblGrid>
        <w:gridCol w:w="9576"/>
      </w:tblGrid>
      <w:tr>
        <w:trPr>
          <w:cantSplit/>
        </w:trPr>
        <w:tc>
          <w:tcPr>
            <w:tcW w:type="dxa" w:w="10224"/>
            <w:shd w:fill="FFF3CD"/>
            <w:tcBorders>
              <w:top w:val="nil"/>
              <w:left w:val="single" w:sz="18" w:color="7A5A00"/>
              <w:bottom w:val="nil"/>
              <w:right w:val="nil"/>
            </w:tcBorders>
            <w:tcMar>
              <w:top w:w="90" w:type="dxa"/>
              <w:start w:w="130" w:type="dxa"/>
              <w:bottom w:w="90" w:type="dxa"/>
              <w:end w:w="100" w:type="dxa"/>
            </w:tcMar>
          </w:tcPr>
          <w:p>
            <w:pPr>
              <w:spacing w:after="60"/>
            </w:pPr>
            <w:r>
              <w:rPr>
                <w:rFonts w:ascii="Noto Sans" w:hAnsi="Noto Sans"/>
                <w:b/>
                <w:i w:val="0"/>
                <w:color w:val="7A5A00"/>
                <w:sz w:val="20"/>
              </w:rPr>
              <w:t>Purpose of this dossier</w:t>
            </w:r>
          </w:p>
          <w:p>
            <w:pPr>
              <w:spacing w:after="0"/>
            </w:pPr>
            <w:r>
              <w:rPr>
                <w:rFonts w:ascii="Noto Serif" w:hAnsi="Noto Serif"/>
                <w:b w:val="0"/>
                <w:i w:val="0"/>
                <w:sz w:val="18"/>
              </w:rPr>
              <w:t>This workbook is designed to make the human validation required for an amber AI-use classification explicit, reproducible, and easy to audit. It does not guarantee that an editor will assign an amber classification; the journal retains that judgement.</w:t>
            </w:r>
          </w:p>
        </w:tc>
      </w:tr>
    </w:tbl>
    <w:p>
      <w:pPr>
        <w:spacing w:after="0"/>
        <w:widowControl w:val="1"/>
      </w:pPr>
    </w:p>
    <w:p>
      <w:pPr>
        <w:spacing w:before="400"/>
        <w:jc w:val="center"/>
        <w:widowControl w:val="1"/>
      </w:pPr>
      <w:r>
        <w:rPr>
          <w:rFonts w:ascii="Noto Sans" w:hAnsi="Noto Sans"/>
          <w:b w:val="0"/>
          <w:i w:val="0"/>
          <w:color w:val="5A646E"/>
          <w:sz w:val="17"/>
        </w:rPr>
        <w:t>Manuscript version reviewed: Foundations_of_Physics_submission_Stay_SN_revised_ready.zip (8 October 2026)</w:t>
      </w:r>
    </w:p>
    <w:p>
      <w:pPr>
        <w:widowControl w:val="1"/>
      </w:pPr>
      <w:r>
        <w:br w:type="page"/>
      </w:r>
    </w:p>
    <w:p>
      <w:pPr>
        <w:pStyle w:val="Heading1"/>
        <w:widowControl w:val="1"/>
      </w:pPr>
      <w:r>
        <w:t>1. How to use this dossier</w:t>
      </w:r>
    </w:p>
    <w:p>
      <w:pPr>
        <w:keepLines w:val="0"/>
        <w:spacing w:after="80" w:before="0"/>
        <w:widowControl w:val="1"/>
      </w:pPr>
      <w:r>
        <w:rPr>
          <w:rFonts w:ascii="Noto Serif" w:hAnsi="Noto Serif"/>
          <w:b w:val="0"/>
          <w:i w:val="0"/>
          <w:sz w:val="20"/>
        </w:rPr>
        <w:t>Springer Nature currently treats AI use by risk rather than by tool. Amber use includes AI contributions to analytical or interpretive work, provided the use is transparent, the outputs are independently verified, and scholarly judgement remains demonstrably human. The present manuscript is an amber candidate because ChatGPT contributed substantial reasoning and drafting. It risks red classification if the central analysis remains effectively delegated to the model or cannot be independently defended by the author.</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The governing test</w:t>
            </w:r>
          </w:p>
          <w:p>
            <w:pPr>
              <w:spacing w:after="0"/>
            </w:pPr>
            <w:r>
              <w:rPr>
                <w:rFonts w:ascii="Noto Serif" w:hAnsi="Noto Serif"/>
                <w:b w:val="0"/>
                <w:i w:val="0"/>
                <w:sz w:val="18"/>
              </w:rPr>
              <w:t>At the end of this process, you should be able to defend every equation, assumption, citation, novelty claim, interpretation, and conclusion without relying on ChatGPT as an authority.</w:t>
            </w:r>
          </w:p>
        </w:tc>
      </w:tr>
    </w:tbl>
    <w:p>
      <w:pPr>
        <w:spacing w:after="0"/>
        <w:widowControl w:val="1"/>
      </w:pPr>
    </w:p>
    <w:p>
      <w:pPr>
        <w:pStyle w:val="Heading2"/>
        <w:keepLines w:val="0"/>
        <w:spacing w:after="80" w:before="0"/>
        <w:widowControl w:val="1"/>
      </w:pPr>
      <w:r>
        <w:rPr>
          <w:rFonts w:ascii="Noto Serif" w:hAnsi="Noto Serif"/>
          <w:b w:val="0"/>
          <w:i w:val="0"/>
          <w:sz w:val="20"/>
        </w:rPr>
        <w:t>Status notation</w:t>
      </w:r>
    </w:p>
    <w:p>
      <w:pPr>
        <w:pStyle w:val="ListBullet"/>
        <w:spacing w:after="40"/>
        <w:widowControl w:val="1"/>
      </w:pPr>
      <w:r>
        <w:rPr>
          <w:rFonts w:ascii="Noto Serif" w:hAnsi="Noto Serif"/>
          <w:b w:val="0"/>
          <w:i w:val="0"/>
          <w:sz w:val="19"/>
        </w:rPr>
        <w:t>PASS: you independently reproduced or checked the result and retained evidence.</w:t>
      </w:r>
    </w:p>
    <w:p>
      <w:pPr>
        <w:pStyle w:val="ListBullet"/>
        <w:spacing w:after="40"/>
        <w:widowControl w:val="1"/>
      </w:pPr>
      <w:r>
        <w:rPr>
          <w:rFonts w:ascii="Noto Serif" w:hAnsi="Noto Serif"/>
          <w:b w:val="0"/>
          <w:i w:val="0"/>
          <w:sz w:val="19"/>
        </w:rPr>
        <w:t>REVISION NEEDED: the idea is defensible, but the manuscript must be corrected or narrowed.</w:t>
      </w:r>
    </w:p>
    <w:p>
      <w:pPr>
        <w:pStyle w:val="ListBullet"/>
        <w:spacing w:after="40"/>
        <w:widowControl w:val="1"/>
      </w:pPr>
      <w:r>
        <w:rPr>
          <w:rFonts w:ascii="Noto Serif" w:hAnsi="Noto Serif"/>
          <w:b w:val="0"/>
          <w:i w:val="0"/>
          <w:sz w:val="19"/>
        </w:rPr>
        <w:t>FAIL: the result, citation, or claim cannot presently be defended.</w:t>
      </w:r>
    </w:p>
    <w:p>
      <w:pPr>
        <w:pStyle w:val="ListBullet"/>
        <w:spacing w:after="40"/>
        <w:widowControl w:val="1"/>
      </w:pPr>
      <w:r>
        <w:rPr>
          <w:rFonts w:ascii="Noto Serif" w:hAnsi="Noto Serif"/>
          <w:b w:val="0"/>
          <w:i w:val="0"/>
          <w:sz w:val="19"/>
        </w:rPr>
        <w:t>N/A: the item does not apply; record why.</w:t>
      </w:r>
    </w:p>
    <w:p>
      <w:pPr>
        <w:pStyle w:val="Heading2"/>
        <w:keepLines w:val="0"/>
        <w:spacing w:after="80" w:before="0"/>
        <w:widowControl w:val="1"/>
      </w:pPr>
      <w:r>
        <w:rPr>
          <w:rFonts w:ascii="Noto Serif" w:hAnsi="Noto Serif"/>
          <w:b w:val="0"/>
          <w:i w:val="0"/>
          <w:sz w:val="20"/>
        </w:rPr>
        <w:t>Suggested evidence packet</w:t>
      </w:r>
    </w:p>
    <w:p>
      <w:pPr>
        <w:spacing w:after="40"/>
        <w:ind w:left="259" w:hanging="259"/>
        <w:widowControl w:val="1"/>
      </w:pPr>
      <w:r>
        <w:rPr>
          <w:rFonts w:ascii="Noto Serif" w:hAnsi="Noto Serif"/>
          <w:b w:val="0"/>
          <w:i w:val="0"/>
          <w:sz w:val="19"/>
        </w:rPr>
        <w:t>[ ] A handwritten or independently typed derivation of every calculation in Sections 2-6 of the manuscript.</w:t>
      </w:r>
    </w:p>
    <w:p>
      <w:pPr>
        <w:spacing w:after="40"/>
        <w:ind w:left="259" w:hanging="259"/>
        <w:widowControl w:val="1"/>
      </w:pPr>
      <w:r>
        <w:rPr>
          <w:rFonts w:ascii="Noto Serif" w:hAnsi="Noto Serif"/>
          <w:b w:val="0"/>
          <w:i w:val="0"/>
          <w:sz w:val="19"/>
        </w:rPr>
        <w:t>[ ] A citation audit showing the exact source location supporting each externally sourced claim.</w:t>
      </w:r>
    </w:p>
    <w:p>
      <w:pPr>
        <w:spacing w:after="40"/>
        <w:ind w:left="259" w:hanging="259"/>
        <w:widowControl w:val="1"/>
      </w:pPr>
      <w:r>
        <w:rPr>
          <w:rFonts w:ascii="Noto Serif" w:hAnsi="Noto Serif"/>
          <w:b w:val="0"/>
          <w:i w:val="0"/>
          <w:sz w:val="19"/>
        </w:rPr>
        <w:t>[ ] A dated literature-search log documenting the novelty search.</w:t>
      </w:r>
    </w:p>
    <w:p>
      <w:pPr>
        <w:spacing w:after="40"/>
        <w:ind w:left="259" w:hanging="259"/>
        <w:widowControl w:val="1"/>
      </w:pPr>
      <w:r>
        <w:rPr>
          <w:rFonts w:ascii="Noto Serif" w:hAnsi="Noto Serif"/>
          <w:b w:val="0"/>
          <w:i w:val="0"/>
          <w:sz w:val="19"/>
        </w:rPr>
        <w:t>[ ] A list of all manuscript changes made after independent verification.</w:t>
      </w:r>
    </w:p>
    <w:p>
      <w:pPr>
        <w:spacing w:after="40"/>
        <w:ind w:left="259" w:hanging="259"/>
        <w:widowControl w:val="1"/>
      </w:pPr>
      <w:r>
        <w:rPr>
          <w:rFonts w:ascii="Noto Serif" w:hAnsi="Noto Serif"/>
          <w:b w:val="0"/>
          <w:i w:val="0"/>
          <w:sz w:val="19"/>
        </w:rPr>
        <w:t>[ ] A final signed authorship/accountability statement and updated AI disclosure.</w:t>
      </w:r>
    </w:p>
    <w:p>
      <w:pPr>
        <w:spacing w:after="40"/>
        <w:ind w:left="259" w:hanging="259"/>
        <w:widowControl w:val="1"/>
      </w:pPr>
      <w:r>
        <w:rPr>
          <w:rFonts w:ascii="Noto Serif" w:hAnsi="Noto Serif"/>
          <w:b w:val="0"/>
          <w:i w:val="0"/>
          <w:sz w:val="19"/>
        </w:rPr>
        <w:t>[ ] A retained copy of the ChatGPT conversation or an equivalent interaction log.</w:t>
      </w:r>
    </w:p>
    <w:p>
      <w:pPr>
        <w:pStyle w:val="Heading2"/>
        <w:keepLines w:val="0"/>
        <w:spacing w:after="80" w:before="0"/>
        <w:widowControl w:val="1"/>
      </w:pPr>
      <w:r>
        <w:rPr>
          <w:rFonts w:ascii="Noto Serif" w:hAnsi="Noto Serif"/>
          <w:b w:val="0"/>
          <w:i w:val="0"/>
          <w:sz w:val="20"/>
        </w:rPr>
        <w:t>Submission gate</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Do not submit while a critical item is unresolved</w:t>
            </w:r>
          </w:p>
          <w:p>
            <w:pPr>
              <w:spacing w:after="0"/>
            </w:pPr>
            <w:r>
              <w:rPr>
                <w:rFonts w:ascii="Noto Serif" w:hAnsi="Noto Serif"/>
                <w:b w:val="0"/>
                <w:i w:val="0"/>
                <w:sz w:val="18"/>
              </w:rPr>
              <w:t>A transparent declaration alone does not convert unverified AI-generated reasoning into acceptable amber use. The verification and human judgement must actually have occurred.</w:t>
            </w:r>
          </w:p>
        </w:tc>
      </w:tr>
    </w:tbl>
    <w:p>
      <w:pPr>
        <w:spacing w:after="0"/>
        <w:widowControl w:val="1"/>
      </w:pPr>
    </w:p>
    <w:p>
      <w:pPr>
        <w:pStyle w:val="Heading1"/>
        <w:widowControl w:val="1"/>
      </w:pPr>
      <w:r>
        <w:t>2. Springer Nature amber criteria mapped to this paper</w:t>
      </w:r>
    </w:p>
    <w:tbl>
      <w:tblPr>
        <w:tblW w:type="auto" w:w="0"/>
        <w:jc w:val="center"/>
        <w:tblLayout w:type="fixed"/>
        <w:tblLook w:firstColumn="1" w:firstRow="1" w:lastColumn="0" w:lastRow="0" w:noHBand="0" w:noVBand="1" w:val="04A0"/>
      </w:tblPr>
      <w:tblGrid>
        <w:gridCol w:w="2160"/>
        <w:gridCol w:w="7344"/>
      </w:tblGrid>
      <w:tr>
        <w:trPr>
          <w:tblHeader w:val="true"/>
          <w:cantSplit/>
        </w:trPr>
        <w:tc>
          <w:tcPr>
            <w:tcW w:type="dxa" w:w="5112"/>
            <w:shd w:fill="DCE8F1"/>
            <w:tcBorders>
              <w:top w:val="single" w:sz="2" w:color="C7D0D8"/>
              <w:left w:val="single" w:sz="2" w:color="C7D0D8"/>
              <w:bottom w:val="single" w:sz="2" w:color="C7D0D8"/>
              <w:right w:val="single" w:sz="2" w:color="C7D0D8"/>
            </w:tcBorders>
          </w:tcPr>
          <w:p>
            <w:r>
              <w:rPr>
                <w:rFonts w:ascii="Noto Sans" w:hAnsi="Noto Sans"/>
                <w:b/>
                <w:i w:val="0"/>
                <w:sz w:val="18"/>
              </w:rPr>
              <w:t>Criterion</w:t>
            </w:r>
          </w:p>
        </w:tc>
        <w:tc>
          <w:tcPr>
            <w:tcW w:type="dxa" w:w="5112"/>
            <w:shd w:fill="DCE8F1"/>
            <w:tcBorders>
              <w:top w:val="single" w:sz="2" w:color="C7D0D8"/>
              <w:left w:val="single" w:sz="2" w:color="C7D0D8"/>
              <w:bottom w:val="single" w:sz="2" w:color="C7D0D8"/>
              <w:right w:val="single" w:sz="2" w:color="C7D0D8"/>
            </w:tcBorders>
          </w:tcPr>
          <w:p>
            <w:r>
              <w:rPr>
                <w:rFonts w:ascii="Noto Sans" w:hAnsi="Noto Sans"/>
                <w:b/>
                <w:i w:val="0"/>
                <w:sz w:val="18"/>
              </w:rPr>
              <w:t>What it means here</w:t>
            </w:r>
          </w:p>
        </w:tc>
      </w:tr>
      <w:tr>
        <w:trPr>
          <w:cantSplit/>
        </w:trPr>
        <w:tc>
          <w:tcPr>
            <w:tcW w:type="dxa" w:w="2160"/>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AI contribution</w:t>
            </w:r>
          </w:p>
        </w:tc>
        <w:tc>
          <w:tcPr>
            <w:tcW w:type="dxa" w:w="7344"/>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Amber permits AI to contribute to analytical or interpretive processes. Here ChatGPT proposed core constructions and drafted substantial text, so the use is not merely green.</w:t>
            </w:r>
          </w:p>
        </w:tc>
      </w:tr>
      <w:tr>
        <w:trPr>
          <w:cantSplit/>
        </w:trPr>
        <w:tc>
          <w:tcPr>
            <w:tcW w:type="dxa" w:w="2160"/>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Transparency</w:t>
            </w:r>
          </w:p>
        </w:tc>
        <w:tc>
          <w:tcPr>
            <w:tcW w:type="dxa" w:w="7344"/>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The tool, model, timing, purposes, and substantive contributions must be described accurately.</w:t>
            </w:r>
          </w:p>
        </w:tc>
      </w:tr>
      <w:tr>
        <w:trPr>
          <w:cantSplit/>
        </w:trPr>
        <w:tc>
          <w:tcPr>
            <w:tcW w:type="dxa" w:w="2160"/>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Validation</w:t>
            </w:r>
          </w:p>
        </w:tc>
        <w:tc>
          <w:tcPr>
            <w:tcW w:type="dxa" w:w="7344"/>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The author must independently verify all mathematics, physics, complexity claims, references, and novelty.</w:t>
            </w:r>
          </w:p>
        </w:tc>
      </w:tr>
      <w:tr>
        <w:trPr>
          <w:cantSplit/>
        </w:trPr>
        <w:tc>
          <w:tcPr>
            <w:tcW w:type="dxa" w:w="2160"/>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Human judgement</w:t>
            </w:r>
          </w:p>
        </w:tc>
        <w:tc>
          <w:tcPr>
            <w:tcW w:type="dxa" w:w="7344"/>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The author must decide which assumptions are acceptable, what theorem is actually proved, what is novel, and what conclusions are warranted.</w:t>
            </w:r>
          </w:p>
        </w:tc>
      </w:tr>
      <w:tr>
        <w:trPr>
          <w:cantSplit/>
        </w:trPr>
        <w:tc>
          <w:tcPr>
            <w:tcW w:type="dxa" w:w="2160"/>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Reproducibility</w:t>
            </w:r>
          </w:p>
        </w:tc>
        <w:tc>
          <w:tcPr>
            <w:tcW w:type="dxa" w:w="7344"/>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Inputs, derivations, source locations, corrections, and validation steps should be documented well enough for independent assessment.</w:t>
            </w:r>
          </w:p>
        </w:tc>
      </w:tr>
      <w:tr>
        <w:trPr>
          <w:cantSplit/>
        </w:trPr>
        <w:tc>
          <w:tcPr>
            <w:tcW w:type="dxa" w:w="2160"/>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Accountability</w:t>
            </w:r>
          </w:p>
        </w:tc>
        <w:tc>
          <w:tcPr>
            <w:tcW w:type="dxa" w:w="7344"/>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The human author remains solely responsible; ChatGPT is not an author and cannot bear responsibility.</w:t>
            </w:r>
          </w:p>
        </w:tc>
      </w:tr>
      <w:tr>
        <w:trPr>
          <w:cantSplit/>
        </w:trPr>
        <w:tc>
          <w:tcPr>
            <w:tcW w:type="dxa" w:w="2160"/>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Red-line risk</w:t>
            </w:r>
          </w:p>
        </w:tc>
        <w:tc>
          <w:tcPr>
            <w:tcW w:type="dxa" w:w="7344"/>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8"/>
              </w:rPr>
              <w:t>The use becomes red if AI-generated hypotheses, analyses, or conclusions are presented as human-derived without adequate oversight, or if core reasoning remains unverifiable or effectively delegated.</w:t>
            </w:r>
          </w:p>
        </w:tc>
      </w:tr>
    </w:tbl>
    <w:p>
      <w:pPr>
        <w:pStyle w:val="Heading2"/>
        <w:keepLines w:val="0"/>
        <w:spacing w:after="80" w:before="0"/>
        <w:widowControl w:val="1"/>
      </w:pPr>
      <w:r>
        <w:rPr>
          <w:rFonts w:ascii="Noto Serif" w:hAnsi="Noto Serif"/>
          <w:b w:val="0"/>
          <w:i w:val="0"/>
          <w:sz w:val="20"/>
        </w:rPr>
        <w:t>Official policy pages</w:t>
      </w:r>
    </w:p>
    <w:p>
      <w:pPr>
        <w:widowControl w:val="1"/>
      </w:pPr>
      <w:r>
        <w:rPr>
          <w:rFonts w:ascii="Noto Serif" w:hAnsi="Noto Serif"/>
          <w:b/>
          <w:i w:val="0"/>
          <w:sz w:val="20"/>
        </w:rPr>
        <w:t xml:space="preserve">Springer Nature - AI use in research practice: </w:t>
      </w:r>
      <w:hyperlink r:id="rId11">
        <w:r>
          <w:rPr>
            <w:color w:val="1F5A92"/>
            <w:u w:val="single"/>
            <w:rFonts w:ascii="Noto Sans" w:hAnsi="Noto Sans"/>
          </w:rPr>
          <w:t>https://www.springernature.com/gp/policies/editorial-policies/using-ai-in-research</w:t>
        </w:r>
      </w:hyperlink>
    </w:p>
    <w:p>
      <w:pPr>
        <w:widowControl w:val="1"/>
      </w:pPr>
      <w:r>
        <w:rPr>
          <w:rFonts w:ascii="Noto Serif" w:hAnsi="Noto Serif"/>
          <w:b/>
          <w:i w:val="0"/>
          <w:sz w:val="20"/>
        </w:rPr>
        <w:t xml:space="preserve">Springer Nature - AI use in manuscript preparation: </w:t>
      </w:r>
      <w:hyperlink r:id="rId12">
        <w:r>
          <w:rPr>
            <w:color w:val="1F5A92"/>
            <w:u w:val="single"/>
            <w:rFonts w:ascii="Noto Sans" w:hAnsi="Noto Sans"/>
          </w:rPr>
          <w:t>https://www.springernature.com/gp/policies/editorial-policies/ai-manuscript-preparation</w:t>
        </w:r>
      </w:hyperlink>
    </w:p>
    <w:p>
      <w:pPr>
        <w:widowControl w:val="1"/>
      </w:pPr>
      <w:r>
        <w:rPr>
          <w:rFonts w:ascii="Noto Serif" w:hAnsi="Noto Serif"/>
          <w:b/>
          <w:i w:val="0"/>
          <w:sz w:val="20"/>
        </w:rPr>
        <w:t xml:space="preserve">Springer Nature - editor AI assessment guidance: </w:t>
      </w:r>
      <w:hyperlink r:id="rId13">
        <w:r>
          <w:rPr>
            <w:color w:val="1F5A92"/>
            <w:u w:val="single"/>
            <w:rFonts w:ascii="Noto Sans" w:hAnsi="Noto Sans"/>
          </w:rPr>
          <w:t>https://www.springernature.com/gp/policies/editorial-policies/ai-editor-guidance</w:t>
        </w:r>
      </w:hyperlink>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1"/>
        <w:widowControl w:val="1"/>
      </w:pPr>
      <w:r>
        <w:t>3. Revision audit: issues addressed in the revised manuscript</w:t>
      </w: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1F5A92"/>
              <w:bottom w:val="nil"/>
              <w:right w:val="nil"/>
            </w:tcBorders>
            <w:tcMar>
              <w:top w:w="90" w:type="dxa"/>
              <w:start w:w="130" w:type="dxa"/>
              <w:bottom w:w="90" w:type="dxa"/>
              <w:end w:w="100" w:type="dxa"/>
            </w:tcMar>
          </w:tcPr>
          <w:p>
            <w:pPr>
              <w:spacing w:after="60"/>
            </w:pPr>
            <w:r>
              <w:rPr>
                <w:rFonts w:ascii="Noto Sans" w:hAnsi="Noto Sans"/>
                <w:b/>
                <w:i w:val="0"/>
                <w:sz w:val="20"/>
                <w:color w:val="246B36"/>
              </w:rPr>
              <w:t>The revised paper now addresses the earlier critical defects</w:t>
            </w:r>
          </w:p>
          <w:p>
            <w:pPr>
              <w:spacing w:after="0"/>
            </w:pPr>
            <w:r>
              <w:rPr>
                <w:rFonts w:ascii="Noto Serif" w:hAnsi="Noto Serif"/>
                <w:b w:val="0"/>
                <w:i w:val="0"/>
                <w:sz w:val="18"/>
              </w:rPr>
              <w:t>This section records how each issue identified in Version 1.0 was repaired. The green status means “addressed in the manuscript,” not “independently verified.” Each mathematical and source claim must still pass the later modules before amber sign-off.</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sz w:val="20"/>
                <w:color w:val="246B36"/>
              </w:rPr>
              <w:t>C1 - Rare-set lemma repaired</w:t>
            </w:r>
          </w:p>
          <w:p>
            <w:pPr>
              <w:spacing w:after="0"/>
            </w:pPr>
            <w:r>
              <w:rPr>
                <w:rFonts w:ascii="Noto Serif" w:hAnsi="Noto Serif"/>
                <w:b w:val="0"/>
                <w:i w:val="0"/>
                <w:sz w:val="18"/>
              </w:rPr>
              <w:t>The revised lemma now defines r = ρ(B), assumes 0 &lt; p &lt; c ≤ 1 and r ≥ c, applies data processing to obtain D(ρ||μ) ≥ d(r||p), differentiates d with respect to r, and uses monotonicity only on r &gt; p. The c = 1 endpoint is handled by continuity. Verify the proof line by line in Module 5.3.</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7A5A00"/>
              <w:bottom w:val="nil"/>
              <w:right w:val="nil"/>
            </w:tcBorders>
            <w:tcMar>
              <w:top w:w="90" w:type="dxa"/>
              <w:start w:w="130" w:type="dxa"/>
              <w:bottom w:w="90" w:type="dxa"/>
              <w:end w:w="100" w:type="dxa"/>
            </w:tcMar>
          </w:tcPr>
          <w:p>
            <w:pPr>
              <w:spacing w:after="60"/>
            </w:pPr>
            <w:r>
              <w:rPr>
                <w:rFonts w:ascii="Noto Sans" w:hAnsi="Noto Sans"/>
                <w:b/>
                <w:i w:val="0"/>
                <w:sz w:val="20"/>
                <w:color w:val="246B36"/>
              </w:rPr>
              <w:t>C2 - Design and actual marked-state weights separated</w:t>
            </w:r>
          </w:p>
          <w:p>
            <w:pPr>
              <w:spacing w:after="0"/>
            </w:pPr>
            <w:r>
              <w:rPr>
                <w:rFonts w:ascii="Noto Serif" w:hAnsi="Noto Serif"/>
                <w:b w:val="0"/>
                <w:i w:val="0"/>
                <w:sz w:val="18"/>
              </w:rPr>
              <w:t>The revised paper defines p* = 2^{-n} as the design value and p_f = w p* with w ∈ {0,1} as the actual marked-state weight. The same shell is prepared before the instance is known. Verify the no-witness and unique-witness cases separately in Modules 5.4, 5.8, and 5.9.</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sz w:val="20"/>
                <w:color w:val="246B36"/>
              </w:rPr>
              <w:t>C3 - Full computation included in the fault bound</w:t>
            </w:r>
          </w:p>
          <w:p>
            <w:pPr>
              <w:spacing w:after="0"/>
            </w:pPr>
            <w:r>
              <w:rPr>
                <w:rFonts w:ascii="Noto Serif" w:hAnsi="Noto Serif"/>
                <w:b w:val="0"/>
                <w:i w:val="0"/>
                <w:sz w:val="18"/>
              </w:rPr>
              <w:t>Assumption (A1) now defines L(n) = poly(n) to include state preparation, the reversible verifier, transfer into the readout code, syndrome operations, and bounded-strength segmentation of the pointer displacement. The proof uses Prμ(B_k) ≤ L(n)q_k and therefore Prρ(failure) ≤ 4L(n)q_k/p*. Verify Modules 5.17 and 5.18.</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sz w:val="20"/>
                <w:color w:val="246B36"/>
              </w:rPr>
              <w:t>C4 - Error-transparent operator defined on the full physical Hilbert space</w:t>
            </w:r>
          </w:p>
          <w:p>
            <w:pPr>
              <w:spacing w:after="0"/>
            </w:pPr>
            <w:r>
              <w:rPr>
                <w:rFonts w:ascii="Noto Serif" w:hAnsi="Noto Serif"/>
                <w:b w:val="0"/>
                <w:i w:val="0"/>
                <w:sz w:val="18"/>
              </w:rPr>
              <w:t>The revised paper specializes to the nondegenerate five-qubit perfect code. Its sixteen two-dimensional syndrome sectors exhaust the 32-dimensional physical Hilbert space. The general fixed-code variant is explicitly extended by zero on K⊥. Verify the code dimension, projector properties, and self-adjointness in Modules 5.11 and 5.12.</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sz w:val="20"/>
                <w:color w:val="246B36"/>
              </w:rPr>
              <w:t>C5 - Transparent histories precisely delimited</w:t>
            </w:r>
          </w:p>
          <w:p>
            <w:pPr>
              <w:spacing w:after="0"/>
            </w:pPr>
            <w:r>
              <w:rPr>
                <w:rFonts w:ascii="Noto Serif" w:hAnsi="Noto Serif"/>
                <w:b w:val="0"/>
                <w:i w:val="0"/>
                <w:sz w:val="18"/>
              </w:rPr>
              <w:t>The revised paper proves the one-fault identity, separately proves transparency for sequences that act only on the syndrome factor, defines those histories as transparent, and counts every unproved history as nontransparent. It no longer says that arbitrary products of individually correctable errors are harmless. Verify Modules 5.13 and 5.14.</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7A5A00"/>
              <w:bottom w:val="nil"/>
              <w:right w:val="nil"/>
            </w:tcBorders>
            <w:tcMar>
              <w:top w:w="90" w:type="dxa"/>
              <w:start w:w="130" w:type="dxa"/>
              <w:bottom w:w="90" w:type="dxa"/>
              <w:end w:w="100" w:type="dxa"/>
            </w:tcMar>
          </w:tcPr>
          <w:p>
            <w:pPr>
              <w:spacing w:after="60"/>
            </w:pPr>
            <w:r>
              <w:rPr>
                <w:rFonts w:ascii="Noto Sans" w:hAnsi="Noto Sans"/>
                <w:b/>
                <w:i w:val="0"/>
                <w:sz w:val="20"/>
                <w:color w:val="246B36"/>
              </w:rPr>
              <w:t>C6 - Complexity consequence made explicitly randomized</w:t>
            </w:r>
          </w:p>
          <w:p>
            <w:pPr>
              <w:spacing w:after="0"/>
            </w:pPr>
            <w:r>
              <w:rPr>
                <w:rFonts w:ascii="Noto Serif" w:hAnsi="Noto Serif"/>
                <w:b w:val="0"/>
                <w:i w:val="0"/>
                <w:sz w:val="18"/>
              </w:rPr>
              <w:t>The revised paper states the zero-versus-one promise, allows arbitrary solver behavior on multiple-witness derived instances, describes repeated randomized isolation and amplification, and separates SAT decision from witness recovery by standard self-reduction. Verify the original Valiant–Vazirani theorem and the self-reduction in Module 5.19.</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7A5A00"/>
              <w:bottom w:val="nil"/>
              <w:right w:val="nil"/>
            </w:tcBorders>
            <w:tcMar>
              <w:top w:w="90" w:type="dxa"/>
              <w:start w:w="130" w:type="dxa"/>
              <w:bottom w:w="90" w:type="dxa"/>
              <w:end w:w="100" w:type="dxa"/>
            </w:tcMar>
          </w:tcPr>
          <w:p>
            <w:pPr>
              <w:spacing w:after="60"/>
            </w:pPr>
            <w:r>
              <w:rPr>
                <w:rFonts w:ascii="Noto Sans" w:hAnsi="Noto Sans"/>
                <w:b/>
                <w:i w:val="0"/>
                <w:sz w:val="20"/>
                <w:color w:val="246B36"/>
              </w:rPr>
              <w:t>C7 - Ideal unit-probability statement separated from noisy success</w:t>
            </w:r>
          </w:p>
          <w:p>
            <w:pPr>
              <w:spacing w:after="0"/>
            </w:pPr>
            <w:r>
              <w:rPr>
                <w:rFonts w:ascii="Noto Serif" w:hAnsi="Noto Serif"/>
                <w:b w:val="0"/>
                <w:i w:val="0"/>
                <w:sz w:val="18"/>
              </w:rPr>
              <w:t>The revised paper uses the design shell A*, treats p_f = 0 and p_f = p* separately, states the packet-separation and one-dimensional guidance assumptions, and then bounds noisy failure only through the explicitly defined bad event B_k. Verify Modules 5.7–5.9 and the theorem proof.</w:t>
            </w:r>
          </w:p>
        </w:tc>
      </w:tr>
    </w:tbl>
    <w:p>
      <w:pPr>
        <w:spacing w:after="0"/>
        <w:widowControl w:val="1"/>
      </w:pP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1"/>
        <w:widowControl w:val="1"/>
      </w:pPr>
      <w:r>
        <w:t>4. Manuscript claim map</w:t>
      </w:r>
    </w:p>
    <w:tbl>
      <w:tblPr>
        <w:tblW w:type="auto" w:w="0"/>
        <w:jc w:val="center"/>
        <w:tblLayout w:type="fixed"/>
        <w:tblLook w:firstColumn="1" w:firstRow="1" w:lastColumn="0" w:lastRow="0" w:noHBand="0" w:noVBand="1" w:val="04A0"/>
      </w:tblPr>
      <w:tblGrid>
        <w:gridCol w:w="2232"/>
        <w:gridCol w:w="5472"/>
        <w:gridCol w:w="1656"/>
      </w:tblGrid>
      <w:tr>
        <w:trPr>
          <w:tblHeader w:val="true"/>
          <w:cantSplit/>
        </w:trPr>
        <w:tc>
          <w:tcPr>
            <w:tcW w:type="dxa" w:w="3408"/>
            <w:shd w:fill="DCE8F1"/>
            <w:tcBorders>
              <w:top w:val="single" w:sz="2" w:color="C7D0D8"/>
              <w:left w:val="single" w:sz="2" w:color="C7D0D8"/>
              <w:bottom w:val="single" w:sz="2" w:color="C7D0D8"/>
              <w:right w:val="single" w:sz="2" w:color="C7D0D8"/>
            </w:tcBorders>
          </w:tcPr>
          <w:p>
            <w:r>
              <w:rPr>
                <w:rFonts w:ascii="Noto Sans" w:hAnsi="Noto Sans"/>
                <w:b/>
                <w:i w:val="0"/>
                <w:sz w:val="17"/>
              </w:rPr>
              <w:t>Manuscript location</w:t>
            </w:r>
          </w:p>
        </w:tc>
        <w:tc>
          <w:tcPr>
            <w:tcW w:type="dxa" w:w="3408"/>
            <w:shd w:fill="DCE8F1"/>
            <w:tcBorders>
              <w:top w:val="single" w:sz="2" w:color="C7D0D8"/>
              <w:left w:val="single" w:sz="2" w:color="C7D0D8"/>
              <w:bottom w:val="single" w:sz="2" w:color="C7D0D8"/>
              <w:right w:val="single" w:sz="2" w:color="C7D0D8"/>
            </w:tcBorders>
          </w:tcPr>
          <w:p>
            <w:r>
              <w:rPr>
                <w:rFonts w:ascii="Noto Sans" w:hAnsi="Noto Sans"/>
                <w:b/>
                <w:i w:val="0"/>
                <w:sz w:val="17"/>
              </w:rPr>
              <w:t>Claim</w:t>
            </w:r>
          </w:p>
        </w:tc>
        <w:tc>
          <w:tcPr>
            <w:tcW w:type="dxa" w:w="3408"/>
            <w:shd w:fill="DCE8F1"/>
            <w:tcBorders>
              <w:top w:val="single" w:sz="2" w:color="C7D0D8"/>
              <w:left w:val="single" w:sz="2" w:color="C7D0D8"/>
              <w:bottom w:val="single" w:sz="2" w:color="C7D0D8"/>
              <w:right w:val="single" w:sz="2" w:color="C7D0D8"/>
            </w:tcBorders>
          </w:tcPr>
          <w:p>
            <w:r>
              <w:rPr>
                <w:rFonts w:ascii="Noto Sans" w:hAnsi="Noto Sans"/>
                <w:b/>
                <w:i w:val="0"/>
                <w:sz w:val="17"/>
              </w:rPr>
              <w:t>Verification</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2, resource definition</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Fine-grained relative entropy is additive and invariant under exact reversible pilot-wave flow.</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Modules 5.1–5.2</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Lemma 1 and proof</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If r ≥ c &gt; p, rare-set selection costs at least d(c||p) = Ω(ln(1/p)).</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 5.3</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3, design/actual weights</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The verifier marks a pre-existing component; p_f is 0 or p* = 2^{-n}.</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 5.4</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3, pointer dynamics</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The von Neumann coupling translates only the marked component and gives the stated density and current.</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Modules 5.5–5.6</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3, cumulative probability</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C(Y(t),t) is conserved and labels the marked-state basin.</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Modules 5.7–5.8</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4, shell and conditioning</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The same design shell works on both promised cases and costs n ln 2 + ln 4.</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 5.9</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4, tail geometry</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 smooth compactly supported packet can contain an exponential-tail region with O(1) shell width and O(n) location/displacement.</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 5.10</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5, five-qubit code and Q-tilde</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The syndrome sectors exhaust the physical Hilbert space and the replicated logical projector is a bounded self-adjoint projector.</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Modules 5.11–5.12</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5, transparent histories</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One-fault histories and syndrome-only sequences have exactly the ideal pointer translation; all others are charged to q_0.</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Modules 5.13–5.14</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6, theorem proof</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The full-circuit union bound and likelihood-ratio bound imply O(log n) concatenation levels and polynomial overhead.</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Modules 5.15–5.18</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7</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The complexity consequence is a randomized SAT decision consequence; search follows by self-reduction.</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Module 5.19</w:t>
            </w:r>
          </w:p>
        </w:tc>
      </w:tr>
      <w:tr>
        <w:trPr>
          <w:cantSplit/>
        </w:trPr>
        <w:tc>
          <w:tcPr>
            <w:tcW w:type="dxa" w:w="223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 9</w:t>
            </w:r>
          </w:p>
        </w:tc>
        <w:tc>
          <w:tcPr>
            <w:tcW w:type="dxa" w:w="5472"/>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AI use, validation, and sole human accountability are disclosed accurately.</w:t>
            </w:r>
          </w:p>
        </w:tc>
        <w:tc>
          <w:tcPr>
            <w:tcW w:type="dxa" w:w="165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Sections 9–10</w:t>
            </w:r>
          </w:p>
        </w:tc>
      </w:tr>
    </w:tbl>
    <w:p>
      <w:pPr>
        <w:pStyle w:val="Heading1"/>
        <w:widowControl w:val="1"/>
      </w:pPr>
      <w:r>
        <w:t>5. Detailed mathematical and physical verification</w:t>
      </w:r>
    </w:p>
    <w:p>
      <w:pPr>
        <w:keepLines w:val="0"/>
        <w:spacing w:after="80" w:before="0"/>
        <w:widowControl w:val="1"/>
      </w:pPr>
      <w:r>
        <w:rPr>
          <w:rFonts w:ascii="Noto Serif" w:hAnsi="Noto Serif"/>
          <w:b w:val="0"/>
          <w:i w:val="0"/>
          <w:sz w:val="20"/>
        </w:rPr>
        <w:t>For each module, first reproduce the calculation yourself without looking at the completed derivation. Then compare line by line, consult the primary source where indicated, and sign the module. The derivations below are aids to checking; they are not substitutes for your independent judgement.</w:t>
      </w:r>
    </w:p>
    <w:p>
      <w:pPr>
        <w:pStyle w:val="Heading2"/>
        <w:keepNext/>
        <w:widowControl w:val="1"/>
      </w:pPr>
      <w:r>
        <w:rPr>
          <w:rFonts w:ascii="Noto Sans" w:hAnsi="Noto Sans"/>
          <w:b/>
          <w:i w:val="0"/>
          <w:color w:val="844816"/>
          <w:sz w:val="28"/>
        </w:rPr>
        <w:t>5.1. Equivariance and conservation of the density ratio</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Claim to verify: if ρ and μ = |ψ|² obey continuity equations with the same Bohmian velocity field v, then f = ρ/μ is constant along trajectories.</w:t>
      </w:r>
    </w:p>
    <w:tbl>
      <w:tblPr>
        <w:tblW w:type="auto" w:w="0"/>
        <w:jc w:val="center"/>
        <w:tblLayout w:type="fixed"/>
        <w:tblLook w:firstColumn="1" w:firstRow="1" w:lastColumn="0" w:lastRow="0" w:noHBand="0" w:noVBand="1" w:val="04A0"/>
      </w:tblPr>
      <w:tblGrid>
        <w:gridCol w:w="9504"/>
      </w:tblGrid>
      <w:tr>
        <w:trPr>
          <w:cantSplit/>
        </w:trPr>
        <w:tc>
          <w:tcPr>
            <w:tcW w:type="dxa" w:w="10224"/>
            <w:shd w:fill="F3F6F8"/>
            <w:tcBorders>
              <w:top w:val="single" w:sz="4" w:color="CAD5DF"/>
              <w:left w:val="single" w:sz="4" w:color="CAD5DF"/>
              <w:bottom w:val="single" w:sz="4" w:color="CAD5DF"/>
              <w:right w:val="single" w:sz="4" w:color="CAD5DF"/>
            </w:tcBorders>
            <w:tcMar>
              <w:top w:w="90" w:type="dxa"/>
              <w:start w:w="100" w:type="dxa"/>
              <w:bottom w:w="90" w:type="dxa"/>
              <w:end w:w="100" w:type="dxa"/>
            </w:tcMar>
          </w:tcPr>
          <w:p>
            <w:pPr>
              <w:jc w:val="center"/>
            </w:pPr>
            <w:r>
              <w:rPr>
                <w:rFonts w:ascii="Noto Serif" w:hAnsi="Noto Serif"/>
                <w:b w:val="0"/>
                <w:i w:val="0"/>
                <w:sz w:val="21"/>
              </w:rPr>
              <w:t>∂t ρ + ∇·(ρv) = 0,       ∂t μ + ∇·(μv) = 0</w:t>
            </w:r>
          </w:p>
        </w:tc>
      </w:tr>
    </w:tbl>
    <w:p>
      <w:pPr>
        <w:spacing w:after="0"/>
        <w:widowControl w:val="1"/>
      </w:pP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Set f = ρ/μ wherever μ &gt;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Absolute continuity ρ ≪ μ is needed for a finite relative entropy and a well-defined ratio.</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Differentiate ρ = fμ:  ∂tρ = μ∂tf + f∂tμ.</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Product rule.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Expand ∇·(ρv) = ∇·(fμv) = μv·∇f + f∇·(μv).</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Product rule for divergence.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Insert the two expansions into ∂tρ + ∇·(ρv) =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the continuity equation for ρ.</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Obtain μ(∂tf + v·∇f) + f[∂tμ + ∇·(μv)] =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Collect the terms proportional to μ and f.</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bracket vanishes by the continuity equation for μ.</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the key “same velocity field” assumption.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Where μ &gt; 0, divide by μ:  ∂tf + v·∇f =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df/dt = 0 along a Bohmian trajectory.</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Conclude f(q(t),t) = f(q(0),0).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Solve the first-order advection equation along characteristics.</w:t>
            </w:r>
          </w:p>
        </w:tc>
      </w:tr>
    </w:tbl>
    <w:p>
      <w:pPr>
        <w:spacing w:after="0"/>
        <w:widowControl w:val="1"/>
      </w:pPr>
    </w:p>
    <w:p>
      <w:pPr>
        <w:spacing w:after="40"/>
        <w:ind w:left="259" w:hanging="259"/>
        <w:widowControl w:val="1"/>
      </w:pPr>
      <w:r>
        <w:rPr>
          <w:rFonts w:ascii="Noto Serif" w:hAnsi="Noto Serif"/>
          <w:b w:val="0"/>
          <w:i w:val="0"/>
          <w:sz w:val="19"/>
        </w:rPr>
        <w:t>[ ] Re-derive the result without copying the table.</w:t>
      </w:r>
    </w:p>
    <w:p>
      <w:pPr>
        <w:spacing w:after="40"/>
        <w:ind w:left="259" w:hanging="259"/>
        <w:widowControl w:val="1"/>
      </w:pPr>
      <w:r>
        <w:rPr>
          <w:rFonts w:ascii="Noto Serif" w:hAnsi="Noto Serif"/>
          <w:b w:val="0"/>
          <w:i w:val="0"/>
          <w:sz w:val="19"/>
        </w:rPr>
        <w:t>[ ] Verify Valentini 2024, Eq. (21), and the surrounding discussion.</w:t>
      </w:r>
    </w:p>
    <w:p>
      <w:pPr>
        <w:spacing w:after="40"/>
        <w:ind w:left="259" w:hanging="259"/>
        <w:widowControl w:val="1"/>
      </w:pPr>
      <w:r>
        <w:rPr>
          <w:rFonts w:ascii="Noto Serif" w:hAnsi="Noto Serif"/>
          <w:b w:val="0"/>
          <w:i w:val="0"/>
          <w:sz w:val="19"/>
        </w:rPr>
        <w:t>[ ] State how nodes μ = 0 are treated and confirm that the chosen pointer support avoids problematic nodes.</w:t>
      </w:r>
    </w:p>
    <w:p>
      <w:pPr>
        <w:spacing w:after="40"/>
        <w:ind w:left="259" w:hanging="259"/>
        <w:widowControl w:val="1"/>
      </w:pPr>
      <w:r>
        <w:rPr>
          <w:rFonts w:ascii="Noto Serif" w:hAnsi="Noto Serif"/>
          <w:b w:val="0"/>
          <w:i w:val="0"/>
          <w:sz w:val="19"/>
        </w:rPr>
        <w:t>[ ] Confirm that the statement applies to the full joint configuration, including pointer, computer, syndrome apparatus, and environment.</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5.2. Invariance of the fine-grained relative entropy</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Claim to verify: R(ρ||μ) = ∫ρ ln(ρ/μ) dq is constant under exact reversible pilot-wave evolution, subject to appropriate boundary conditions.</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Write R(t) = ∫ ρ(q,t) ln f(q,t) dq.</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f = ρ/μ.</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Differentiate under the integral: dR/dt = ∫[(∂tρ)ln f + ρ∂t ln f]dq.</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Requires sufficient regularity and integrability.</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∂tρ = −∇·(ρv).</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Continuity equation.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Integrate the first term by parts: ∫−∇·(ρv)ln f dq = ∫ρv·∇ln f dq.</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Boundary flux must vanish, or configuration space must have suitable periodic/closed boundaries.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∂t ln f = −v·∇ln f.</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follows from df/dt = 0.</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two terms cancel exactly.</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remaining integrand is ρ[v·∇ln f − v·∇ln f].</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Conclude dR/dt =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fine-grained invariance, not the coarse-grained H-theorem.</w:t>
            </w:r>
          </w:p>
        </w:tc>
      </w:tr>
    </w:tbl>
    <w:p>
      <w:pPr>
        <w:spacing w:after="0"/>
        <w:widowControl w:val="1"/>
      </w:pPr>
    </w:p>
    <w:p>
      <w:pPr>
        <w:spacing w:after="40"/>
        <w:ind w:left="259" w:hanging="259"/>
        <w:widowControl w:val="1"/>
      </w:pPr>
      <w:r>
        <w:rPr>
          <w:rFonts w:ascii="Noto Serif" w:hAnsi="Noto Serif"/>
          <w:b w:val="0"/>
          <w:i w:val="0"/>
          <w:sz w:val="19"/>
        </w:rPr>
        <w:t>[ ] Check normalization of ρ and μ.</w:t>
      </w:r>
    </w:p>
    <w:p>
      <w:pPr>
        <w:spacing w:after="40"/>
        <w:ind w:left="259" w:hanging="259"/>
        <w:widowControl w:val="1"/>
      </w:pPr>
      <w:r>
        <w:rPr>
          <w:rFonts w:ascii="Noto Serif" w:hAnsi="Noto Serif"/>
          <w:b w:val="0"/>
          <w:i w:val="0"/>
          <w:sz w:val="19"/>
        </w:rPr>
        <w:t>[ ] Check the boundary term explicitly for the pointer packet used later.</w:t>
      </w:r>
    </w:p>
    <w:p>
      <w:pPr>
        <w:spacing w:after="40"/>
        <w:ind w:left="259" w:hanging="259"/>
        <w:widowControl w:val="1"/>
      </w:pPr>
      <w:r>
        <w:rPr>
          <w:rFonts w:ascii="Noto Serif" w:hAnsi="Noto Serif"/>
          <w:b w:val="0"/>
          <w:i w:val="0"/>
          <w:sz w:val="19"/>
        </w:rPr>
        <w:t>[ ] Distinguish fine-grained invariance from coarse-grained relaxation.</w:t>
      </w:r>
    </w:p>
    <w:p>
      <w:pPr>
        <w:spacing w:after="40"/>
        <w:ind w:left="259" w:hanging="259"/>
        <w:widowControl w:val="1"/>
      </w:pPr>
      <w:r>
        <w:rPr>
          <w:rFonts w:ascii="Noto Serif" w:hAnsi="Noto Serif"/>
          <w:b w:val="0"/>
          <w:i w:val="0"/>
          <w:sz w:val="19"/>
        </w:rPr>
        <w:t>[ ] Decide whether “resource” should be measured in nats R or bits R/ln 2 and use one convention consistently.</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5.3. Rare-set lower bound: revised proof</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sz w:val="20"/>
                <w:color w:val="246B36"/>
              </w:rPr>
              <w:t>Revised manuscript status</w:t>
            </w:r>
          </w:p>
          <w:p>
            <w:pPr>
              <w:spacing w:after="0"/>
            </w:pPr>
            <w:r>
              <w:rPr>
                <w:rFonts w:ascii="Noto Serif" w:hAnsi="Noto Serif"/>
                <w:b w:val="0"/>
                <w:i w:val="0"/>
                <w:sz w:val="18"/>
              </w:rPr>
              <w:t>The missing hypothesis has been repaired. The verification task is now to reproduce the binary coarse-graining, derivative, monotonicity domain, endpoint convention, and asymptotic expansion without relying on the manuscript text.</w:t>
            </w:r>
          </w:p>
        </w:tc>
      </w:tr>
    </w:tbl>
    <w:p>
      <w:pPr>
        <w:spacing w:after="0"/>
        <w:widowControl w:val="1"/>
      </w:pPr>
    </w:p>
    <w:p>
      <w:pPr>
        <w:keepLines w:val="0"/>
        <w:spacing w:after="80" w:before="0"/>
        <w:widowControl w:val="1"/>
      </w:pPr>
      <w:r>
        <w:rPr>
          <w:rFonts w:ascii="Noto Serif" w:hAnsi="Noto Serif"/>
          <w:b w:val="0"/>
          <w:i w:val="0"/>
          <w:sz w:val="20"/>
        </w:rPr>
        <w:t>Let p = μ(B) and r = ρ(B). Coarse-grain the configuration to the binary outcome “inside B” versus “outside B.”</w:t>
      </w:r>
    </w:p>
    <w:tbl>
      <w:tblPr>
        <w:tblW w:type="auto" w:w="0"/>
        <w:jc w:val="center"/>
        <w:tblLayout w:type="fixed"/>
        <w:tblLook w:firstColumn="1" w:firstRow="1" w:lastColumn="0" w:lastRow="0" w:noHBand="0" w:noVBand="1" w:val="04A0"/>
      </w:tblPr>
      <w:tblGrid>
        <w:gridCol w:w="9504"/>
      </w:tblGrid>
      <w:tr>
        <w:trPr>
          <w:cantSplit/>
        </w:trPr>
        <w:tc>
          <w:tcPr>
            <w:tcW w:type="dxa" w:w="10224"/>
            <w:shd w:fill="F3F6F8"/>
            <w:tcBorders>
              <w:top w:val="single" w:sz="4" w:color="CAD5DF"/>
              <w:left w:val="single" w:sz="4" w:color="CAD5DF"/>
              <w:bottom w:val="single" w:sz="4" w:color="CAD5DF"/>
              <w:right w:val="single" w:sz="4" w:color="CAD5DF"/>
            </w:tcBorders>
            <w:tcMar>
              <w:top w:w="90" w:type="dxa"/>
              <w:start w:w="100" w:type="dxa"/>
              <w:bottom w:w="90" w:type="dxa"/>
              <w:end w:w="100" w:type="dxa"/>
            </w:tcMar>
          </w:tcPr>
          <w:p>
            <w:pPr>
              <w:jc w:val="center"/>
            </w:pPr>
            <w:r>
              <w:rPr>
                <w:rFonts w:ascii="Noto Serif" w:hAnsi="Noto Serif"/>
                <w:b w:val="0"/>
                <w:i w:val="0"/>
                <w:sz w:val="21"/>
              </w:rPr>
              <w:t>d(r||p) = r ln(r/p) + (1−r) ln[(1−r)/(1−p)]</w:t>
            </w:r>
          </w:p>
        </w:tc>
      </w:tr>
    </w:tbl>
    <w:p>
      <w:pPr>
        <w:spacing w:after="0"/>
        <w:widowControl w:val="1"/>
      </w:pP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Let p = μ(B), r = ρ(B), and assume 0 &lt; p &lt; c ≤ 1 with r ≥ c.</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These are the exact hypotheses of the revised lemma.</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Coarse-grain with T(q) = 1_B(q). The pushforwards are Bernoulli(r) and Bernoulli(p).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Membership in B is a deterministic measurable map.</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Data processing gives D(ρ||μ) ≥ d(r||p).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Relative entropy cannot increase under a deterministic coarse-graining.</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d(r||p) = r ln(r/p) + (1-r) ln[(1-r)/(1-p)].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Binary relative entropy.</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Differentiate: ∂_r d(r||p) = ln[r(1-p)/(p(1-r))].</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Differentiate both terms and cancel the ±1 contributions.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r &gt; p, r(1-p) &gt; p(1-r), so ∂_r d(r||p) &gt;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inequality simplifies exactly to r &gt; p.</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Because r ≥ c &gt; p, d(r||p) ≥ d(c||p).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Monotonicity is used only to the right of the minimum r = p.</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c = 1, interpret (1-c)ln[(1-c)/(1-p)] as 0 by continuity.</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limit x ln x → 0 as x → 0+.</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9</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fixed c &gt; 0, d(c||p) = c ln(1/p) + O(1) as p →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remaining c-dependent terms are bounded and ln(1-p) = O(p).</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10</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D(ρ||μ) = Ω(ln(1/p)); for r = c = 1 the lower bound is exactly ln(1/p).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the lower bound used for deterministic marked-state selection.</w:t>
            </w:r>
          </w:p>
        </w:tc>
      </w:tr>
    </w:tbl>
    <w:p>
      <w:pPr>
        <w:spacing w:after="0"/>
        <w:widowControl w:val="1"/>
      </w:pPr>
    </w:p>
    <w:p>
      <w:pPr>
        <w:pStyle w:val="Heading3"/>
        <w:keepLines w:val="0"/>
        <w:spacing w:after="80" w:before="0"/>
        <w:widowControl w:val="1"/>
      </w:pPr>
      <w:r>
        <w:rPr>
          <w:rFonts w:ascii="Noto Serif" w:hAnsi="Noto Serif"/>
          <w:b w:val="0"/>
          <w:i w:val="0"/>
          <w:sz w:val="20"/>
        </w:rPr>
        <w:t>Revised lemma to compare against your independent derivation</w:t>
      </w: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246B36"/>
              <w:bottom w:val="nil"/>
              <w:right w:val="nil"/>
            </w:tcBorders>
            <w:tcMar>
              <w:top w:w="90" w:type="dxa"/>
              <w:start w:w="130" w:type="dxa"/>
              <w:bottom w:w="90" w:type="dxa"/>
              <w:end w:w="100" w:type="dxa"/>
            </w:tcMar>
          </w:tcPr>
          <w:p>
            <w:pPr>
              <w:spacing w:after="60"/>
            </w:pPr>
            <w:r>
              <w:rPr>
                <w:rFonts w:ascii="Noto Sans" w:hAnsi="Noto Sans"/>
                <w:b/>
                <w:i w:val="0"/>
                <w:sz w:val="20"/>
                <w:color w:val="246B36"/>
              </w:rPr>
              <w:t>Revised statement</w:t>
            </w:r>
          </w:p>
          <w:p>
            <w:pPr>
              <w:spacing w:after="0"/>
            </w:pPr>
            <w:r>
              <w:rPr>
                <w:rFonts w:ascii="Noto Serif" w:hAnsi="Noto Serif"/>
                <w:b w:val="0"/>
                <w:i w:val="0"/>
                <w:sz w:val="18"/>
              </w:rPr>
              <w:t>Let μ(B)=p and ρ(B)=r. If 0&lt;p&lt;c≤1 and r≥c, then D(ρ||μ)≥d(c||p), with the endpoint interpreted by continuity. For fixed c&gt;0 and p→0 this is Ω(ln(1/p)).</w:t>
            </w:r>
          </w:p>
        </w:tc>
      </w:tr>
    </w:tbl>
    <w:p>
      <w:pPr>
        <w:spacing w:after="0"/>
        <w:widowControl w:val="1"/>
      </w:pPr>
    </w:p>
    <w:p>
      <w:pPr>
        <w:spacing w:after="40"/>
        <w:ind w:left="259" w:hanging="259"/>
        <w:widowControl w:val="1"/>
      </w:pPr>
      <w:r>
        <w:rPr>
          <w:rFonts w:ascii="Noto Serif" w:hAnsi="Noto Serif"/>
          <w:b w:val="0"/>
          <w:i w:val="0"/>
          <w:sz w:val="19"/>
        </w:rPr>
        <w:t>[ ] Reproduce the data-processing step using the binary indicator 1_B.</w:t>
      </w:r>
    </w:p>
    <w:p>
      <w:pPr>
        <w:spacing w:after="40"/>
        <w:ind w:left="259" w:hanging="259"/>
        <w:widowControl w:val="1"/>
      </w:pPr>
      <w:r>
        <w:rPr>
          <w:rFonts w:ascii="Noto Serif" w:hAnsi="Noto Serif"/>
          <w:b w:val="0"/>
          <w:i w:val="0"/>
          <w:sz w:val="19"/>
        </w:rPr>
        <w:t>[ ] Differentiate d(r||p) yourself and verify the sign only for r &gt; p.</w:t>
      </w:r>
    </w:p>
    <w:p>
      <w:pPr>
        <w:spacing w:after="40"/>
        <w:ind w:left="259" w:hanging="259"/>
        <w:widowControl w:val="1"/>
      </w:pPr>
      <w:r>
        <w:rPr>
          <w:rFonts w:ascii="Noto Serif" w:hAnsi="Noto Serif"/>
          <w:b w:val="0"/>
          <w:i w:val="0"/>
          <w:sz w:val="19"/>
        </w:rPr>
        <w:t>[ ] Check the c = 1 endpoint and the convention 0 ln 0 = 0.</w:t>
      </w:r>
    </w:p>
    <w:p>
      <w:pPr>
        <w:spacing w:after="40"/>
        <w:ind w:left="259" w:hanging="259"/>
        <w:widowControl w:val="1"/>
      </w:pPr>
      <w:r>
        <w:rPr>
          <w:rFonts w:ascii="Noto Serif" w:hAnsi="Noto Serif"/>
          <w:b w:val="0"/>
          <w:i w:val="0"/>
          <w:sz w:val="19"/>
        </w:rPr>
        <w:t>[ ] Confirm that the application uses p = p* = 2^{-n} and a fixed target success c &gt; p* for sufficiently large n; verify data processing from a trusted source.</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5.4. Marked-state weight produced by the reversible verifier</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Claim to verify: the uniform superposition already contains every candidate component. Define p* = 2^{-n}, let w ∈ {0,1} be the witness count, and set p_f = w p*. The verifier marks, rather than creates, the unique witness component.</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Start with |+⟩^{⊗n}|0⟩ = 2^{-n/2} Σ_x |x⟩|0⟩.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Every candidate basis component is already present.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Apply U_f: |x⟩|0⟩ ↦ |x⟩|f(x)⟩.</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reversible verifier correlates the flag with the predicate.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state is |Ψ_f⟩ = 2^{-n/2} Σ_x |x⟩|f(x)⟩.</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Linearity.</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Define p* = 2^{-n}, w = Σ_x f(x) ∈ {0,1}, and p_f = w 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Separates the design value from the instance-dependent weight.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With Q = I⊗|1⟩⟨1|, ⟨Ψ_f|Q|Ψ_f⟩ = 2^{-n}Σ_x f(x) = p_f.</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Orthogonality of the computational basis removes cross terms.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No witness: w = 0 and p_f =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 is no marked-state packet.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Unique witness: w = 1 and p_f = 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marked component has the design weight.</w:t>
            </w:r>
          </w:p>
        </w:tc>
      </w:tr>
    </w:tbl>
    <w:p>
      <w:pPr>
        <w:spacing w:after="0"/>
        <w:widowControl w:val="1"/>
      </w:pPr>
    </w:p>
    <w:p>
      <w:pPr>
        <w:spacing w:after="40"/>
        <w:ind w:left="259" w:hanging="259"/>
        <w:widowControl w:val="1"/>
      </w:pPr>
      <w:r>
        <w:rPr>
          <w:rFonts w:ascii="Noto Serif" w:hAnsi="Noto Serif"/>
          <w:b w:val="0"/>
          <w:i w:val="0"/>
          <w:sz w:val="19"/>
        </w:rPr>
        <w:t>[ ] Verify the reversible implementation of the chosen verifier has polynomial size.</w:t>
      </w:r>
    </w:p>
    <w:p>
      <w:pPr>
        <w:spacing w:after="40"/>
        <w:ind w:left="259" w:hanging="259"/>
        <w:widowControl w:val="1"/>
      </w:pPr>
      <w:r>
        <w:rPr>
          <w:rFonts w:ascii="Noto Serif" w:hAnsi="Noto Serif"/>
          <w:b w:val="0"/>
          <w:i w:val="0"/>
          <w:sz w:val="19"/>
        </w:rPr>
        <w:t>[ ] Use “marked state” or “marked subspace” consistently; do not say the verifier creates a previously absent basis component.</w:t>
      </w:r>
    </w:p>
    <w:p>
      <w:pPr>
        <w:spacing w:after="40"/>
        <w:ind w:left="259" w:hanging="259"/>
        <w:widowControl w:val="1"/>
      </w:pPr>
      <w:r>
        <w:rPr>
          <w:rFonts w:ascii="Noto Serif" w:hAnsi="Noto Serif"/>
          <w:b w:val="0"/>
          <w:i w:val="0"/>
          <w:sz w:val="19"/>
        </w:rPr>
        <w:t>[ ] Confirm that the notation p* and p_f is used consistently in the abstract, Sections 1–4, and the theorem proof.</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5.5. Unitary translation generated by H_M = a(t)Q p_y</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Assume ħ = 1, p_y = −i∂_y, and that Q commutes with p_y. The interaction dominates other Hamiltonian terms during the measurement interval.</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Because H(t) = a(t)Qp_y differs at different times only by a scalar, [H(t),H(s)] =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No time ordering complication remains.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Define G(t) = ∫₀ᵗ a(s)ds.</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Integrated coupling strength.</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unitary is U(t) = exp[−iG(t)Qp_y].</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Integrate the Schrödinger equation.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Q² = Q to decompose U = (I−Q)⊗I + Q⊗exp[−iGp_y].</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Functional calculus for a projector.</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p_y = −i∂_y, exp[−iGp_y]g(y) = exp[−G∂_y]g(y) = g(y−G).</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exponential of the derivative is a translation operator.</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only the Q = 1 component shifts: √(1−p)|Φ₀⟩g(y) + e^{iφ}√p|Φ₁⟩g(y−G).</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Apply the decomposition to the two orthogonal system sectors.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If G &gt; 0, the marked packet moves to the right. If G &lt; 0, the later basin inequality reverses.</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sign convention must be checked explicitly.</w:t>
            </w:r>
          </w:p>
        </w:tc>
      </w:tr>
    </w:tbl>
    <w:p>
      <w:pPr>
        <w:spacing w:after="0"/>
        <w:widowControl w:val="1"/>
      </w:pPr>
    </w:p>
    <w:p>
      <w:pPr>
        <w:spacing w:after="40"/>
        <w:ind w:left="259" w:hanging="259"/>
        <w:widowControl w:val="1"/>
      </w:pPr>
      <w:r>
        <w:rPr>
          <w:rFonts w:ascii="Noto Serif" w:hAnsi="Noto Serif"/>
          <w:b w:val="0"/>
          <w:i w:val="0"/>
          <w:sz w:val="19"/>
        </w:rPr>
        <w:t>[ ] Verify Valentini 2024, Eqs. (18)-(19), and Valentini 2002, Section 4.</w:t>
      </w:r>
    </w:p>
    <w:p>
      <w:pPr>
        <w:spacing w:after="40"/>
        <w:ind w:left="259" w:hanging="259"/>
        <w:widowControl w:val="1"/>
      </w:pPr>
      <w:r>
        <w:rPr>
          <w:rFonts w:ascii="Noto Serif" w:hAnsi="Noto Serif"/>
          <w:b w:val="0"/>
          <w:i w:val="0"/>
          <w:sz w:val="19"/>
        </w:rPr>
        <w:t>[ ] Check the translation sign directly on a test function, such as g(y) = exp(iky).</w:t>
      </w:r>
    </w:p>
    <w:p>
      <w:pPr>
        <w:spacing w:after="40"/>
        <w:ind w:left="259" w:hanging="259"/>
        <w:widowControl w:val="1"/>
      </w:pPr>
      <w:r>
        <w:rPr>
          <w:rFonts w:ascii="Noto Serif" w:hAnsi="Noto Serif"/>
          <w:b w:val="0"/>
          <w:i w:val="0"/>
          <w:sz w:val="19"/>
        </w:rPr>
        <w:t>[ ] State whether other Hamiltonian terms are neglected exactly or approximately.</w:t>
      </w:r>
    </w:p>
    <w:p>
      <w:pPr>
        <w:spacing w:after="40"/>
        <w:ind w:left="259" w:hanging="259"/>
        <w:widowControl w:val="1"/>
      </w:pPr>
      <w:r>
        <w:rPr>
          <w:rFonts w:ascii="Noto Serif" w:hAnsi="Noto Serif"/>
          <w:b w:val="0"/>
          <w:i w:val="0"/>
          <w:sz w:val="19"/>
        </w:rPr>
        <w:t>[ ] Confirm Q is a projector rather than a general observable in the manuscript construction.</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5.6. Pointer density, current, and Bohmian velocity</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This calculation should be checked directly because the Hamiltonian is first order in momentum, not the usual p²/2m kinetic Hamiltonian.</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Schrödinger equation is i∂tΨ = aQ(−i∂y)Ψ, hence ∂tΨ = −aQ∂yΨ.</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Cancel i and use p_y = −i∂_y.</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Take the Hermitian conjugate: ∂tΨ† = −a(∂yΨ†)Q.</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Q is Hermitian and a is real.</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Let P = Ψ†Ψ. Then ∂tP = (∂tΨ†)Ψ + Ψ†∂tΨ.</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Product rule.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Substitute the evolution equations: ∂tP = −a[(∂yΨ†)QΨ + Ψ†Q∂yΨ].</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Direct substitution.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Recognize the derivative: ∂tP = −∂y[a Ψ†QΨ].</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Q and a have no y dependence.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the current is J = a Ψ†QΨ.</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Compare with ∂tP + ∂yJ = 0.</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the two-sector state, orthogonality gives P = (1−p)μ(y) + pμ(y−G).</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Cross terms vanish because ⟨Φ₀|Φ₁⟩ = 0.</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Also Ψ†QΨ = pμ(y−G), so J = a p μ(y−G) = Ġ p μ(y−G).</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Q annihilates the unmarked sector and is identity on the marked sector.</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9</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guidance law is Ẏ = J/P wherever P &gt;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General current-over-density guidance equation.</w:t>
            </w:r>
          </w:p>
        </w:tc>
      </w:tr>
    </w:tbl>
    <w:p>
      <w:pPr>
        <w:spacing w:after="0"/>
        <w:widowControl w:val="1"/>
      </w:pPr>
    </w:p>
    <w:p>
      <w:pPr>
        <w:spacing w:after="40"/>
        <w:ind w:left="259" w:hanging="259"/>
        <w:widowControl w:val="1"/>
      </w:pPr>
      <w:r>
        <w:rPr>
          <w:rFonts w:ascii="Noto Serif" w:hAnsi="Noto Serif"/>
          <w:b w:val="0"/>
          <w:i w:val="0"/>
          <w:sz w:val="19"/>
        </w:rPr>
        <w:t>[ ] Reproduce the continuity equation from the wave equation without using the result above.</w:t>
      </w:r>
    </w:p>
    <w:p>
      <w:pPr>
        <w:spacing w:after="40"/>
        <w:ind w:left="259" w:hanging="259"/>
        <w:widowControl w:val="1"/>
      </w:pPr>
      <w:r>
        <w:rPr>
          <w:rFonts w:ascii="Noto Serif" w:hAnsi="Noto Serif"/>
          <w:b w:val="0"/>
          <w:i w:val="0"/>
          <w:sz w:val="19"/>
        </w:rPr>
        <w:t>[ ] Check that internal spin/logical indices are summed in Ψ†Ψ.</w:t>
      </w:r>
    </w:p>
    <w:p>
      <w:pPr>
        <w:spacing w:after="40"/>
        <w:ind w:left="259" w:hanging="259"/>
        <w:widowControl w:val="1"/>
      </w:pPr>
      <w:r>
        <w:rPr>
          <w:rFonts w:ascii="Noto Serif" w:hAnsi="Noto Serif"/>
          <w:b w:val="0"/>
          <w:i w:val="0"/>
          <w:sz w:val="19"/>
        </w:rPr>
        <w:t>[ ] Confirm that P is normalized for every t.</w:t>
      </w:r>
    </w:p>
    <w:p>
      <w:pPr>
        <w:spacing w:after="40"/>
        <w:ind w:left="259" w:hanging="259"/>
        <w:widowControl w:val="1"/>
      </w:pPr>
      <w:r>
        <w:rPr>
          <w:rFonts w:ascii="Noto Serif" w:hAnsi="Noto Serif"/>
          <w:b w:val="0"/>
          <w:i w:val="0"/>
          <w:sz w:val="19"/>
        </w:rPr>
        <w:t>[ ] Identify whether P can vanish on the chosen support and how measure-zero separatrices are handled.</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5.7. Conservation of cumulative Born probability</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Define C(y,t) = ∫_{−∞}^{y} P(z,t)dz. The actual pointer coordinate is Y(t).</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Differentiate C with respect to time: ∂tC = ∫_{−∞}^{y} ∂tP dz.</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Differentiate under the integral.</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∂tP = −∂zJ.</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Continuity equation.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Integrate: ∂tC = −J(y,t) + J(−∞,t).</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Fundamental theorem of calculus.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a localized packet, J(−∞,t) = 0, so ∂tC = −J.</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Boundary condition.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Also ∂yC = 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Differentiate the cumulative distribution with respect to its upper limit.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Along Y(t), dC/dt = ∂tC + Ẏ∂yC.</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Chain rule.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Insert Ẏ = J/P: dC/dt = −J + (J/P)P =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Exact cancellation.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Thus u = C(Y(t),t) is constant along the trajectory.</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the cumulative Born probability coordinate used in the manuscript.</w:t>
            </w:r>
          </w:p>
        </w:tc>
      </w:tr>
    </w:tbl>
    <w:p>
      <w:pPr>
        <w:spacing w:after="0"/>
        <w:widowControl w:val="1"/>
      </w:pPr>
    </w:p>
    <w:p>
      <w:pPr>
        <w:spacing w:after="40"/>
        <w:ind w:left="259" w:hanging="259"/>
        <w:widowControl w:val="1"/>
      </w:pPr>
      <w:r>
        <w:rPr>
          <w:rFonts w:ascii="Noto Serif" w:hAnsi="Noto Serif"/>
          <w:b w:val="0"/>
          <w:i w:val="0"/>
          <w:sz w:val="19"/>
        </w:rPr>
        <w:t>[ ] Verify the boundary term for the specific packet family.</w:t>
      </w:r>
    </w:p>
    <w:p>
      <w:pPr>
        <w:spacing w:after="40"/>
        <w:ind w:left="259" w:hanging="259"/>
        <w:widowControl w:val="1"/>
      </w:pPr>
      <w:r>
        <w:rPr>
          <w:rFonts w:ascii="Noto Serif" w:hAnsi="Noto Serif"/>
          <w:b w:val="0"/>
          <w:i w:val="0"/>
          <w:sz w:val="19"/>
        </w:rPr>
        <w:t>[ ] Confirm that “cumulative Born probability” is defined the first time it appears.</w:t>
      </w:r>
    </w:p>
    <w:p>
      <w:pPr>
        <w:spacing w:after="40"/>
        <w:ind w:left="259" w:hanging="259"/>
        <w:widowControl w:val="1"/>
      </w:pPr>
      <w:r>
        <w:rPr>
          <w:rFonts w:ascii="Noto Serif" w:hAnsi="Noto Serif"/>
          <w:b w:val="0"/>
          <w:i w:val="0"/>
          <w:sz w:val="19"/>
        </w:rPr>
        <w:t>[ ] Explain in your own words why this is equivalent to non-crossing/order preservation in one dimension.</w:t>
      </w:r>
    </w:p>
    <w:p>
      <w:pPr>
        <w:spacing w:after="40"/>
        <w:ind w:left="259" w:hanging="259"/>
        <w:widowControl w:val="1"/>
      </w:pPr>
      <w:r>
        <w:rPr>
          <w:rFonts w:ascii="Noto Serif" w:hAnsi="Noto Serif"/>
          <w:b w:val="0"/>
          <w:i w:val="0"/>
          <w:sz w:val="19"/>
        </w:rPr>
        <w:t>[ ] Check that no analogous simple scalar ordering is being assumed in higher-dimensional pointer space.</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5.8. The marked-state basin and deterministic ideal selection</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At the final time, assume the unmarked and marked pointer packets are disjoint.</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an explicit ideal measurement condition.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Assume the unmarked packet lies to the left and has total Born weight 1−p.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Follows from its coefficient √(1−p).</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Assume the marked packet lies to the right and has total Born weight 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Follows from its coefficient √p.</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Every point in the left packet has final cumulative probability C ≤ 1−p.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Integrating from −∞ cannot include marked-packet weight.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Every interior point in the right packet has C &gt; 1−p.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cumulative distribution has already accumulated the full left-packet weight.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Because u = C(Y(t),t) is conserved, the initial basin of the marked packet is u &gt; 1−p.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Trace the final partition back to the initial time.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boundary u = 1−p is a measure-zero separatrix under a continuous pointer distribution.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Its treatment does not affect ensemble probabilities.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 nonequilibrium ensemble supported wholly inside u &gt; 1−p reaches the marked packet with probability one.</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the ideal “unit probability” claim.</w:t>
            </w:r>
          </w:p>
        </w:tc>
      </w:tr>
    </w:tbl>
    <w:p>
      <w:pPr>
        <w:spacing w:after="0"/>
        <w:widowControl w:val="1"/>
      </w:pPr>
    </w:p>
    <w:p>
      <w:pPr>
        <w:spacing w:after="40"/>
        <w:ind w:left="259" w:hanging="259"/>
        <w:widowControl w:val="1"/>
      </w:pPr>
      <w:r>
        <w:rPr>
          <w:rFonts w:ascii="Noto Serif" w:hAnsi="Noto Serif"/>
          <w:b w:val="0"/>
          <w:i w:val="0"/>
          <w:sz w:val="19"/>
        </w:rPr>
        <w:t>[ ] Check final packet separation quantitatively for the chosen packet and displacement.</w:t>
      </w:r>
    </w:p>
    <w:p>
      <w:pPr>
        <w:spacing w:after="40"/>
        <w:ind w:left="259" w:hanging="259"/>
        <w:widowControl w:val="1"/>
      </w:pPr>
      <w:r>
        <w:rPr>
          <w:rFonts w:ascii="Noto Serif" w:hAnsi="Noto Serif"/>
          <w:b w:val="0"/>
          <w:i w:val="0"/>
          <w:sz w:val="19"/>
        </w:rPr>
        <w:t>[ ] Verify the inequality direction from the sign of G.</w:t>
      </w:r>
    </w:p>
    <w:p>
      <w:pPr>
        <w:spacing w:after="40"/>
        <w:ind w:left="259" w:hanging="259"/>
        <w:widowControl w:val="1"/>
      </w:pPr>
      <w:r>
        <w:rPr>
          <w:rFonts w:ascii="Noto Serif" w:hAnsi="Noto Serif"/>
          <w:b w:val="0"/>
          <w:i w:val="0"/>
          <w:sz w:val="19"/>
        </w:rPr>
        <w:t>[ ] Check the no-instance case p = 0: there is no marked packet and Q acts as zero on the state.</w:t>
      </w:r>
    </w:p>
    <w:p>
      <w:pPr>
        <w:spacing w:after="40"/>
        <w:ind w:left="259" w:hanging="259"/>
        <w:widowControl w:val="1"/>
      </w:pPr>
      <w:r>
        <w:rPr>
          <w:rFonts w:ascii="Noto Serif" w:hAnsi="Noto Serif"/>
          <w:b w:val="0"/>
          <w:i w:val="0"/>
          <w:sz w:val="19"/>
        </w:rPr>
        <w:t>[ ] State explicitly that “unit probability” is an ideal result conditional on exact preparation and good fault histories.</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5.9. Conditioned shell, normalization, and exact resource cost</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Use p* = 2^{-n} as the promised yes-instance design value. Define the same pointer ensemble whether the unknown instance is yes or no.</w:t>
      </w:r>
    </w:p>
    <w:tbl>
      <w:tblPr>
        <w:tblW w:type="auto" w:w="0"/>
        <w:jc w:val="center"/>
        <w:tblLayout w:type="fixed"/>
        <w:tblLook w:firstColumn="1" w:firstRow="1" w:lastColumn="0" w:lastRow="0" w:noHBand="0" w:noVBand="1" w:val="04A0"/>
      </w:tblPr>
      <w:tblGrid>
        <w:gridCol w:w="9504"/>
      </w:tblGrid>
      <w:tr>
        <w:trPr>
          <w:cantSplit/>
        </w:trPr>
        <w:tc>
          <w:tcPr>
            <w:tcW w:type="dxa" w:w="10224"/>
            <w:shd w:fill="F3F6F8"/>
            <w:tcBorders>
              <w:top w:val="single" w:sz="4" w:color="CAD5DF"/>
              <w:left w:val="single" w:sz="4" w:color="CAD5DF"/>
              <w:bottom w:val="single" w:sz="4" w:color="CAD5DF"/>
              <w:right w:val="single" w:sz="4" w:color="CAD5DF"/>
            </w:tcBorders>
            <w:tcMar>
              <w:top w:w="90" w:type="dxa"/>
              <w:start w:w="100" w:type="dxa"/>
              <w:bottom w:w="90" w:type="dxa"/>
              <w:end w:w="100" w:type="dxa"/>
            </w:tcMar>
          </w:tcPr>
          <w:p>
            <w:pPr>
              <w:jc w:val="center"/>
            </w:pPr>
            <w:r>
              <w:rPr>
                <w:rFonts w:ascii="Noto Serif" w:hAnsi="Noto Serif"/>
                <w:b w:val="0"/>
                <w:i w:val="0"/>
                <w:sz w:val="21"/>
              </w:rPr>
              <w:t>A = { y : 1 − p*/2 &lt; u(y) &lt; 1 − p*/4 }</w:t>
            </w:r>
          </w:p>
        </w:tc>
      </w:tr>
    </w:tbl>
    <w:p>
      <w:pPr>
        <w:spacing w:after="0"/>
        <w:widowControl w:val="1"/>
      </w:pP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Under the equilibrium measure μ, the cumulative variable u = C(y,0) is uniform on [0,1] for a continuous distribution.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Probability-integral transform.</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interval length is (1−p*/4) − (1−p*/2) = p*/4.</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Direct subtraction.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μ(A) = p*/4.</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Uniformity of u.</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Every u in A satisfies u &gt; 1−p*/2 &gt; 1−p*.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Because p*/2 &lt; p*.</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Thus A lies strictly inside the marked-state basin of a unique yes instance.</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the basin u &gt; 1−p*.</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Define ρ_A(y) = μ(y)1_A(y)/μ(A) = (4/p*)μ(y)1_A(y).</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Condition μ on A.</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Check normalization: ∫ρ_A dy = (4/p*)μ(A) = 1.</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Substitute μ(A) = p*/4.</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On A, ρ_A/μ = 4/p*; outside A, the ratio is zero.</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Piecewise definition.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9</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Compute R = ∫ρ_A ln(ρ_A/μ)dy = ln(4/p*)∫ρ_A dy.</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likelihood ratio is constant on the support.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10</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R = ln(4/p*) = n ln 2 + ln 4.</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Substitute p* = 2^{-n}.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 bits, R/ln 2 = n + 2.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often the easiest interpretation.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deterministic-selection lower bound is ln(1/p*) = n ln 2, so the construction is within exactly 2 bits of that lower bound.</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Apply Module 5.3 with r = 1.</w:t>
            </w:r>
          </w:p>
        </w:tc>
      </w:tr>
    </w:tbl>
    <w:p>
      <w:pPr>
        <w:spacing w:after="0"/>
        <w:widowControl w:val="1"/>
      </w:pPr>
    </w:p>
    <w:p>
      <w:pPr>
        <w:spacing w:after="40"/>
        <w:ind w:left="259" w:hanging="259"/>
        <w:widowControl w:val="1"/>
      </w:pPr>
      <w:r>
        <w:rPr>
          <w:rFonts w:ascii="Noto Serif" w:hAnsi="Noto Serif"/>
          <w:b w:val="0"/>
          <w:i w:val="0"/>
          <w:sz w:val="19"/>
        </w:rPr>
        <w:t>[ ] Verify directly that the shell is defined only from p*, not from the unknown value p_f.</w:t>
      </w:r>
    </w:p>
    <w:p>
      <w:pPr>
        <w:spacing w:after="40"/>
        <w:ind w:left="259" w:hanging="259"/>
        <w:widowControl w:val="1"/>
      </w:pPr>
      <w:r>
        <w:rPr>
          <w:rFonts w:ascii="Noto Serif" w:hAnsi="Noto Serif"/>
          <w:b w:val="0"/>
          <w:i w:val="0"/>
          <w:sz w:val="19"/>
        </w:rPr>
        <w:t>[ ] Verify that the same ρ_{A*} is normalized and prepared on both promised cases before the verifier result is known.</w:t>
      </w:r>
    </w:p>
    <w:p>
      <w:pPr>
        <w:spacing w:after="40"/>
        <w:ind w:left="259" w:hanging="259"/>
        <w:widowControl w:val="1"/>
      </w:pPr>
      <w:r>
        <w:rPr>
          <w:rFonts w:ascii="Noto Serif" w:hAnsi="Noto Serif"/>
          <w:b w:val="0"/>
          <w:i w:val="0"/>
          <w:sz w:val="19"/>
        </w:rPr>
        <w:t>[ ] Check the probability-integral transform assumptions: continuity and no atoms.</w:t>
      </w:r>
    </w:p>
    <w:p>
      <w:pPr>
        <w:spacing w:after="40"/>
        <w:ind w:left="259" w:hanging="259"/>
        <w:widowControl w:val="1"/>
      </w:pPr>
      <w:r>
        <w:rPr>
          <w:rFonts w:ascii="Noto Serif" w:hAnsi="Noto Serif"/>
          <w:b w:val="0"/>
          <w:i w:val="0"/>
          <w:sz w:val="19"/>
        </w:rPr>
        <w:t>[ ] Confirm that the resource cost is reported consistently in nats or bits.</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1F5A92"/>
          <w:sz w:val="28"/>
        </w:rPr>
        <w:t>5.10. Exponential-tail geometry with a smooth compact-support truncation</w:t>
      </w:r>
    </w:p>
    <w:p>
      <w:pPr>
        <w:keepLines w:val="0"/>
        <w:spacing w:after="80" w:before="0"/>
        <w:widowControl w:val="1"/>
      </w:pPr>
      <w:r>
        <w:rPr>
          <w:rFonts w:ascii="Noto Serif" w:hAnsi="Noto Serif"/>
          <w:b w:val="0"/>
          <w:i w:val="0"/>
          <w:sz w:val="20"/>
        </w:rPr>
        <w:t>The exact Laplace calculation below isolates the geometry. To match the revised manuscript, place the shell inside an interval on which a compactly supported smooth packet has the same exponential survival law, and locate the smooth cutoffs a fixed distance outside the shell and final translated packet.</w:t>
      </w:r>
    </w:p>
    <w:tbl>
      <w:tblPr>
        <w:tblW w:type="auto" w:w="0"/>
        <w:jc w:val="center"/>
        <w:tblLayout w:type="fixed"/>
        <w:tblLook w:firstColumn="1" w:firstRow="1" w:lastColumn="0" w:lastRow="0" w:noHBand="0" w:noVBand="1" w:val="04A0"/>
      </w:tblPr>
      <w:tblGrid>
        <w:gridCol w:w="9504"/>
      </w:tblGrid>
      <w:tr>
        <w:trPr>
          <w:cantSplit/>
        </w:trPr>
        <w:tc>
          <w:tcPr>
            <w:tcW w:type="dxa" w:w="10224"/>
            <w:shd w:fill="F3F6F8"/>
            <w:tcBorders>
              <w:top w:val="single" w:sz="4" w:color="CAD5DF"/>
              <w:left w:val="single" w:sz="4" w:color="CAD5DF"/>
              <w:bottom w:val="single" w:sz="4" w:color="CAD5DF"/>
              <w:right w:val="single" w:sz="4" w:color="CAD5DF"/>
            </w:tcBorders>
            <w:tcMar>
              <w:top w:w="90" w:type="dxa"/>
              <w:start w:w="100" w:type="dxa"/>
              <w:bottom w:w="90" w:type="dxa"/>
              <w:end w:w="100" w:type="dxa"/>
            </w:tcMar>
          </w:tcPr>
          <w:p>
            <w:pPr>
              <w:jc w:val="center"/>
            </w:pPr>
            <w:r>
              <w:rPr>
                <w:rFonts w:ascii="Noto Serif" w:hAnsi="Noto Serif"/>
                <w:b w:val="0"/>
                <w:i w:val="0"/>
                <w:sz w:val="21"/>
              </w:rPr>
              <w:t>μ(y) = (1/(2L)) exp(−|y|/L),     L &gt; 0</w:t>
            </w:r>
          </w:p>
        </w:tc>
      </w:tr>
    </w:tbl>
    <w:p>
      <w:pPr>
        <w:spacing w:after="0"/>
        <w:widowControl w:val="1"/>
      </w:pP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y ≥ 0, the right-tail probability is S(y) = ∫_y^∞ μ(z)dz = (1/2)e^{−y/L}.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Integrate the exponential tail.</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Since u = 1−S(y), the shell condition is p*/4 &lt; S(y) &lt; p*/2.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Rewrite 1−p*/2 &lt; u &lt; 1−p*/4.</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At S = p*/2: (1/2)e^{−y₁/L} = p*/2, so y₁ = L ln(1/p*).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Solve for the lower edge.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At S = p*/4: (1/2)e^{−y₂/L} = p*/4, so y₂ = L ln(2/p*).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Solve for the upper edge.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shell width is y₂−y₁ = L ln 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Independent of 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p* = 2^{-n}, y₁ = nL ln 2 and y₂ = (n+1)L ln 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shell moves linearly far into the tail.</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Thus location is O(n) and width is O(1).</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verifies the geometric claim for this packet family.</w:t>
            </w:r>
          </w:p>
        </w:tc>
      </w:tr>
    </w:tbl>
    <w:p>
      <w:pPr>
        <w:spacing w:after="0"/>
        <w:widowControl w:val="1"/>
      </w:pPr>
    </w:p>
    <w:p>
      <w:pPr>
        <w:pStyle w:val="Heading3"/>
        <w:keepLines w:val="0"/>
        <w:spacing w:after="80" w:before="0"/>
        <w:widowControl w:val="1"/>
      </w:pPr>
      <w:r>
        <w:rPr>
          <w:rFonts w:ascii="Noto Serif" w:hAnsi="Noto Serif"/>
          <w:b w:val="0"/>
          <w:i w:val="0"/>
          <w:sz w:val="20"/>
        </w:rPr>
        <w:t>Worked check for n = 10 and L = 1:</w:t>
      </w:r>
    </w:p>
    <w:p>
      <w:pPr>
        <w:pStyle w:val="ListBullet"/>
        <w:spacing w:after="40"/>
        <w:widowControl w:val="1"/>
      </w:pPr>
      <w:r>
        <w:rPr>
          <w:rFonts w:ascii="Noto Serif" w:hAnsi="Noto Serif"/>
          <w:b w:val="0"/>
          <w:i w:val="0"/>
          <w:sz w:val="19"/>
        </w:rPr>
        <w:t>p* = 1/1024.</w:t>
      </w:r>
    </w:p>
    <w:p>
      <w:pPr>
        <w:pStyle w:val="ListBullet"/>
        <w:spacing w:after="40"/>
        <w:widowControl w:val="1"/>
      </w:pPr>
      <w:r>
        <w:rPr>
          <w:rFonts w:ascii="Noto Serif" w:hAnsi="Noto Serif"/>
          <w:b w:val="0"/>
          <w:i w:val="0"/>
          <w:sz w:val="19"/>
        </w:rPr>
        <w:t>Shell equilibrium weight = p*/4 = 1/4096.</w:t>
      </w:r>
    </w:p>
    <w:p>
      <w:pPr>
        <w:pStyle w:val="ListBullet"/>
        <w:spacing w:after="40"/>
        <w:widowControl w:val="1"/>
      </w:pPr>
      <w:r>
        <w:rPr>
          <w:rFonts w:ascii="Noto Serif" w:hAnsi="Noto Serif"/>
          <w:b w:val="0"/>
          <w:i w:val="0"/>
          <w:sz w:val="19"/>
        </w:rPr>
        <w:t>Lower edge y₁ = 10 ln 2 ≈ 6.9315.</w:t>
      </w:r>
    </w:p>
    <w:p>
      <w:pPr>
        <w:pStyle w:val="ListBullet"/>
        <w:spacing w:after="40"/>
        <w:widowControl w:val="1"/>
      </w:pPr>
      <w:r>
        <w:rPr>
          <w:rFonts w:ascii="Noto Serif" w:hAnsi="Noto Serif"/>
          <w:b w:val="0"/>
          <w:i w:val="0"/>
          <w:sz w:val="19"/>
        </w:rPr>
        <w:t>Upper edge y₂ = 11 ln 2 ≈ 7.6246.</w:t>
      </w:r>
    </w:p>
    <w:p>
      <w:pPr>
        <w:pStyle w:val="ListBullet"/>
        <w:spacing w:after="40"/>
        <w:widowControl w:val="1"/>
      </w:pPr>
      <w:r>
        <w:rPr>
          <w:rFonts w:ascii="Noto Serif" w:hAnsi="Noto Serif"/>
          <w:b w:val="0"/>
          <w:i w:val="0"/>
          <w:sz w:val="19"/>
        </w:rPr>
        <w:t>Width y₂−y₁ = ln 2 ≈ 0.6931.</w:t>
      </w:r>
    </w:p>
    <w:p>
      <w:pPr>
        <w:pStyle w:val="ListBullet"/>
        <w:spacing w:after="40"/>
        <w:widowControl w:val="1"/>
      </w:pPr>
      <w:r>
        <w:rPr>
          <w:rFonts w:ascii="Noto Serif" w:hAnsi="Noto Serif"/>
          <w:b w:val="0"/>
          <w:i w:val="0"/>
          <w:sz w:val="19"/>
        </w:rPr>
        <w:t>Resource cost R = ln 4096 = 12 ln 2 ≈ 8.3178 nats = 12 bits.</w:t>
      </w:r>
    </w:p>
    <w:p>
      <w:pPr>
        <w:spacing w:after="40"/>
        <w:ind w:left="259" w:hanging="259"/>
        <w:widowControl w:val="1"/>
      </w:pPr>
      <w:r>
        <w:rPr>
          <w:rFonts w:ascii="Noto Serif" w:hAnsi="Noto Serif"/>
          <w:b w:val="0"/>
          <w:i w:val="0"/>
          <w:sz w:val="19"/>
        </w:rPr>
        <w:t>[ ] Check that the chosen wavefunction g satisfies |g|² = μ and is square-normalizable.</w:t>
      </w:r>
    </w:p>
    <w:p>
      <w:pPr>
        <w:spacing w:after="40"/>
        <w:ind w:left="259" w:hanging="259"/>
        <w:widowControl w:val="1"/>
      </w:pPr>
      <w:r>
        <w:rPr>
          <w:rFonts w:ascii="Noto Serif" w:hAnsi="Noto Serif"/>
          <w:b w:val="0"/>
          <w:i w:val="0"/>
          <w:sz w:val="19"/>
        </w:rPr>
        <w:t>[ ] Construct or cite a smooth compactly supported density that agrees with the exponential-tail formula throughout the shell and its translated image; check normalization after adding the end caps.</w:t>
      </w:r>
    </w:p>
    <w:p>
      <w:pPr>
        <w:spacing w:after="40"/>
        <w:ind w:left="259" w:hanging="259"/>
        <w:widowControl w:val="1"/>
      </w:pPr>
      <w:r>
        <w:rPr>
          <w:rFonts w:ascii="Noto Serif" w:hAnsi="Noto Serif"/>
          <w:b w:val="0"/>
          <w:i w:val="0"/>
          <w:sz w:val="19"/>
        </w:rPr>
        <w:t>[ ] Check that bounded interaction strength gives O(n) displacement time/segments and that these segments are included in L(n); retain the example as an illustration, not an experimental claim.</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5.11. Five-qubit perfect code and the complete syndrome decomposition</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The revised manuscript avoids an abstract orthogonalization step by choosing the nondegenerate five-qubit [[5,1,3]] perfect code and the identity plus fifteen one-qubit Pauli errors.</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physical Hilbert space of five qubits has dimension 2^5 = 32.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Five two-level systems.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code space C encodes one qubit, so dim C = 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code parameters are [[5,1,3]].</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E_0 = I and the fifteen single-qubit Paulis X_j, Y_j, Z_j.</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 are 5×3 = 15 nonidentity one-qubit Paulis.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a nondegenerate distance-three code, P_C E_a†E_b P_C = δ_ab P_C for this set.</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Distinct correctable Pauli errors have orthogonal syndromes.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Define V_a = E_aP_C. Then V_a†V_b = δ_abP_C.</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Multiply the previous equation by the code projector.</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Each range C_a = V_a C has dimension 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V_a is an isometry on C.</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sixteen ranges C_a are mutually orthogonal.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Their cross inner products vanish.</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Σ_a dim C_a = 16×2 = 32.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Dimension count.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9</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K = ⊕_{a=0}^{15} C_a equals the full five-qubit Hilbert space.</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An orthogonal 32-dimensional subspace of a 32-dimensional space is the whole space.</w:t>
            </w:r>
          </w:p>
        </w:tc>
      </w:tr>
    </w:tbl>
    <w:p>
      <w:pPr>
        <w:spacing w:after="0"/>
        <w:widowControl w:val="1"/>
      </w:pPr>
    </w:p>
    <w:p>
      <w:pPr>
        <w:spacing w:after="40"/>
        <w:ind w:left="259" w:hanging="259"/>
        <w:widowControl w:val="1"/>
      </w:pPr>
      <w:r>
        <w:rPr>
          <w:rFonts w:ascii="Noto Serif" w:hAnsi="Noto Serif"/>
          <w:b w:val="0"/>
          <w:i w:val="0"/>
          <w:sz w:val="19"/>
        </w:rPr>
        <w:t>[ ] Read Laflamme et al. (1996) and independently verify the code parameters [[5,1,3]].</w:t>
      </w:r>
    </w:p>
    <w:p>
      <w:pPr>
        <w:spacing w:after="40"/>
        <w:ind w:left="259" w:hanging="259"/>
        <w:widowControl w:val="1"/>
      </w:pPr>
      <w:r>
        <w:rPr>
          <w:rFonts w:ascii="Noto Serif" w:hAnsi="Noto Serif"/>
          <w:b w:val="0"/>
          <w:i w:val="0"/>
          <w:sz w:val="19"/>
        </w:rPr>
        <w:t>[ ] Verify nondegeneracy and the orthogonality relation for the identity plus fifteen one-qubit Paulis.</w:t>
      </w:r>
    </w:p>
    <w:p>
      <w:pPr>
        <w:spacing w:after="40"/>
        <w:ind w:left="259" w:hanging="259"/>
        <w:widowControl w:val="1"/>
      </w:pPr>
      <w:r>
        <w:rPr>
          <w:rFonts w:ascii="Noto Serif" w:hAnsi="Noto Serif"/>
          <w:b w:val="0"/>
          <w:i w:val="0"/>
          <w:sz w:val="19"/>
        </w:rPr>
        <w:t>[ ] Verify the dimension count and that K is the entire physical Hilbert space for the perfect code.</w:t>
      </w:r>
    </w:p>
    <w:p>
      <w:pPr>
        <w:spacing w:after="40"/>
        <w:ind w:left="259" w:hanging="259"/>
        <w:widowControl w:val="1"/>
      </w:pPr>
      <w:r>
        <w:rPr>
          <w:rFonts w:ascii="Noto Serif" w:hAnsi="Noto Serif"/>
          <w:b w:val="0"/>
          <w:i w:val="0"/>
          <w:sz w:val="19"/>
        </w:rPr>
        <w:t>[ ] Confirm E_0 = I and distinguish this exact five-qubit construction from the general nonperfect-code extension.</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5.12. Construction and properties of the error-transparent marked projector</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Let Q_L = |1_L⟩⟨1_L| act on C, let V_a = E_aP_C, and define the physical operator</w:t>
      </w:r>
    </w:p>
    <w:tbl>
      <w:tblPr>
        <w:tblW w:type="auto" w:w="0"/>
        <w:jc w:val="center"/>
        <w:tblLayout w:type="fixed"/>
        <w:tblLook w:firstColumn="1" w:firstRow="1" w:lastColumn="0" w:lastRow="0" w:noHBand="0" w:noVBand="1" w:val="04A0"/>
      </w:tblPr>
      <w:tblGrid>
        <w:gridCol w:w="9504"/>
      </w:tblGrid>
      <w:tr>
        <w:trPr>
          <w:cantSplit/>
        </w:trPr>
        <w:tc>
          <w:tcPr>
            <w:tcW w:type="dxa" w:w="10224"/>
            <w:shd w:fill="F3F6F8"/>
            <w:tcBorders>
              <w:top w:val="single" w:sz="4" w:color="CAD5DF"/>
              <w:left w:val="single" w:sz="4" w:color="CAD5DF"/>
              <w:bottom w:val="single" w:sz="4" w:color="CAD5DF"/>
              <w:right w:val="single" w:sz="4" w:color="CAD5DF"/>
            </w:tcBorders>
            <w:tcMar>
              <w:top w:w="90" w:type="dxa"/>
              <w:start w:w="100" w:type="dxa"/>
              <w:bottom w:w="90" w:type="dxa"/>
              <w:end w:w="100" w:type="dxa"/>
            </w:tcMar>
          </w:tcPr>
          <w:p>
            <w:pPr>
              <w:jc w:val="center"/>
            </w:pPr>
            <w:r>
              <w:rPr>
                <w:rFonts w:ascii="Noto Serif" w:hAnsi="Noto Serif"/>
                <w:b w:val="0"/>
                <w:i w:val="0"/>
                <w:sz w:val="21"/>
              </w:rPr>
              <w:t>Q̃_L = Σ_{a=0}^{15} V_a Q_L V_a†</w:t>
            </w:r>
          </w:p>
        </w:tc>
      </w:tr>
    </w:tbl>
    <w:p>
      <w:pPr>
        <w:spacing w:after="0"/>
        <w:widowControl w:val="1"/>
      </w:pP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Each term V_aQ_LV_a† acts only on the orthogonal sector C_a.</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V_a maps C isometrically into C_a.</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(V_aQ_LV_a†)† = V_aQ_LV_a†.</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Q_L is Hermitian.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Q̃_L† = Q̃_L.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Sum of Hermitian operators on orthogonal supports.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Q̃_LV_b = Σ_a V_aQ_LV_a†V_b = V_bQ_L.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V_a†V_b = δ_abP_C and Q_LP_C = Q_L.</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Q̃_L² = Σ_a V_aQ_L²V_a† = Q̃_L.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Cross terms vanish and Q_L is a projector.</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Q̃_L is a bounded self-adjoint projector with norm 1.</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Nonzero orthogonal projector.</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the five-qubit perfect code, K is the full Hilbert space, so the formula is already global.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Module 5.11.</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a nonperfect fixed code, define Q̃_L = 0 on K⊥.</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supplies an explicit Hermitian extension.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9</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H_ET(t) = a(t)Q̃_Lp_y is self-adjoint on the natural domain of p_y when a(t) is real.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 bounded system operator tensor a self-adjoint momentum operator has the standard product-domain realization.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10</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body-ness is constant only because the base code has fixed size.</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an asymptotic statement, not a two-body hardware construction.</w:t>
            </w:r>
          </w:p>
        </w:tc>
      </w:tr>
    </w:tbl>
    <w:p>
      <w:pPr>
        <w:spacing w:after="0"/>
        <w:widowControl w:val="1"/>
      </w:pPr>
    </w:p>
    <w:p>
      <w:pPr>
        <w:spacing w:after="40"/>
        <w:ind w:left="259" w:hanging="259"/>
        <w:widowControl w:val="1"/>
      </w:pPr>
      <w:r>
        <w:rPr>
          <w:rFonts w:ascii="Noto Serif" w:hAnsi="Noto Serif"/>
          <w:b w:val="0"/>
          <w:i w:val="0"/>
          <w:sz w:val="19"/>
        </w:rPr>
        <w:t>[ ] Verify Hermiticity and idempotence explicitly.</w:t>
      </w:r>
    </w:p>
    <w:p>
      <w:pPr>
        <w:spacing w:after="40"/>
        <w:ind w:left="259" w:hanging="259"/>
        <w:widowControl w:val="1"/>
      </w:pPr>
      <w:r>
        <w:rPr>
          <w:rFonts w:ascii="Noto Serif" w:hAnsi="Noto Serif"/>
          <w:b w:val="0"/>
          <w:i w:val="0"/>
          <w:sz w:val="19"/>
        </w:rPr>
        <w:t>[ ] Verify that the perfect-code formula acts on the full 32-dimensional space and that the general-code zero extension is explicit.</w:t>
      </w:r>
    </w:p>
    <w:p>
      <w:pPr>
        <w:spacing w:after="40"/>
        <w:ind w:left="259" w:hanging="259"/>
        <w:widowControl w:val="1"/>
      </w:pPr>
      <w:r>
        <w:rPr>
          <w:rFonts w:ascii="Noto Serif" w:hAnsi="Noto Serif"/>
          <w:b w:val="0"/>
          <w:i w:val="0"/>
          <w:sz w:val="19"/>
        </w:rPr>
        <w:t>[ ] Confirm the Hamiltonian H_ET = aQ̃_Lp_y is self-adjoint on the intended domain.</w:t>
      </w:r>
    </w:p>
    <w:p>
      <w:pPr>
        <w:spacing w:after="40"/>
        <w:ind w:left="259" w:hanging="259"/>
        <w:widowControl w:val="1"/>
      </w:pPr>
      <w:r>
        <w:rPr>
          <w:rFonts w:ascii="Noto Serif" w:hAnsi="Noto Serif"/>
          <w:b w:val="0"/>
          <w:i w:val="0"/>
          <w:sz w:val="19"/>
        </w:rPr>
        <w:t>[ ] Check that constant body-ness follows only because the base code size is fixed; it does not establish an easy two-body implementation.</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5.13. Single-fault error-transparent identity</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Let U(t₂,t₁)=exp{−i[G(t₂)−G(t₁)]Q̃_Lp_y}. Suppose a one-qubit Pauli-basis fault E_a occurs at time t while the state was previously in the code sector.</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Before the fault, U(t,0)P_C = exp[−iG(t)Q_Lp_y]P_C.</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On the code sector Q̃_L acts as Q_L.</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intertwining relation is Q̃_L E_aP_C = E_aQ_LP_C.</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Because V_a = E_aP_C and Q̃_LV_a = V_aQ_L.</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By induction, Q̃_L^mE_aP_C = E_aQ_L^mP_C for all m ≥ 0.</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Repeated intertwining.</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Functional calculus gives U(T,t)E_aP_C = E_a exp{−i[G(T)−G(t)]Q_Lp_y}P_C.</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Expand the exponential; p_y commutes with the system operators.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Compose with the pre-fault evolution.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Insert U(t,0)P_C from Step 1.</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U(T,t)E_aU(t,0)P_C = E_a exp{−i[G(T)−G(t)]Q_Lp_y}exp{−iG(t)Q_Lp_y}P_C.</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Direct substitution.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Combine commuting logical exponentials to obtain E_a exp[−iG(T)Q_Lp_y]P_C.</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integrated couplings add.</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Every one-qubit operator is a linear combination of I,X,Y,Z on that qubit, so the identity extends linearly until syndrome resolution.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Schrödinger evolution and the operator identity are linear.</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sz w:val="20"/>
                <w:color w:val="246B36"/>
              </w:rPr>
              <w:t>Scope adopted in the revised manuscript</w:t>
            </w:r>
          </w:p>
          <w:p>
            <w:pPr>
              <w:spacing w:after="0"/>
            </w:pPr>
            <w:r>
              <w:rPr>
                <w:rFonts w:ascii="Noto Serif" w:hAnsi="Noto Serif"/>
                <w:b w:val="0"/>
                <w:i w:val="0"/>
                <w:sz w:val="18"/>
              </w:rPr>
              <w:t>This identity proves every one-qubit fault history that begins in the code sector. The paper separately proves syndrome-only sequences. It does not call an arbitrary multi-fault history transparent; all histories outside the proved class are included in q_0.</w:t>
            </w:r>
          </w:p>
        </w:tc>
      </w:tr>
    </w:tbl>
    <w:p>
      <w:pPr>
        <w:spacing w:after="0"/>
        <w:widowControl w:val="1"/>
      </w:pPr>
    </w:p>
    <w:p>
      <w:pPr>
        <w:spacing w:after="40"/>
        <w:ind w:left="259" w:hanging="259"/>
        <w:widowControl w:val="1"/>
      </w:pPr>
      <w:r>
        <w:rPr>
          <w:rFonts w:ascii="Noto Serif" w:hAnsi="Noto Serif"/>
          <w:b w:val="0"/>
          <w:i w:val="0"/>
          <w:sz w:val="19"/>
        </w:rPr>
        <w:t>[ ] Derive the identity using both a power series and direct action on logical eigenstates.</w:t>
      </w:r>
    </w:p>
    <w:p>
      <w:pPr>
        <w:spacing w:after="40"/>
        <w:ind w:left="259" w:hanging="259"/>
        <w:widowControl w:val="1"/>
      </w:pPr>
      <w:r>
        <w:rPr>
          <w:rFonts w:ascii="Noto Serif" w:hAnsi="Noto Serif"/>
          <w:b w:val="0"/>
          <w:i w:val="0"/>
          <w:sz w:val="19"/>
        </w:rPr>
        <w:t>[ ] Check the time-dependent-a(t) version by splitting the integrated coupling before and after t.</w:t>
      </w:r>
    </w:p>
    <w:p>
      <w:pPr>
        <w:spacing w:after="40"/>
        <w:ind w:left="259" w:hanging="259"/>
        <w:widowControl w:val="1"/>
      </w:pPr>
      <w:r>
        <w:rPr>
          <w:rFonts w:ascii="Noto Serif" w:hAnsi="Noto Serif"/>
          <w:b w:val="0"/>
          <w:i w:val="0"/>
          <w:sz w:val="19"/>
        </w:rPr>
        <w:t>[ ] Confirm that the base transparent set includes no fault and every one-qubit fault covered by the identity, and that no broader claim is made without proof.</w:t>
      </w:r>
    </w:p>
    <w:p>
      <w:pPr>
        <w:spacing w:after="40"/>
        <w:ind w:left="259" w:hanging="259"/>
        <w:widowControl w:val="1"/>
      </w:pPr>
      <w:r>
        <w:rPr>
          <w:rFonts w:ascii="Noto Serif" w:hAnsi="Noto Serif"/>
          <w:b w:val="0"/>
          <w:i w:val="0"/>
          <w:sz w:val="19"/>
        </w:rPr>
        <w:t>[ ] Verify that faults in the pointer, syndrome apparatus, or coupling Hamiltonian are included in the gadget model or explicitly excluded.</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5.14. Syndrome-only sequences and logical opacity</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This module verifies both the sequential transparency statement and the claim that the corresponding syndrome record does not reveal the logical marked/unmarked value.</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Define W by WV_a|ψ_L⟩ = |ψ_L⟩⊗|a⟩ on K.</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orthogonal syndrome sectors give a logical⊗syndrome factorization.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Then WQ̃_LW† = Q_L⊗I_syn.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Q̃_L applies the same logical projector in every syndrome sector.</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If S preserves K and WSW† = I_L⊗s, then [S,Q̃_L]=0 on K.</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 acts only on the syndrome factor.</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Any sequence of such S operators at arbitrary times can be commuted through the pointer propagators.</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Each commutes with Q_L⊗I_syn and with p_y.</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Hence a syndrome-only sequence produces exactly the ideal total pointer translation.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All intermediate faults can be moved to the end.</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a correctable system–environment interaction, Knill–Laflamme makes the reduced syndrome/environment state independent of |ψ_L⟩.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matrix elements reduce to c_ab, independent of the logical state.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Syndrome extraction may record the error label without recording the logical marked/unmarked value.</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the logical-opacity condition needed before the nonequilibrium pointer acts.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Any history that leaves K, acts nontrivially on the logical factor, or fails the syndrome-only form is classified as nontransparent.</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theorem charges unproved cases to the failure event rather than assuming them harmless.</w:t>
            </w:r>
          </w:p>
        </w:tc>
      </w:tr>
    </w:tbl>
    <w:p>
      <w:pPr>
        <w:spacing w:after="0"/>
        <w:widowControl w:val="1"/>
      </w:pPr>
    </w:p>
    <w:p>
      <w:pPr>
        <w:spacing w:after="40"/>
        <w:ind w:left="259" w:hanging="259"/>
        <w:widowControl w:val="1"/>
      </w:pPr>
      <w:r>
        <w:rPr>
          <w:rFonts w:ascii="Noto Serif" w:hAnsi="Noto Serif"/>
          <w:b w:val="0"/>
          <w:i w:val="0"/>
          <w:sz w:val="19"/>
        </w:rPr>
        <w:t>[ ] Construct W explicitly from the sixteen five-qubit syndrome sectors and verify WQ̃_LW† = Q_L⊗I_syn.</w:t>
      </w:r>
    </w:p>
    <w:p>
      <w:pPr>
        <w:spacing w:after="40"/>
        <w:ind w:left="259" w:hanging="259"/>
        <w:widowControl w:val="1"/>
      </w:pPr>
      <w:r>
        <w:rPr>
          <w:rFonts w:ascii="Noto Serif" w:hAnsi="Noto Serif"/>
          <w:b w:val="0"/>
          <w:i w:val="0"/>
          <w:sz w:val="19"/>
        </w:rPr>
        <w:t>[ ] Verify both the commutation argument for syndrome-only sequences and the Knill–Laflamme environment-independence calculation.</w:t>
      </w:r>
    </w:p>
    <w:p>
      <w:pPr>
        <w:spacing w:after="40"/>
        <w:ind w:left="259" w:hanging="259"/>
        <w:widowControl w:val="1"/>
      </w:pPr>
      <w:r>
        <w:rPr>
          <w:rFonts w:ascii="Noto Serif" w:hAnsi="Noto Serif"/>
          <w:b w:val="0"/>
          <w:i w:val="0"/>
          <w:sz w:val="19"/>
        </w:rPr>
        <w:t>[ ] Read Beale et al., especially Theorem 2, and avoid claiming more than their local-noise assumptions establish.</w:t>
      </w:r>
    </w:p>
    <w:p>
      <w:pPr>
        <w:spacing w:after="40"/>
        <w:ind w:left="259" w:hanging="259"/>
        <w:widowControl w:val="1"/>
      </w:pPr>
      <w:r>
        <w:rPr>
          <w:rFonts w:ascii="Noto Serif" w:hAnsi="Noto Serif"/>
          <w:b w:val="0"/>
          <w:i w:val="0"/>
          <w:sz w:val="19"/>
        </w:rPr>
        <w:t>[ ] Explain why ordinary dephasing that directly distinguishes logical 0 from logical 1 would violate the opacity assumption and destroy the intended advantage.</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5.15. Transported likelihood-ratio bound for bad events</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The revised theorem specifies the full initial configuration q and conditions only the pointer coordinate: ρ₀(q) = (4/p*)1_{A*}(y(q))μ₀(q).</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Let q include computer, syndrome apparatus, modeled environment, and pointer; let μ₀(q) be the full equilibrium density.</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event bound must apply to the complete pilot-wave configuration.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Define ρ₀(q) = (4/p*)1_{A*}(y(q))μ₀(q).</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Only the pointer marginal is conditioned.</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Normalization: ∫ρ₀dq = (4/p*)Pr_{μ₀}(A*) = 1.</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equilibrium shell probability is p*/4.</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initial likelihood ratio obeys 0 ≤ ρ₀/μ₀ ≤ 4/p*.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It is 4/p* on the shell and zero outside.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Equivariance transports the ratio unchanged along the full flow, preserving the essential supremum.</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Module 5.1 applied to the joint system.</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any later measurable event B, Pr_ρ(B) = ∫_B(ρ_t/μ_t)dμ_t.</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Radon–Nikodym form of the nonequilibrium probability.</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Bound the integrand to get Pr_ρ(B) ≤ (4/p*)Pr_μ(B).</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the essential-supremum bound.</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Since p*=2^{-n}, the maximum probability enhancement is 2^{n+2}.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fault-tolerance suppression must overcome this factor.</w:t>
            </w:r>
          </w:p>
        </w:tc>
      </w:tr>
    </w:tbl>
    <w:p>
      <w:pPr>
        <w:spacing w:after="0"/>
        <w:widowControl w:val="1"/>
      </w:pPr>
    </w:p>
    <w:p>
      <w:pPr>
        <w:spacing w:after="40"/>
        <w:ind w:left="259" w:hanging="259"/>
        <w:widowControl w:val="1"/>
      </w:pPr>
      <w:r>
        <w:rPr>
          <w:rFonts w:ascii="Noto Serif" w:hAnsi="Noto Serif"/>
          <w:b w:val="0"/>
          <w:i w:val="0"/>
          <w:sz w:val="19"/>
        </w:rPr>
        <w:t>[ ] Write the exact full joint initial density and verify its ratio bound.</w:t>
      </w:r>
    </w:p>
    <w:p>
      <w:pPr>
        <w:spacing w:after="40"/>
        <w:ind w:left="259" w:hanging="259"/>
        <w:widowControl w:val="1"/>
      </w:pPr>
      <w:r>
        <w:rPr>
          <w:rFonts w:ascii="Noto Serif" w:hAnsi="Noto Serif"/>
          <w:b w:val="0"/>
          <w:i w:val="0"/>
          <w:sz w:val="19"/>
        </w:rPr>
        <w:t>[ ] Check that the system/environment are not silently assigned additional nonequilibrium.</w:t>
      </w:r>
    </w:p>
    <w:p>
      <w:pPr>
        <w:spacing w:after="40"/>
        <w:ind w:left="259" w:hanging="259"/>
        <w:widowControl w:val="1"/>
      </w:pPr>
      <w:r>
        <w:rPr>
          <w:rFonts w:ascii="Noto Serif" w:hAnsi="Noto Serif"/>
          <w:b w:val="0"/>
          <w:i w:val="0"/>
          <w:sz w:val="19"/>
        </w:rPr>
        <w:t>[ ] Define every bad-history set B as an actual measurable configuration-space event, not only a formal fault-path label.</w:t>
      </w:r>
    </w:p>
    <w:p>
      <w:pPr>
        <w:spacing w:after="40"/>
        <w:ind w:left="259" w:hanging="259"/>
        <w:widowControl w:val="1"/>
      </w:pPr>
      <w:r>
        <w:rPr>
          <w:rFonts w:ascii="Noto Serif" w:hAnsi="Noto Serif"/>
          <w:b w:val="0"/>
          <w:i w:val="0"/>
          <w:sz w:val="19"/>
        </w:rPr>
        <w:t>[ ] Verify assumption (A4): macroscopic syndrome records are disjoint enough to identify their Born weights with equilibrium event probabilities.</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5.16. Concatenated-code recursion and double-exponential suppression</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Assume the stochastic, syndrome-resolved recursion q_{j+1} ≤ Aq_j² and define θ = Aq₀ &lt; 1.</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j = 0, q₀ = (1/A)θ.</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Definition of θ.</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At level 1, q₁ ≤ Aq₀² = (1/A)θ².</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Substitute q₀ = θ/A.</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Induction hypothesis: q_j ≤ (1/A)θ^{2^j}.</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Assume the claimed formula at level j.</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Then q_{j+1} ≤ Aq_j² ≤ A(1/A²)θ^{2·2^j}.</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Apply the recursion and square the induction bound.</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Simplify: q_{j+1} ≤ (1/A)θ^{2^{j+1}}.</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Because 2·2^j = 2^{j+1}.</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q_k ≤ (1/A)θ^{2^k} for all k.</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Mathematical induction.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Since 0 &lt; θ &lt; 1, θ^{2^k} decays doubly exponentially in k.</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exponent itself grows exponentially.</w:t>
            </w:r>
          </w:p>
        </w:tc>
      </w:tr>
    </w:tbl>
    <w:p>
      <w:pPr>
        <w:spacing w:after="0"/>
        <w:widowControl w:val="1"/>
      </w:pPr>
    </w:p>
    <w:p>
      <w:pPr>
        <w:spacing w:after="40"/>
        <w:ind w:left="259" w:hanging="259"/>
        <w:widowControl w:val="1"/>
      </w:pPr>
      <w:r>
        <w:rPr>
          <w:rFonts w:ascii="Noto Serif" w:hAnsi="Noto Serif"/>
          <w:b w:val="0"/>
          <w:i w:val="0"/>
          <w:sz w:val="19"/>
        </w:rPr>
        <w:t>[ ] Verify AGP 2006, Eqs. (4)-(6), and note the independent stochastic-fault assumptions behind this simple probability recursion.</w:t>
      </w:r>
    </w:p>
    <w:p>
      <w:pPr>
        <w:spacing w:after="40"/>
        <w:ind w:left="259" w:hanging="259"/>
        <w:widowControl w:val="1"/>
      </w:pPr>
      <w:r>
        <w:rPr>
          <w:rFonts w:ascii="Noto Serif" w:hAnsi="Noto Serif"/>
          <w:b w:val="0"/>
          <w:i w:val="0"/>
          <w:sz w:val="19"/>
        </w:rPr>
        <w:t>[ ] Do not apply this exact q recursion to an arbitrary coherent bath without an appropriate norm-amplitude theorem and a revised Bohmian-event argument.</w:t>
      </w:r>
    </w:p>
    <w:p>
      <w:pPr>
        <w:spacing w:after="40"/>
        <w:ind w:left="259" w:hanging="259"/>
        <w:widowControl w:val="1"/>
      </w:pPr>
      <w:r>
        <w:rPr>
          <w:rFonts w:ascii="Noto Serif" w:hAnsi="Noto Serif"/>
          <w:b w:val="0"/>
          <w:i w:val="0"/>
          <w:sz w:val="19"/>
        </w:rPr>
        <w:t>[ ] Identify what q₀ means for the actual base interface gadget and how A is bounded.</w:t>
      </w:r>
    </w:p>
    <w:p>
      <w:pPr>
        <w:spacing w:after="40"/>
        <w:ind w:left="259" w:hanging="259"/>
        <w:widowControl w:val="1"/>
      </w:pPr>
      <w:r>
        <w:rPr>
          <w:rFonts w:ascii="Noto Serif" w:hAnsi="Noto Serif"/>
          <w:b w:val="0"/>
          <w:i w:val="0"/>
          <w:sz w:val="19"/>
        </w:rPr>
        <w:t>[ ] Confirm θ = Aq₀ is dimensionless and strictly below 1.</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5.17. Solving for the concatenation level k</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p>
      <w:pPr>
        <w:keepLines w:val="0"/>
        <w:spacing w:after="80" w:before="0"/>
        <w:widowControl w:val="1"/>
      </w:pPr>
      <w:r>
        <w:rPr>
          <w:rFonts w:ascii="Noto Serif" w:hAnsi="Noto Serif"/>
          <w:b w:val="0"/>
          <w:i w:val="0"/>
          <w:sz w:val="20"/>
        </w:rPr>
        <w:t>For the complete L(n)-location circuit, require the nonequilibrium failure probability to be at most δ. It is sufficient that q_k ≤ δp*/[4L(n)].</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Use q_k ≤ A^{-1}θ^{2^k} and require A^{-1}θ^{2^k} ≤ δ2^{-n}/[4L(n)].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Combine the recursion with p*=2^{-n} and the full-circuit target.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Multiply by A: θ^{2^k} ≤ [Aδ/(4L(n))]2^{-n}.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A&gt;0.</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Take logs: 2^k ln θ ≤ ln[Aδ/(4L(n))] − n ln 2.</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Natural logarithm is monotone.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Because ln θ&lt;0, division reverses the inequality.</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Critical sign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2^k ≥ [n ln 2 + ln(4L(n)/(Aδ))]/[−ln θ].</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Algebraic rearrangement.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If L(n) is polynomial, ln L(n)=O(ln n), so the numerator is O(n).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linear n ln 2 term dominates.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k=O(log 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Take base-two logarithms.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If each level multiplies one-location cost by M, total cost L(n)M^k is polynomial.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M^{O(log n)}=n^{O(1)}.</w:t>
            </w:r>
          </w:p>
        </w:tc>
      </w:tr>
    </w:tbl>
    <w:p>
      <w:pPr>
        <w:spacing w:after="0"/>
        <w:widowControl w:val="1"/>
      </w:pPr>
    </w:p>
    <w:p>
      <w:pPr>
        <w:pStyle w:val="Heading3"/>
        <w:keepLines w:val="0"/>
        <w:spacing w:after="80" w:before="0"/>
        <w:widowControl w:val="1"/>
      </w:pPr>
      <w:r>
        <w:rPr>
          <w:rFonts w:ascii="Noto Serif" w:hAnsi="Noto Serif"/>
          <w:b w:val="0"/>
          <w:i w:val="0"/>
          <w:sz w:val="20"/>
        </w:rPr>
        <w:t>Illustrative arithmetic check</w:t>
      </w:r>
    </w:p>
    <w:p>
      <w:pPr>
        <w:pStyle w:val="ListBullet"/>
        <w:spacing w:after="40"/>
        <w:widowControl w:val="1"/>
      </w:pPr>
      <w:r>
        <w:rPr>
          <w:rFonts w:ascii="Noto Serif" w:hAnsi="Noto Serif"/>
          <w:b w:val="0"/>
          <w:i w:val="0"/>
          <w:sz w:val="19"/>
        </w:rPr>
        <w:t>Choose A = 100, q₀ = 0.001, so θ = 0.1.</w:t>
      </w:r>
    </w:p>
    <w:p>
      <w:pPr>
        <w:pStyle w:val="ListBullet"/>
        <w:spacing w:after="40"/>
        <w:widowControl w:val="1"/>
      </w:pPr>
      <w:r>
        <w:rPr>
          <w:rFonts w:ascii="Noto Serif" w:hAnsi="Noto Serif"/>
          <w:b w:val="0"/>
          <w:i w:val="0"/>
          <w:sz w:val="19"/>
        </w:rPr>
        <w:t>Choose n = 100, δ = 0.01, and for illustration L(n)=n³=10⁶.</w:t>
      </w:r>
    </w:p>
    <w:p>
      <w:pPr>
        <w:pStyle w:val="ListBullet"/>
        <w:spacing w:after="40"/>
        <w:widowControl w:val="1"/>
      </w:pPr>
      <w:r>
        <w:rPr>
          <w:rFonts w:ascii="Noto Serif" w:hAnsi="Noto Serif"/>
          <w:b w:val="0"/>
          <w:i w:val="0"/>
          <w:sz w:val="19"/>
        </w:rPr>
        <w:t>Numerator: 100 ln 2 + ln[4·10⁶/(100·0.01)] = 69.3147 + ln(4·10⁶) ≈ 84.5165.</w:t>
      </w:r>
    </w:p>
    <w:p>
      <w:pPr>
        <w:pStyle w:val="ListBullet"/>
        <w:spacing w:after="40"/>
        <w:widowControl w:val="1"/>
      </w:pPr>
      <w:r>
        <w:rPr>
          <w:rFonts w:ascii="Noto Serif" w:hAnsi="Noto Serif"/>
          <w:b w:val="0"/>
          <w:i w:val="0"/>
          <w:sz w:val="19"/>
        </w:rPr>
        <w:t>Denominator: −ln 0.1 ≈ 2.3026.</w:t>
      </w:r>
    </w:p>
    <w:p>
      <w:pPr>
        <w:pStyle w:val="ListBullet"/>
        <w:spacing w:after="40"/>
        <w:widowControl w:val="1"/>
      </w:pPr>
      <w:r>
        <w:rPr>
          <w:rFonts w:ascii="Noto Serif" w:hAnsi="Noto Serif"/>
          <w:b w:val="0"/>
          <w:i w:val="0"/>
          <w:sz w:val="19"/>
        </w:rPr>
        <w:t>Required 2^k ≥ 36.70, so k = 6 is sufficient because 2⁶ = 64.</w:t>
      </w:r>
    </w:p>
    <w:p>
      <w:pPr>
        <w:pStyle w:val="ListBullet"/>
        <w:spacing w:after="40"/>
        <w:widowControl w:val="1"/>
      </w:pPr>
      <w:r>
        <w:rPr>
          <w:rFonts w:ascii="Noto Serif" w:hAnsi="Noto Serif"/>
          <w:b w:val="0"/>
          <w:i w:val="0"/>
          <w:sz w:val="19"/>
        </w:rPr>
        <w:t>This example is illustrative only; the actual A and q₀ must come from the specified gadget.</w:t>
      </w:r>
    </w:p>
    <w:p>
      <w:pPr>
        <w:spacing w:after="40"/>
        <w:ind w:left="259" w:hanging="259"/>
        <w:widowControl w:val="1"/>
      </w:pPr>
      <w:r>
        <w:rPr>
          <w:rFonts w:ascii="Noto Serif" w:hAnsi="Noto Serif"/>
          <w:b w:val="0"/>
          <w:i w:val="0"/>
          <w:sz w:val="19"/>
        </w:rPr>
        <w:t>[ ] Redo the algebra by hand, paying special attention to the inequality reversal.</w:t>
      </w:r>
    </w:p>
    <w:p>
      <w:pPr>
        <w:spacing w:after="40"/>
        <w:ind w:left="259" w:hanging="259"/>
        <w:widowControl w:val="1"/>
      </w:pPr>
      <w:r>
        <w:rPr>
          <w:rFonts w:ascii="Noto Serif" w:hAnsi="Noto Serif"/>
          <w:b w:val="0"/>
          <w:i w:val="0"/>
          <w:sz w:val="19"/>
        </w:rPr>
        <w:t>[ ] Check the calculation for the actual polynomial L(n), or leave the constants explicitly illustrative as in the manuscript.</w:t>
      </w:r>
    </w:p>
    <w:p>
      <w:pPr>
        <w:spacing w:after="40"/>
        <w:ind w:left="259" w:hanging="259"/>
        <w:widowControl w:val="1"/>
      </w:pPr>
      <w:r>
        <w:rPr>
          <w:rFonts w:ascii="Noto Serif" w:hAnsi="Noto Serif"/>
          <w:b w:val="0"/>
          <w:i w:val="0"/>
          <w:sz w:val="19"/>
        </w:rPr>
        <w:t>[ ] Verify that the overhead exponent remains polynomial for the actual concatenated code.</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844816"/>
          <w:sz w:val="28"/>
        </w:rPr>
        <w:t>5.18. Complete-circuit bad event and good-history exactness</w:t>
      </w:r>
    </w:p>
    <w:tbl>
      <w:tblPr>
        <w:tblW w:type="auto" w:w="0"/>
        <w:jc w:val="center"/>
        <w:tblLayout w:type="fixed"/>
        <w:tblLook w:firstColumn="1" w:firstRow="1" w:lastColumn="0" w:lastRow="0" w:noHBand="0" w:noVBand="1" w:val="04A0"/>
      </w:tblPr>
      <w:tblGrid>
        <w:gridCol w:w="9576"/>
      </w:tblGrid>
      <w:tr>
        <w:trPr>
          <w:cantSplit/>
        </w:trPr>
        <w:tc>
          <w:tcPr>
            <w:tcW w:type="dxa" w:w="10224"/>
            <w:shd w:fill="FDECEC"/>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Critical verification gate</w:t>
            </w:r>
          </w:p>
          <w:p>
            <w:pPr>
              <w:spacing w:after="0"/>
            </w:pPr>
            <w:r>
              <w:rPr>
                <w:rFonts w:ascii="Noto Serif" w:hAnsi="Noto Serif"/>
                <w:b w:val="0"/>
                <w:i w:val="0"/>
                <w:sz w:val="18"/>
              </w:rPr>
              <w:t>Do not sign the final amber declaration until this module passes or the manuscript is revised to remove the claim.</w:t>
            </w:r>
          </w:p>
        </w:tc>
      </w:tr>
    </w:tbl>
    <w:p>
      <w:pPr>
        <w:spacing w:after="0"/>
        <w:widowControl w:val="1"/>
      </w:pP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sz w:val="20"/>
                <w:color w:val="246B36"/>
              </w:rPr>
              <w:t>Revised manuscript status</w:t>
            </w:r>
          </w:p>
          <w:p>
            <w:pPr>
              <w:spacing w:after="0"/>
            </w:pPr>
            <w:r>
              <w:rPr>
                <w:rFonts w:ascii="Noto Serif" w:hAnsi="Noto Serif"/>
                <w:b w:val="0"/>
                <w:i w:val="0"/>
                <w:sz w:val="18"/>
              </w:rPr>
              <w:t>The theorem now includes all L(n) logical locations and states as an assumption that a history with no incorrect or nontransparent logical location implements the ideal logical computation and transparent readout. Verify that this assumption matches the chosen fault-tolerant architecture.</w:t>
            </w:r>
          </w:p>
        </w:tc>
      </w:tr>
    </w:tbl>
    <w:p>
      <w:pPr>
        <w:spacing w:after="0"/>
        <w:widowControl w:val="1"/>
      </w:pPr>
    </w:p>
    <w:p>
      <w:pPr>
        <w:keepLines w:val="0"/>
        <w:spacing w:after="80" w:before="0"/>
        <w:widowControl w:val="1"/>
      </w:pPr>
      <w:r>
        <w:rPr>
          <w:rFonts w:ascii="Noto Serif" w:hAnsi="Noto Serif"/>
          <w:b w:val="0"/>
          <w:i w:val="0"/>
          <w:sz w:val="20"/>
        </w:rPr>
        <w:t>Let B_k be the event that at least one of the L(n) logical locations is incorrect or nontransparent at concatenation level k.</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A1 includes state preparation, verifier, output-code transfer, syndrome operations, and bounded-strength pointer segments in L(n).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closes the earlier interface-only gap.</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For each location, the equilibrium bad probability is at most q_k.</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Definition in A3.</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Pr_μ(B_k) ≤ L(n)q_k.</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Union bound; no independence is needed here.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On B_k^c, A3 asserts that the logical computation is ideal and the readout history is transparent.</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is the exactness assumption required for a Bohmian-basin claim.</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Unique witness: the pointer begins in u&gt;1-p* and enters the marked packet.</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Ideal pointer result.</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No witness: p_f=0, so the marked packet is absent and the current is zero.</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Separate no-instance analysis.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7</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Therefore only B_k can cause a wrong promised-case output.</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Good histories are exactly correct by assumption.</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8</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transported likelihood ratio gives Pr_ρ(failure) ≤ 4L(n)q_k/p*.</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Combine Modules 5.15 and the union bound.</w:t>
            </w:r>
          </w:p>
        </w:tc>
      </w:tr>
    </w:tbl>
    <w:p>
      <w:pPr>
        <w:spacing w:after="0"/>
        <w:widowControl w:val="1"/>
      </w:pPr>
    </w:p>
    <w:p>
      <w:pPr>
        <w:spacing w:after="40"/>
        <w:ind w:left="259" w:hanging="259"/>
        <w:widowControl w:val="1"/>
      </w:pPr>
      <w:r>
        <w:rPr>
          <w:rFonts w:ascii="Noto Serif" w:hAnsi="Noto Serif"/>
          <w:b w:val="0"/>
          <w:i w:val="0"/>
          <w:sz w:val="19"/>
        </w:rPr>
        <w:t>[ ] Verify that every physical operation named in A1 is represented by at least one logical location in L(n).</w:t>
      </w:r>
    </w:p>
    <w:p>
      <w:pPr>
        <w:spacing w:after="40"/>
        <w:ind w:left="259" w:hanging="259"/>
        <w:widowControl w:val="1"/>
      </w:pPr>
      <w:r>
        <w:rPr>
          <w:rFonts w:ascii="Noto Serif" w:hAnsi="Noto Serif"/>
          <w:b w:val="0"/>
          <w:i w:val="0"/>
          <w:sz w:val="19"/>
        </w:rPr>
        <w:t>[ ] Check that bounded-strength segmentation of an O(n) pointer displacement is included in L(n).</w:t>
      </w:r>
    </w:p>
    <w:p>
      <w:pPr>
        <w:spacing w:after="40"/>
        <w:ind w:left="259" w:hanging="259"/>
        <w:widowControl w:val="1"/>
      </w:pPr>
      <w:r>
        <w:rPr>
          <w:rFonts w:ascii="Noto Serif" w:hAnsi="Noto Serif"/>
          <w:b w:val="0"/>
          <w:i w:val="0"/>
          <w:sz w:val="19"/>
        </w:rPr>
        <w:t>[ ] Verify or explicitly accept A3’s exact good-history statement; ordinary diamond-norm closeness alone is not a substitute.</w:t>
      </w:r>
    </w:p>
    <w:p>
      <w:pPr>
        <w:spacing w:after="40"/>
        <w:ind w:left="259" w:hanging="259"/>
        <w:widowControl w:val="1"/>
      </w:pPr>
      <w:r>
        <w:rPr>
          <w:rFonts w:ascii="Noto Serif" w:hAnsi="Noto Serif"/>
          <w:b w:val="0"/>
          <w:i w:val="0"/>
          <w:sz w:val="19"/>
        </w:rPr>
        <w:t>[ ] Confirm that pointer faults, correlated control faults, and all histories outside the proved transparent set are included in q_0.</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keepNext/>
        <w:widowControl w:val="1"/>
      </w:pPr>
      <w:r>
        <w:rPr>
          <w:rFonts w:ascii="Noto Sans" w:hAnsi="Noto Sans"/>
          <w:b/>
          <w:i w:val="0"/>
          <w:color w:val="1F5A92"/>
          <w:sz w:val="28"/>
        </w:rPr>
        <w:t>5.19. Complexity-theoretic consequence</w:t>
      </w:r>
    </w:p>
    <w:p>
      <w:pPr>
        <w:keepLines w:val="0"/>
        <w:spacing w:after="80" w:before="0"/>
        <w:widowControl w:val="1"/>
      </w:pPr>
      <w:r>
        <w:rPr>
          <w:rFonts w:ascii="Noto Serif" w:hAnsi="Noto Serif"/>
          <w:b w:val="0"/>
          <w:i w:val="0"/>
          <w:sz w:val="20"/>
        </w:rPr>
        <w:t>The revised manuscript now states a randomized decision consequence and treats witness recovery separately. Verify each logical implication rather than relying on a slogan about NP search.</w:t>
      </w:r>
    </w:p>
    <w:tbl>
      <w:tblPr>
        <w:tblW w:type="auto" w:w="0"/>
        <w:jc w:val="center"/>
        <w:tblLayout w:type="fixed"/>
        <w:tblLook w:firstColumn="1" w:firstRow="1" w:lastColumn="0" w:lastRow="0" w:noHBand="0" w:noVBand="1" w:val="04A0"/>
      </w:tblPr>
      <w:tblGrid>
        <w:gridCol w:w="691"/>
        <w:gridCol w:w="3960"/>
        <w:gridCol w:w="4680"/>
      </w:tblGrid>
      <w:tr>
        <w:trPr>
          <w:tblHeader w:val="true"/>
          <w:cantSplit/>
        </w:trPr>
        <w:tc>
          <w:tcPr>
            <w:tcW w:type="dxa" w:w="3408"/>
            <w:shd w:fill="E2F0D9"/>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sz w:val="17"/>
                <w:color w:val="246B36"/>
              </w:rPr>
              <w:t>Step</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Statement / calculation</w:t>
            </w:r>
          </w:p>
        </w:tc>
        <w:tc>
          <w:tcPr>
            <w:tcW w:type="dxa" w:w="3408"/>
            <w:shd w:fill="DCE8F1"/>
            <w:tcMar>
              <w:top w:w="70" w:type="dxa"/>
              <w:start w:w="80" w:type="dxa"/>
              <w:bottom w:w="70" w:type="dxa"/>
              <w:end w:w="80" w:type="dxa"/>
            </w:tcMar>
            <w:vAlign w:val="center"/>
            <w:tcBorders>
              <w:top w:val="single" w:sz="2" w:color="C7D0D8"/>
              <w:left w:val="single" w:sz="2" w:color="C7D0D8"/>
              <w:bottom w:val="single" w:sz="2" w:color="C7D0D8"/>
              <w:right w:val="single" w:sz="2" w:color="C7D0D8"/>
            </w:tcBorders>
          </w:tcPr>
          <w:p>
            <w:r>
              <w:rPr>
                <w:rFonts w:ascii="Noto Sans" w:hAnsi="Noto Sans"/>
                <w:b/>
                <w:i w:val="0"/>
                <w:color w:val="1E3C55"/>
                <w:sz w:val="17"/>
              </w:rPr>
              <w:t>Reason or check</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1</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Unsatisfiable input: every formula produced by the isolation reduction is unsatisfiable.</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Required for soundness on zero instances.</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2</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Satisfiable input: with inverse-polynomial probability, a derived formula has exactly one satisfying assignment.</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isolation guarantee.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3</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promise solver may behave arbitrarily on derived formulas with more than one solution.</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A promise-problem solver has no obligation off the promise.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4</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Repeat the isolation experiment polynomially many times and amplify the bounded-error promise solver.</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Raises the inverse-polynomial success probability to a constant or smaller error.</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5</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This yields a randomized polynomial-time SAT decision procedure in the enlarged subquantum model.</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The conclusion is randomized and model-relative.</w:t>
            </w:r>
          </w:p>
        </w:tc>
      </w:tr>
      <w:tr>
        <w:trPr>
          <w:cantSplit/>
        </w:trPr>
        <w:tc>
          <w:tcPr>
            <w:tcW w:type="dxa" w:w="691"/>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pPr>
              <w:jc w:val="center"/>
            </w:pPr>
            <w:r>
              <w:rPr>
                <w:rFonts w:ascii="Noto Serif" w:hAnsi="Noto Serif"/>
                <w:b w:val="0"/>
                <w:i w:val="0"/>
                <w:sz w:val="17"/>
              </w:rPr>
              <w:t>6</w:t>
            </w:r>
          </w:p>
        </w:tc>
        <w:tc>
          <w:tcPr>
            <w:tcW w:type="dxa" w:w="396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Recover a witness by SAT self-reduction: fix variables one at a time using repeated decision queries.</w:t>
            </w:r>
          </w:p>
        </w:tc>
        <w:tc>
          <w:tcPr>
            <w:tcW w:type="dxa" w:w="4680"/>
            <w:tcMar>
              <w:top w:w="55" w:type="dxa"/>
              <w:start w:w="65" w:type="dxa"/>
              <w:bottom w:w="55" w:type="dxa"/>
              <w:end w:w="65" w:type="dxa"/>
            </w:tcMar>
            <w:vAlign w:val="top"/>
            <w:tcBorders>
              <w:top w:val="single" w:sz="2" w:color="C7D0D8"/>
              <w:left w:val="single" w:sz="2" w:color="C7D0D8"/>
              <w:bottom w:val="single" w:sz="2" w:color="C7D0D8"/>
              <w:right w:val="single" w:sz="2" w:color="C7D0D8"/>
            </w:tcBorders>
          </w:tcPr>
          <w:p>
            <w:r>
              <w:rPr>
                <w:rFonts w:ascii="Noto Serif" w:hAnsi="Noto Serif"/>
                <w:b w:val="0"/>
                <w:i w:val="0"/>
                <w:sz w:val="17"/>
              </w:rPr>
              <w:t>Decision-to-search is a separate standard argument.</w:t>
            </w:r>
          </w:p>
        </w:tc>
      </w:tr>
    </w:tbl>
    <w:p>
      <w:pPr>
        <w:spacing w:after="40"/>
        <w:ind w:left="259" w:hanging="259"/>
        <w:widowControl w:val="1"/>
      </w:pPr>
      <w:r>
        <w:rPr>
          <w:rFonts w:ascii="Noto Serif" w:hAnsi="Noto Serif"/>
          <w:b w:val="0"/>
          <w:i w:val="0"/>
          <w:sz w:val="19"/>
        </w:rPr>
        <w:t>[ ] Read the original Valiant-Vazirani paper, not only a secondary summary.</w:t>
      </w:r>
    </w:p>
    <w:p>
      <w:pPr>
        <w:spacing w:after="40"/>
        <w:ind w:left="259" w:hanging="259"/>
        <w:widowControl w:val="1"/>
      </w:pPr>
      <w:r>
        <w:rPr>
          <w:rFonts w:ascii="Noto Serif" w:hAnsi="Noto Serif"/>
          <w:b w:val="0"/>
          <w:i w:val="0"/>
          <w:sz w:val="19"/>
        </w:rPr>
        <w:t>[ ] Record the precise promise problem: distinguish unsatisfiable instances from instances with exactly one satisfying assignment.</w:t>
      </w:r>
    </w:p>
    <w:p>
      <w:pPr>
        <w:spacing w:after="40"/>
        <w:ind w:left="259" w:hanging="259"/>
        <w:widowControl w:val="1"/>
      </w:pPr>
      <w:r>
        <w:rPr>
          <w:rFonts w:ascii="Noto Serif" w:hAnsi="Noto Serif"/>
          <w:b w:val="0"/>
          <w:i w:val="0"/>
          <w:sz w:val="19"/>
        </w:rPr>
        <w:t>[ ] Record the type of randomized reduction and its success probability.</w:t>
      </w:r>
    </w:p>
    <w:p>
      <w:pPr>
        <w:spacing w:after="40"/>
        <w:ind w:left="259" w:hanging="259"/>
        <w:widowControl w:val="1"/>
      </w:pPr>
      <w:r>
        <w:rPr>
          <w:rFonts w:ascii="Noto Serif" w:hAnsi="Noto Serif"/>
          <w:b w:val="0"/>
          <w:i w:val="0"/>
          <w:sz w:val="19"/>
        </w:rPr>
        <w:t>[ ] Check how many repetitions are needed to raise the isolation success probability to a constant.</w:t>
      </w:r>
    </w:p>
    <w:p>
      <w:pPr>
        <w:spacing w:after="40"/>
        <w:ind w:left="259" w:hanging="259"/>
        <w:widowControl w:val="1"/>
      </w:pPr>
      <w:r>
        <w:rPr>
          <w:rFonts w:ascii="Noto Serif" w:hAnsi="Noto Serif"/>
          <w:b w:val="0"/>
          <w:i w:val="0"/>
          <w:sz w:val="19"/>
        </w:rPr>
        <w:t>[ ] Verify the variable-fixing SAT self-reduction and the polynomial number of decision calls needed to recover a witness.</w:t>
      </w:r>
    </w:p>
    <w:p>
      <w:pPr>
        <w:spacing w:after="40"/>
        <w:ind w:left="259" w:hanging="259"/>
        <w:widowControl w:val="1"/>
      </w:pPr>
      <w:r>
        <w:rPr>
          <w:rFonts w:ascii="Noto Serif" w:hAnsi="Noto Serif"/>
          <w:b w:val="0"/>
          <w:i w:val="0"/>
          <w:sz w:val="19"/>
        </w:rPr>
        <w:t>[ ] Confirm that all language says randomized polynomial time in the enlarged subquantum model, not that ordinary BPP contains NP.</w:t>
      </w:r>
    </w:p>
    <w:tbl>
      <w:tblPr>
        <w:tblW w:type="auto" w:w="0"/>
        <w:jc w:val="center"/>
        <w:tblLayout w:type="fixed"/>
        <w:tblLook w:firstColumn="1" w:firstRow="1" w:lastColumn="0" w:lastRow="0" w:noHBand="0" w:noVBand="1" w:val="04A0"/>
      </w:tblPr>
      <w:tblGrid>
        <w:gridCol w:w="9576"/>
      </w:tblGrid>
      <w:tr>
        <w:trPr>
          <w:cantSplit/>
        </w:trPr>
        <w:tc>
          <w:tcPr>
            <w:tcW w:type="dxa" w:w="10224"/>
            <w:shd w:fill="E2F0D9"/>
            <w:tcBorders>
              <w:top w:val="nil"/>
              <w:left w:val="single" w:sz="18" w:color="1F5A92"/>
              <w:bottom w:val="nil"/>
              <w:right w:val="nil"/>
            </w:tcBorders>
            <w:tcMar>
              <w:top w:w="90" w:type="dxa"/>
              <w:start w:w="130" w:type="dxa"/>
              <w:bottom w:w="90" w:type="dxa"/>
              <w:end w:w="100" w:type="dxa"/>
            </w:tcMar>
          </w:tcPr>
          <w:p>
            <w:pPr>
              <w:spacing w:after="60"/>
            </w:pPr>
            <w:r>
              <w:rPr>
                <w:rFonts w:ascii="Noto Sans" w:hAnsi="Noto Sans"/>
                <w:b/>
                <w:i w:val="0"/>
                <w:color w:val="246B36"/>
                <w:sz w:val="20"/>
              </w:rPr>
              <w:t>Revised manuscript formulation</w:t>
            </w:r>
          </w:p>
          <w:p>
            <w:pPr>
              <w:spacing w:after="0"/>
            </w:pPr>
            <w:r>
              <w:rPr>
                <w:rFonts w:ascii="Noto Serif" w:hAnsi="Noto Serif"/>
                <w:b w:val="0"/>
                <w:i w:val="0"/>
                <w:sz w:val="18"/>
              </w:rPr>
              <w:t>SAT randomized-reduces to repeated zero-versus-one isolation instances. After amplification, the assumed subquantum primitive gives a randomized SAT decision procedure in the enlarged computational model; a satisfying assignment follows by standard self-reduction. No deterministic collapse is claimed.</w:t>
            </w:r>
          </w:p>
        </w:tc>
      </w:tr>
    </w:tbl>
    <w:p>
      <w:pPr>
        <w:spacing w:after="0"/>
        <w:widowControl w:val="1"/>
      </w:pP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1"/>
        <w:widowControl w:val="1"/>
      </w:pPr>
      <w:r>
        <w:t>6. Primary-source and citation audit</w:t>
      </w:r>
    </w:p>
    <w:p>
      <w:pPr>
        <w:keepLines w:val="0"/>
        <w:spacing w:after="80" w:before="0"/>
        <w:widowControl w:val="1"/>
      </w:pPr>
      <w:r>
        <w:rPr>
          <w:rFonts w:ascii="Noto Serif" w:hAnsi="Noto Serif"/>
          <w:b w:val="0"/>
          <w:i w:val="0"/>
          <w:sz w:val="20"/>
        </w:rPr>
        <w:t>For amber classification, references generated or surfaced during AI-assisted work must be independently checked. A DOI resolving is not enough: verify that the paper supports the exact claim, record the page/equation, and note any limitations.</w:t>
      </w:r>
    </w:p>
    <w:p>
      <w:pPr>
        <w:pStyle w:val="Heading2"/>
        <w:widowControl w:val="1"/>
      </w:pPr>
      <w:r>
        <w:rPr>
          <w:rFonts w:ascii="Noto Sans" w:hAnsi="Noto Sans"/>
          <w:b/>
          <w:i w:val="0"/>
          <w:color w:val="1F5A92"/>
          <w:sz w:val="24"/>
        </w:rPr>
        <w:t>S1. Springer Nature, “AI use in research practice” (current policy page)</w:t>
      </w:r>
    </w:p>
    <w:p>
      <w:pPr>
        <w:spacing w:after="60"/>
        <w:widowControl w:val="1"/>
      </w:pPr>
      <w:hyperlink r:id="rId11">
        <w:r>
          <w:rPr>
            <w:color w:val="1F5A92"/>
            <w:u w:val="single"/>
            <w:rFonts w:ascii="Noto Sans" w:hAnsi="Noto Sans"/>
          </w:rPr>
          <w:t>https://www.springernature.com/gp/policies/editorial-policies/using-ai-in-research</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Amber use may include AI contributions to analytical or interpretive work.</w:t>
      </w:r>
    </w:p>
    <w:p>
      <w:pPr>
        <w:pStyle w:val="ListBullet"/>
        <w:spacing w:after="40"/>
        <w:widowControl w:val="1"/>
      </w:pPr>
      <w:r>
        <w:rPr>
          <w:rFonts w:ascii="Noto Serif" w:hAnsi="Noto Serif"/>
          <w:b w:val="0"/>
          <w:i w:val="0"/>
          <w:sz w:val="19"/>
        </w:rPr>
        <w:t>Human validation, methodological description, transparency, and accountability are required.</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Read the complete page on the date of submission.</w:t>
      </w:r>
    </w:p>
    <w:p>
      <w:pPr>
        <w:spacing w:after="40"/>
        <w:ind w:left="259" w:hanging="259"/>
        <w:widowControl w:val="1"/>
      </w:pPr>
      <w:r>
        <w:rPr>
          <w:rFonts w:ascii="Noto Serif" w:hAnsi="Noto Serif"/>
          <w:b w:val="0"/>
          <w:i w:val="0"/>
          <w:sz w:val="19"/>
        </w:rPr>
        <w:t>[ ] Save a PDF or screenshot showing the traffic-light table.</w:t>
      </w:r>
    </w:p>
    <w:p>
      <w:pPr>
        <w:spacing w:after="40"/>
        <w:ind w:left="259" w:hanging="259"/>
        <w:widowControl w:val="1"/>
      </w:pPr>
      <w:r>
        <w:rPr>
          <w:rFonts w:ascii="Noto Serif" w:hAnsi="Noto Serif"/>
          <w:b w:val="0"/>
          <w:i w:val="0"/>
          <w:sz w:val="19"/>
        </w:rPr>
        <w:t>[ ] Confirm that the final declaration describes both purpose and validation.</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widowControl w:val="1"/>
      </w:pPr>
      <w:r>
        <w:rPr>
          <w:rFonts w:ascii="Noto Sans" w:hAnsi="Noto Sans"/>
          <w:b/>
          <w:i w:val="0"/>
          <w:color w:val="1F5A92"/>
          <w:sz w:val="24"/>
        </w:rPr>
        <w:t>S2. Springer Nature, “AI use in manuscript preparation”</w:t>
      </w:r>
    </w:p>
    <w:p>
      <w:pPr>
        <w:spacing w:after="60"/>
        <w:widowControl w:val="1"/>
      </w:pPr>
      <w:hyperlink r:id="rId12">
        <w:r>
          <w:rPr>
            <w:color w:val="1F5A92"/>
            <w:u w:val="single"/>
            <w:rFonts w:ascii="Noto Sans" w:hAnsi="Noto Sans"/>
          </w:rPr>
          <w:t>https://www.springernature.com/gp/policies/editorial-policies/ai-manuscript-preparation</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AI may assist structuring or shaping text under amber conditions.</w:t>
      </w:r>
    </w:p>
    <w:p>
      <w:pPr>
        <w:pStyle w:val="ListBullet"/>
        <w:spacing w:after="40"/>
        <w:widowControl w:val="1"/>
      </w:pPr>
      <w:r>
        <w:rPr>
          <w:rFonts w:ascii="Noto Serif" w:hAnsi="Noto Serif"/>
          <w:b w:val="0"/>
          <w:i w:val="0"/>
          <w:sz w:val="19"/>
        </w:rPr>
        <w:t>AI must not replace authorship or scholarly judgement.</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Check the current wording immediately before submission.</w:t>
      </w:r>
    </w:p>
    <w:p>
      <w:pPr>
        <w:spacing w:after="40"/>
        <w:ind w:left="259" w:hanging="259"/>
        <w:widowControl w:val="1"/>
      </w:pPr>
      <w:r>
        <w:rPr>
          <w:rFonts w:ascii="Noto Serif" w:hAnsi="Noto Serif"/>
          <w:b w:val="0"/>
          <w:i w:val="0"/>
          <w:sz w:val="19"/>
        </w:rPr>
        <w:t>[ ] Confirm that the abstract and declaration do not understate the amount of AI drafting.</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widowControl w:val="1"/>
      </w:pPr>
      <w:r>
        <w:rPr>
          <w:rFonts w:ascii="Noto Sans" w:hAnsi="Noto Sans"/>
          <w:b/>
          <w:i w:val="0"/>
          <w:color w:val="1F5A92"/>
          <w:sz w:val="24"/>
        </w:rPr>
        <w:t>S3. A. Valentini, “De Broglie-Bohm Quantum Mechanics,” arXiv:2409.01294 / Encyclopedia of Mathematical Physics</w:t>
      </w:r>
    </w:p>
    <w:p>
      <w:pPr>
        <w:spacing w:after="60"/>
        <w:widowControl w:val="1"/>
      </w:pPr>
      <w:hyperlink r:id="rId14">
        <w:r>
          <w:rPr>
            <w:color w:val="1F5A92"/>
            <w:u w:val="single"/>
            <w:rFonts w:ascii="Noto Sans" w:hAnsi="Noto Sans"/>
          </w:rPr>
          <w:t>https://arxiv.org/abs/2409.01294</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Pilot-wave continuity and guidance equations.</w:t>
      </w:r>
    </w:p>
    <w:p>
      <w:pPr>
        <w:pStyle w:val="ListBullet"/>
        <w:spacing w:after="40"/>
        <w:widowControl w:val="1"/>
      </w:pPr>
      <w:r>
        <w:rPr>
          <w:rFonts w:ascii="Noto Serif" w:hAnsi="Noto Serif"/>
          <w:b w:val="0"/>
          <w:i w:val="0"/>
          <w:sz w:val="19"/>
        </w:rPr>
        <w:t>Measurement interaction H_I = a ω p_y and translated packets.</w:t>
      </w:r>
    </w:p>
    <w:p>
      <w:pPr>
        <w:pStyle w:val="ListBullet"/>
        <w:spacing w:after="40"/>
        <w:widowControl w:val="1"/>
      </w:pPr>
      <w:r>
        <w:rPr>
          <w:rFonts w:ascii="Noto Serif" w:hAnsi="Noto Serif"/>
          <w:b w:val="0"/>
          <w:i w:val="0"/>
          <w:sz w:val="19"/>
        </w:rPr>
        <w:t>df/dt = 0 for f = ρ/|ψ|².</w:t>
      </w:r>
    </w:p>
    <w:p>
      <w:pPr>
        <w:pStyle w:val="ListBullet"/>
        <w:spacing w:after="40"/>
        <w:widowControl w:val="1"/>
      </w:pPr>
      <w:r>
        <w:rPr>
          <w:rFonts w:ascii="Noto Serif" w:hAnsi="Noto Serif"/>
          <w:b w:val="0"/>
          <w:i w:val="0"/>
          <w:sz w:val="19"/>
        </w:rPr>
        <w:t>The open question about polynomial versus exponential nonequilibrium-resource scaling.</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Check PDF pages 2-7 and 12 (printed pages 2, 5, 7, 12).</w:t>
      </w:r>
    </w:p>
    <w:p>
      <w:pPr>
        <w:spacing w:after="40"/>
        <w:ind w:left="259" w:hanging="259"/>
        <w:widowControl w:val="1"/>
      </w:pPr>
      <w:r>
        <w:rPr>
          <w:rFonts w:ascii="Noto Serif" w:hAnsi="Noto Serif"/>
          <w:b w:val="0"/>
          <w:i w:val="0"/>
          <w:sz w:val="19"/>
        </w:rPr>
        <w:t>[ ] Record Eqs. (2)-(5), (18)-(21), and the exact open-question passage.</w:t>
      </w:r>
    </w:p>
    <w:p>
      <w:pPr>
        <w:spacing w:after="40"/>
        <w:ind w:left="259" w:hanging="259"/>
        <w:widowControl w:val="1"/>
      </w:pPr>
      <w:r>
        <w:rPr>
          <w:rFonts w:ascii="Noto Serif" w:hAnsi="Noto Serif"/>
          <w:b w:val="0"/>
          <w:i w:val="0"/>
          <w:sz w:val="19"/>
        </w:rPr>
        <w:t>[ ] Confirm the 2025 encyclopedia bibliographic metadata and DOI.</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widowControl w:val="1"/>
      </w:pPr>
      <w:r>
        <w:rPr>
          <w:rFonts w:ascii="Noto Sans" w:hAnsi="Noto Sans"/>
          <w:b/>
          <w:i w:val="0"/>
          <w:color w:val="1F5A92"/>
          <w:sz w:val="24"/>
        </w:rPr>
        <w:t>S4. A. Valentini, “Subquantum Information and Computation,” Pramana 59, 269-277 (2002)</w:t>
      </w:r>
    </w:p>
    <w:p>
      <w:pPr>
        <w:spacing w:after="60"/>
        <w:widowControl w:val="1"/>
      </w:pPr>
      <w:hyperlink r:id="rId15">
        <w:r>
          <w:rPr>
            <w:color w:val="1F5A92"/>
            <w:u w:val="single"/>
            <w:rFonts w:ascii="Noto Sans" w:hAnsi="Noto Sans"/>
          </w:rPr>
          <w:t>https://arxiv.org/abs/quant-ph/0203049</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Nonequilibrium apparatus distributions and subquantum measurement.</w:t>
      </w:r>
    </w:p>
    <w:p>
      <w:pPr>
        <w:pStyle w:val="ListBullet"/>
        <w:spacing w:after="40"/>
        <w:widowControl w:val="1"/>
      </w:pPr>
      <w:r>
        <w:rPr>
          <w:rFonts w:ascii="Noto Serif" w:hAnsi="Noto Serif"/>
          <w:b w:val="0"/>
          <w:i w:val="0"/>
          <w:sz w:val="19"/>
        </w:rPr>
        <w:t>The proposal to use such measurement computationally.</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Read Sections 4 and 7 in the PDF.</w:t>
      </w:r>
    </w:p>
    <w:p>
      <w:pPr>
        <w:spacing w:after="40"/>
        <w:ind w:left="259" w:hanging="259"/>
        <w:widowControl w:val="1"/>
      </w:pPr>
      <w:r>
        <w:rPr>
          <w:rFonts w:ascii="Noto Serif" w:hAnsi="Noto Serif"/>
          <w:b w:val="0"/>
          <w:i w:val="0"/>
          <w:sz w:val="19"/>
        </w:rPr>
        <w:t>[ ] Check that the manuscript does not attribute the new tail-conditioned construction to Valentini.</w:t>
      </w:r>
    </w:p>
    <w:p>
      <w:pPr>
        <w:spacing w:after="40"/>
        <w:ind w:left="259" w:hanging="259"/>
        <w:widowControl w:val="1"/>
      </w:pPr>
      <w:r>
        <w:rPr>
          <w:rFonts w:ascii="Noto Serif" w:hAnsi="Noto Serif"/>
          <w:b w:val="0"/>
          <w:i w:val="0"/>
          <w:sz w:val="19"/>
        </w:rPr>
        <w:t>[ ] Record the exact scope of Valentini’s computational claim.</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widowControl w:val="1"/>
      </w:pPr>
      <w:r>
        <w:rPr>
          <w:rFonts w:ascii="Noto Sans" w:hAnsi="Noto Sans"/>
          <w:b/>
          <w:i w:val="0"/>
          <w:color w:val="1F5A92"/>
          <w:sz w:val="24"/>
        </w:rPr>
        <w:t>S5. A. Valentini, “Signal-locality, uncertainty, and the subquantum H-theorem. I,” Phys. Lett. A 156, 5-11 (1991)</w:t>
      </w:r>
    </w:p>
    <w:p>
      <w:pPr>
        <w:spacing w:after="60"/>
        <w:widowControl w:val="1"/>
      </w:pPr>
      <w:hyperlink r:id="rId16">
        <w:r>
          <w:rPr>
            <w:color w:val="1F5A92"/>
            <w:u w:val="single"/>
            <w:rFonts w:ascii="Noto Sans" w:hAnsi="Noto Sans"/>
          </w:rPr>
          <w:t>https://doi.org/10.1016/0375-9601(91)90116-P</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Historical source for quantum nonequilibrium and the coarse-grained H-theorem.</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Verify title, volume, pages, year, and DOI.</w:t>
      </w:r>
    </w:p>
    <w:p>
      <w:pPr>
        <w:spacing w:after="40"/>
        <w:ind w:left="259" w:hanging="259"/>
        <w:widowControl w:val="1"/>
      </w:pPr>
      <w:r>
        <w:rPr>
          <w:rFonts w:ascii="Noto Serif" w:hAnsi="Noto Serif"/>
          <w:b w:val="0"/>
          <w:i w:val="0"/>
          <w:sz w:val="19"/>
        </w:rPr>
        <w:t>[ ] Check whether it is necessary for each sentence currently citing it, or whether the review is the direct source.</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pPr>
      <w:r>
        <w:t>S6. R. Laflamme, C. Miquel, J. P. Paz, and W. H. Zurek, “Perfect Quantum Error Correcting Code,” Phys. Rev. Lett. 77, 198–201 (1996)</w:t>
      </w:r>
    </w:p>
    <w:p>
      <w:pPr/>
      <w:r>
        <w:t>https://doi.org/10.1103/PhysRevLett.77.198</w:t>
      </w:r>
    </w:p>
    <w:p>
      <w:pPr/>
      <w:r>
        <w:t>Claims in the manuscript that this source is being used to support:</w:t>
      </w:r>
    </w:p>
    <w:p>
      <w:pPr>
        <w:pStyle w:val="ListBullet"/>
      </w:pPr>
      <w:r>
        <w:t>The five-qubit [[5,1,3]] code is a perfect nondegenerate code correcting every one-qubit error.</w:t>
      </w:r>
    </w:p>
    <w:p>
      <w:pPr>
        <w:pStyle w:val="ListBullet"/>
      </w:pPr>
      <w:r>
        <w:t>The identity and fifteen one-qubit Pauli errors generate sixteen mutually orthogonal two-dimensional syndrome sectors, exhausting the 32-dimensional physical Hilbert space.</w:t>
      </w:r>
    </w:p>
    <w:p>
      <w:pPr/>
      <w:r>
        <w:t>Human verification:</w:t>
      </w:r>
    </w:p>
    <w:p>
      <w:pPr/>
      <w:r>
        <w:t>[ ] Read the original code construction and verify the stated parameters [[5,1,3]].</w:t>
      </w:r>
    </w:p>
    <w:p>
      <w:pPr/>
      <w:r>
        <w:t>[ ] Check that the code is nondegenerate for the chosen correctable Pauli set.</w:t>
      </w:r>
    </w:p>
    <w:p>
      <w:pPr/>
      <w:r>
        <w:t>[ ] Verify the dimension count 16 × 2 = 32 and the claim that the syndrome sectors exhaust the five-qubit Hilbert space.</w:t>
      </w:r>
    </w:p>
    <w:p>
      <w:pPr/>
      <w:r>
        <w:t>[ ] Confirm that the manuscript does not attribute the error-transparent pointer construction itself to this source.</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pStyle w:val="Heading2"/>
        <w:widowControl w:val="1"/>
      </w:pPr>
      <w:r>
        <w:rPr>
          <w:rFonts w:ascii="Noto Sans" w:hAnsi="Noto Sans"/>
          <w:b/>
          <w:i w:val="0"/>
          <w:color w:val="1F5A92"/>
          <w:sz w:val="24"/>
        </w:rPr>
        <w:t>S7. E. Knill and R. Laflamme, “Theory of Quantum Error-Correcting Codes,” Phys. Rev. A 55, 900-911 (1997)</w:t>
      </w:r>
    </w:p>
    <w:p>
      <w:pPr>
        <w:spacing w:after="60"/>
        <w:widowControl w:val="1"/>
      </w:pPr>
      <w:hyperlink r:id="rId17">
        <w:r>
          <w:rPr>
            <w:color w:val="1F5A92"/>
            <w:u w:val="single"/>
            <w:rFonts w:ascii="Noto Sans" w:hAnsi="Noto Sans"/>
          </w:rPr>
          <w:t>https://arxiv.org/abs/quant-ph/9604034</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Necessary and sufficient correctability conditions.</w:t>
      </w:r>
    </w:p>
    <w:p>
      <w:pPr>
        <w:pStyle w:val="ListBullet"/>
        <w:spacing w:after="40"/>
        <w:widowControl w:val="1"/>
      </w:pPr>
      <w:r>
        <w:rPr>
          <w:rFonts w:ascii="Noto Serif" w:hAnsi="Noto Serif"/>
          <w:b w:val="0"/>
          <w:i w:val="0"/>
          <w:sz w:val="19"/>
        </w:rPr>
        <w:t>Logical-state-independent syndrome/environment information.</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Read Theorem 3.2 and Eqs. (19)-(20).</w:t>
      </w:r>
    </w:p>
    <w:p>
      <w:pPr>
        <w:spacing w:after="40"/>
        <w:ind w:left="259" w:hanging="259"/>
        <w:widowControl w:val="1"/>
      </w:pPr>
      <w:r>
        <w:rPr>
          <w:rFonts w:ascii="Noto Serif" w:hAnsi="Noto Serif"/>
          <w:b w:val="0"/>
          <w:i w:val="0"/>
          <w:sz w:val="19"/>
        </w:rPr>
        <w:t>[ ] Read the tensor-product syndrome characterization in the later part of Section 3.</w:t>
      </w:r>
    </w:p>
    <w:p>
      <w:pPr>
        <w:spacing w:after="40"/>
        <w:ind w:left="259" w:hanging="259"/>
        <w:widowControl w:val="1"/>
      </w:pPr>
      <w:r>
        <w:rPr>
          <w:rFonts w:ascii="Noto Serif" w:hAnsi="Noto Serif"/>
          <w:b w:val="0"/>
          <w:i w:val="0"/>
          <w:sz w:val="19"/>
        </w:rPr>
        <w:t>[ ] Verify the logical⊗syndrome factorization and the claim that correctable syndrome information is independent of the logical state.</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widowControl w:val="1"/>
      </w:pPr>
      <w:r>
        <w:rPr>
          <w:rFonts w:ascii="Noto Sans" w:hAnsi="Noto Sans"/>
          <w:b/>
          <w:i w:val="0"/>
          <w:color w:val="1F5A92"/>
          <w:sz w:val="24"/>
        </w:rPr>
        <w:t>S8. O. Vy, X. Wang, and K. Jacobs, “Error-transparent evolution,” New J. Phys. 15, 053002 (2013)</w:t>
      </w:r>
    </w:p>
    <w:p>
      <w:pPr>
        <w:spacing w:after="60"/>
        <w:widowControl w:val="1"/>
      </w:pPr>
      <w:hyperlink r:id="rId18">
        <w:r>
          <w:rPr>
            <w:color w:val="1F5A92"/>
            <w:u w:val="single"/>
            <w:rFonts w:ascii="Noto Sans" w:hAnsi="Noto Sans"/>
          </w:rPr>
          <w:t>https://arxiv.org/abs/1210.8007</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Error-transparent evolution replicates the same logical Hamiltonian in each error space.</w:t>
      </w:r>
    </w:p>
    <w:p>
      <w:pPr>
        <w:pStyle w:val="ListBullet"/>
        <w:spacing w:after="40"/>
        <w:widowControl w:val="1"/>
      </w:pPr>
      <w:r>
        <w:rPr>
          <w:rFonts w:ascii="Noto Serif" w:hAnsi="Noto Serif"/>
          <w:b w:val="0"/>
          <w:i w:val="0"/>
          <w:sz w:val="19"/>
        </w:rPr>
        <w:t>Higher-body interactions may be required.</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Check Eq. (1) and the construction H = H_0 + Σ_i H_i.</w:t>
      </w:r>
    </w:p>
    <w:p>
      <w:pPr>
        <w:spacing w:after="40"/>
        <w:ind w:left="259" w:hanging="259"/>
        <w:widowControl w:val="1"/>
      </w:pPr>
      <w:r>
        <w:rPr>
          <w:rFonts w:ascii="Noto Serif" w:hAnsi="Noto Serif"/>
          <w:b w:val="0"/>
          <w:i w:val="0"/>
          <w:sz w:val="19"/>
        </w:rPr>
        <w:t>[ ] Check the body-ness results and do not generalize them beyond their assumptions.</w:t>
      </w:r>
    </w:p>
    <w:p>
      <w:pPr>
        <w:spacing w:after="40"/>
        <w:ind w:left="259" w:hanging="259"/>
        <w:widowControl w:val="1"/>
      </w:pPr>
      <w:r>
        <w:rPr>
          <w:rFonts w:ascii="Noto Serif" w:hAnsi="Noto Serif"/>
          <w:b w:val="0"/>
          <w:i w:val="0"/>
          <w:sz w:val="19"/>
        </w:rPr>
        <w:t>[ ] Confirm the author name is Os Vy.</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widowControl w:val="1"/>
      </w:pPr>
      <w:r>
        <w:rPr>
          <w:rFonts w:ascii="Noto Sans" w:hAnsi="Noto Sans"/>
          <w:b/>
          <w:i w:val="0"/>
          <w:color w:val="1F5A92"/>
          <w:sz w:val="24"/>
        </w:rPr>
        <w:t>S9. P. Aliferis, D. Gottesman, and J. Preskill, “Quantum accuracy threshold for concatenated distance-3 codes,” QIC 6, 97-165 (2006)</w:t>
      </w:r>
    </w:p>
    <w:p>
      <w:pPr>
        <w:spacing w:after="60"/>
        <w:widowControl w:val="1"/>
      </w:pPr>
      <w:hyperlink r:id="rId19">
        <w:r>
          <w:rPr>
            <w:color w:val="1F5A92"/>
            <w:u w:val="single"/>
            <w:rFonts w:ascii="Noto Sans" w:hAnsi="Noto Sans"/>
          </w:rPr>
          <w:t>https://arxiv.org/abs/quant-ph/0504218</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For independent stochastic faults, bad exRec probabilities obey a quadratic recursion and fall doubly exponentially below threshold.</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Read printed page 10, Eqs. (4)-(6).</w:t>
      </w:r>
    </w:p>
    <w:p>
      <w:pPr>
        <w:spacing w:after="40"/>
        <w:ind w:left="259" w:hanging="259"/>
        <w:widowControl w:val="1"/>
      </w:pPr>
      <w:r>
        <w:rPr>
          <w:rFonts w:ascii="Noto Serif" w:hAnsi="Noto Serif"/>
          <w:b w:val="0"/>
          <w:i w:val="0"/>
          <w:sz w:val="19"/>
        </w:rPr>
        <w:t>[ ] Record the exact stochastic and independence assumptions.</w:t>
      </w:r>
    </w:p>
    <w:p>
      <w:pPr>
        <w:spacing w:after="40"/>
        <w:ind w:left="259" w:hanging="259"/>
        <w:widowControl w:val="1"/>
      </w:pPr>
      <w:r>
        <w:rPr>
          <w:rFonts w:ascii="Noto Serif" w:hAnsi="Noto Serif"/>
          <w:b w:val="0"/>
          <w:i w:val="0"/>
          <w:sz w:val="19"/>
        </w:rPr>
        <w:t>[ ] Check whether the paper’s more general noise results use amplitudes/norms rather than probabilities and avoid conflating the two.</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widowControl w:val="1"/>
      </w:pPr>
      <w:r>
        <w:rPr>
          <w:rFonts w:ascii="Noto Sans" w:hAnsi="Noto Sans"/>
          <w:b/>
          <w:i w:val="0"/>
          <w:color w:val="1F5A92"/>
          <w:sz w:val="24"/>
        </w:rPr>
        <w:t>S10. S. J. Beale et al., “Quantum Error Correction Decoheres Noise,” Phys. Rev. Lett. 121, 190501 (2018)</w:t>
      </w:r>
    </w:p>
    <w:p>
      <w:pPr>
        <w:spacing w:after="60"/>
        <w:widowControl w:val="1"/>
      </w:pPr>
      <w:hyperlink r:id="rId20">
        <w:r>
          <w:rPr>
            <w:color w:val="1F5A92"/>
            <w:u w:val="single"/>
            <w:rFonts w:ascii="Noto Sans" w:hAnsi="Noto Sans"/>
          </w:rPr>
          <w:t>https://arxiv.org/abs/1805.08802</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Syndrome measurements suppress coherent off-diagonal logical noise for local noise in stabilizer codes.</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Read Theorem 2 and its local-noise assumptions.</w:t>
      </w:r>
    </w:p>
    <w:p>
      <w:pPr>
        <w:spacing w:after="40"/>
        <w:ind w:left="259" w:hanging="259"/>
        <w:widowControl w:val="1"/>
      </w:pPr>
      <w:r>
        <w:rPr>
          <w:rFonts w:ascii="Noto Serif" w:hAnsi="Noto Serif"/>
          <w:b w:val="0"/>
          <w:i w:val="0"/>
          <w:sz w:val="19"/>
        </w:rPr>
        <w:t>[ ] Verify the scaling O(r^{d/2}) and what is averaged over syndromes.</w:t>
      </w:r>
    </w:p>
    <w:p>
      <w:pPr>
        <w:spacing w:after="40"/>
        <w:ind w:left="259" w:hanging="259"/>
        <w:widowControl w:val="1"/>
      </w:pPr>
      <w:r>
        <w:rPr>
          <w:rFonts w:ascii="Noto Serif" w:hAnsi="Noto Serif"/>
          <w:b w:val="0"/>
          <w:i w:val="0"/>
          <w:sz w:val="19"/>
        </w:rPr>
        <w:t>[ ] Do not use this as a blanket theorem for arbitrary coherent baths.</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2"/>
        <w:widowControl w:val="1"/>
      </w:pPr>
      <w:r>
        <w:rPr>
          <w:rFonts w:ascii="Noto Sans" w:hAnsi="Noto Sans"/>
          <w:b/>
          <w:i w:val="0"/>
          <w:color w:val="1F5A92"/>
          <w:sz w:val="24"/>
        </w:rPr>
        <w:t>S11. L. G. Valiant and V. V. Vazirani, “NP is as easy as detecting unique solutions,” TCS 47, 85-93 (1986)</w:t>
      </w:r>
    </w:p>
    <w:p>
      <w:pPr>
        <w:spacing w:after="60"/>
        <w:widowControl w:val="1"/>
      </w:pPr>
      <w:hyperlink r:id="rId21">
        <w:r>
          <w:rPr>
            <w:color w:val="1F5A92"/>
            <w:u w:val="single"/>
            <w:rFonts w:ascii="Noto Sans" w:hAnsi="Noto Sans"/>
          </w:rPr>
          <w:t>https://doi.org/10.1016/0304-3975(86)90135-0</w:t>
        </w:r>
      </w:hyperlink>
    </w:p>
    <w:p>
      <w:pPr>
        <w:keepLines w:val="0"/>
        <w:spacing w:after="40" w:before="0"/>
        <w:widowControl w:val="1"/>
      </w:pPr>
      <w:r>
        <w:rPr>
          <w:rFonts w:ascii="Noto Serif" w:hAnsi="Noto Serif"/>
          <w:b/>
          <w:i w:val="0"/>
          <w:sz w:val="20"/>
        </w:rPr>
        <w:t>Claims</w:t>
      </w:r>
      <w:r>
        <w:rPr>
          <w:rFonts w:ascii="Noto Serif" w:hAnsi="Noto Serif"/>
          <w:b w:val="0"/>
          <w:i w:val="0"/>
          <w:sz w:val="20"/>
        </w:rPr>
        <w:t xml:space="preserve"> in the manuscript that this source is being used to support:</w:t>
      </w:r>
    </w:p>
    <w:p>
      <w:pPr>
        <w:pStyle w:val="ListBullet"/>
        <w:spacing w:after="40"/>
        <w:widowControl w:val="1"/>
      </w:pPr>
      <w:r>
        <w:rPr>
          <w:rFonts w:ascii="Noto Serif" w:hAnsi="Noto Serif"/>
          <w:b w:val="0"/>
          <w:i w:val="0"/>
          <w:sz w:val="19"/>
        </w:rPr>
        <w:t>Zero-versus-unique SAT and unique-solution search are hard under randomized reductions.</w:t>
      </w:r>
    </w:p>
    <w:p>
      <w:pPr>
        <w:keepLines w:val="0"/>
        <w:spacing w:after="40" w:before="0"/>
        <w:widowControl w:val="1"/>
      </w:pPr>
      <w:r>
        <w:rPr>
          <w:rFonts w:ascii="Noto Serif" w:hAnsi="Noto Serif"/>
          <w:b/>
          <w:i w:val="0"/>
          <w:sz w:val="20"/>
        </w:rPr>
        <w:t>Human verification:</w:t>
      </w:r>
      <w:r>
        <w:rPr>
          <w:rFonts w:ascii="Noto Serif" w:hAnsi="Noto Serif"/>
          <w:b w:val="0"/>
          <w:i w:val="0"/>
          <w:sz w:val="20"/>
        </w:rPr>
      </w:r>
    </w:p>
    <w:p>
      <w:pPr>
        <w:spacing w:after="40"/>
        <w:ind w:left="259" w:hanging="259"/>
        <w:widowControl w:val="1"/>
      </w:pPr>
      <w:r>
        <w:rPr>
          <w:rFonts w:ascii="Noto Serif" w:hAnsi="Noto Serif"/>
          <w:b w:val="0"/>
          <w:i w:val="0"/>
          <w:sz w:val="19"/>
        </w:rPr>
        <w:t>[ ] Read the original paper.</w:t>
      </w:r>
    </w:p>
    <w:p>
      <w:pPr>
        <w:spacing w:after="40"/>
        <w:ind w:left="259" w:hanging="259"/>
        <w:widowControl w:val="1"/>
      </w:pPr>
      <w:r>
        <w:rPr>
          <w:rFonts w:ascii="Noto Serif" w:hAnsi="Noto Serif"/>
          <w:b w:val="0"/>
          <w:i w:val="0"/>
          <w:sz w:val="19"/>
        </w:rPr>
        <w:t>[ ] Record the exact reduction and promise behavior.</w:t>
      </w:r>
    </w:p>
    <w:p>
      <w:pPr>
        <w:spacing w:after="40"/>
        <w:ind w:left="259" w:hanging="259"/>
        <w:widowControl w:val="1"/>
      </w:pPr>
      <w:r>
        <w:rPr>
          <w:rFonts w:ascii="Noto Serif" w:hAnsi="Noto Serif"/>
          <w:b w:val="0"/>
          <w:i w:val="0"/>
          <w:sz w:val="19"/>
        </w:rPr>
        <w:t>[ ] Check the decision-to-search wording used in the manuscript.</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1"/>
        <w:widowControl w:val="1"/>
      </w:pPr>
      <w:r>
        <w:t>7. Novelty and prior-art search</w:t>
      </w:r>
    </w:p>
    <w:p>
      <w:pPr>
        <w:keepLines w:val="0"/>
        <w:spacing w:after="80" w:before="0"/>
        <w:widowControl w:val="1"/>
      </w:pPr>
      <w:r>
        <w:rPr>
          <w:rFonts w:ascii="Noto Serif" w:hAnsi="Noto Serif"/>
          <w:b w:val="0"/>
          <w:i w:val="0"/>
          <w:sz w:val="20"/>
        </w:rPr>
        <w:t>AI-assisted literature discovery is not a substitute for a systematic human search. Run and record the following queries in at least two scholarly databases, preferably Google Scholar plus arXiv/Web of Science/Scopus or MathSciNet where available.</w:t>
      </w:r>
    </w:p>
    <w:p>
      <w:pPr>
        <w:widowControl w:val="1"/>
      </w:pPr>
      <w:r>
        <w:rPr>
          <w:rFonts w:ascii="Noto Sans Mono" w:hAnsi="Noto Sans Mono"/>
          <w:b w:val="0"/>
          <w:i w:val="0"/>
          <w:sz w:val="17"/>
        </w:rPr>
        <w:t>[ ] "subquantum computation" resource scaling</w:t>
      </w:r>
    </w:p>
    <w:p>
      <w:pPr>
        <w:widowControl w:val="1"/>
      </w:pPr>
      <w:r>
        <w:rPr>
          <w:rFonts w:ascii="Noto Sans Mono" w:hAnsi="Noto Sans Mono"/>
          <w:b w:val="0"/>
          <w:i w:val="0"/>
          <w:sz w:val="17"/>
        </w:rPr>
        <w:t>[ ] "quantum nonequilibrium" computational resource</w:t>
      </w:r>
    </w:p>
    <w:p>
      <w:pPr>
        <w:widowControl w:val="1"/>
      </w:pPr>
      <w:r>
        <w:rPr>
          <w:rFonts w:ascii="Noto Sans Mono" w:hAnsi="Noto Sans Mono"/>
          <w:b w:val="0"/>
          <w:i w:val="0"/>
          <w:sz w:val="17"/>
        </w:rPr>
        <w:t>[ ] Bohmian nonequilibrium computation complexity</w:t>
      </w:r>
    </w:p>
    <w:p>
      <w:pPr>
        <w:widowControl w:val="1"/>
      </w:pPr>
      <w:r>
        <w:rPr>
          <w:rFonts w:ascii="Noto Sans Mono" w:hAnsi="Noto Sans Mono"/>
          <w:b w:val="0"/>
          <w:i w:val="0"/>
          <w:sz w:val="17"/>
        </w:rPr>
        <w:t>[ ] pilot-wave rare branch measurement nonequilibrium</w:t>
      </w:r>
    </w:p>
    <w:p>
      <w:pPr>
        <w:widowControl w:val="1"/>
      </w:pPr>
      <w:r>
        <w:rPr>
          <w:rFonts w:ascii="Noto Sans Mono" w:hAnsi="Noto Sans Mono"/>
          <w:b w:val="0"/>
          <w:i w:val="0"/>
          <w:sz w:val="17"/>
        </w:rPr>
        <w:t>[ ] Bohmian measurement basin cumulative probability</w:t>
      </w:r>
    </w:p>
    <w:p>
      <w:pPr>
        <w:widowControl w:val="1"/>
      </w:pPr>
      <w:r>
        <w:rPr>
          <w:rFonts w:ascii="Noto Sans Mono" w:hAnsi="Noto Sans Mono"/>
          <w:b w:val="0"/>
          <w:i w:val="0"/>
          <w:sz w:val="17"/>
        </w:rPr>
        <w:t>[ ] nonequilibrium relative entropy resource theory pilot wave</w:t>
      </w:r>
    </w:p>
    <w:p>
      <w:pPr>
        <w:widowControl w:val="1"/>
      </w:pPr>
      <w:r>
        <w:rPr>
          <w:rFonts w:ascii="Noto Sans Mono" w:hAnsi="Noto Sans Mono"/>
          <w:b w:val="0"/>
          <w:i w:val="0"/>
          <w:sz w:val="17"/>
        </w:rPr>
        <w:t>[ ] error-transparent logical measurement pointer</w:t>
      </w:r>
    </w:p>
    <w:p>
      <w:pPr>
        <w:widowControl w:val="1"/>
      </w:pPr>
      <w:r>
        <w:rPr>
          <w:rFonts w:ascii="Noto Sans Mono" w:hAnsi="Noto Sans Mono"/>
          <w:b w:val="0"/>
          <w:i w:val="0"/>
          <w:sz w:val="17"/>
        </w:rPr>
        <w:t>[ ] error-transparent Hamiltonian quantum measurement</w:t>
      </w:r>
    </w:p>
    <w:p>
      <w:pPr>
        <w:widowControl w:val="1"/>
      </w:pPr>
      <w:r>
        <w:rPr>
          <w:rFonts w:ascii="Noto Sans Mono" w:hAnsi="Noto Sans Mono"/>
          <w:b w:val="0"/>
          <w:i w:val="0"/>
          <w:sz w:val="17"/>
        </w:rPr>
        <w:t>[ ] fault-tolerant nonlinear quantum computation</w:t>
      </w:r>
    </w:p>
    <w:p>
      <w:pPr>
        <w:widowControl w:val="1"/>
      </w:pPr>
      <w:r>
        <w:rPr>
          <w:rFonts w:ascii="Noto Sans Mono" w:hAnsi="Noto Sans Mono"/>
          <w:b w:val="0"/>
          <w:i w:val="0"/>
          <w:sz w:val="17"/>
        </w:rPr>
        <w:t>[ ] Valentini computation NP nonequilibrium precision</w:t>
      </w:r>
    </w:p>
    <w:p>
      <w:pPr>
        <w:widowControl w:val="1"/>
      </w:pPr>
      <w:r>
        <w:rPr>
          <w:rFonts w:ascii="Noto Sans Mono" w:hAnsi="Noto Sans Mono"/>
          <w:b w:val="0"/>
          <w:i w:val="0"/>
          <w:sz w:val="17"/>
        </w:rPr>
        <w:t>[ ] rare-event reweighting Bohmian measurement</w:t>
      </w:r>
    </w:p>
    <w:p>
      <w:pPr>
        <w:widowControl w:val="1"/>
      </w:pPr>
      <w:r>
        <w:rPr>
          <w:rFonts w:ascii="Noto Sans Mono" w:hAnsi="Noto Sans Mono"/>
          <w:b w:val="0"/>
          <w:i w:val="0"/>
          <w:sz w:val="17"/>
        </w:rPr>
        <w:t>[ ] conditional Born distribution tail pointer hidden variables</w:t>
      </w:r>
    </w:p>
    <w:p>
      <w:pPr>
        <w:pStyle w:val="Heading2"/>
        <w:keepLines w:val="0"/>
        <w:spacing w:after="80" w:before="0"/>
        <w:widowControl w:val="1"/>
      </w:pPr>
      <w:r>
        <w:rPr>
          <w:rFonts w:ascii="Noto Serif" w:hAnsi="Noto Serif"/>
          <w:b w:val="0"/>
          <w:i w:val="0"/>
          <w:sz w:val="20"/>
        </w:rPr>
        <w:t>Search log template</w:t>
      </w:r>
    </w:p>
    <w:tbl>
      <w:tblPr>
        <w:tblW w:type="auto" w:w="0"/>
        <w:jc w:val="center"/>
        <w:tblLayout w:type="fixed"/>
        <w:tblLook w:firstColumn="1" w:firstRow="1" w:lastColumn="0" w:lastRow="0" w:noHBand="0" w:noVBand="1" w:val="04A0"/>
      </w:tblPr>
      <w:tblGrid>
        <w:gridCol w:w="1728"/>
        <w:gridCol w:w="3456"/>
        <w:gridCol w:w="1728"/>
        <w:gridCol w:w="2592"/>
      </w:tblGrid>
      <w:tr>
        <w:trPr>
          <w:tblHeader w:val="true"/>
          <w:cantSplit/>
        </w:trPr>
        <w:tc>
          <w:tcPr>
            <w:tcW w:type="dxa" w:w="2556"/>
            <w:shd w:fill="DCE8F1"/>
            <w:tcBorders>
              <w:top w:val="single" w:sz="2" w:color="C7D0D8"/>
              <w:left w:val="single" w:sz="2" w:color="C7D0D8"/>
              <w:bottom w:val="single" w:sz="2" w:color="C7D0D8"/>
              <w:right w:val="single" w:sz="2" w:color="C7D0D8"/>
            </w:tcBorders>
          </w:tcPr>
          <w:p>
            <w:r>
              <w:rPr>
                <w:rFonts w:ascii="Noto Sans" w:hAnsi="Noto Sans"/>
                <w:b/>
                <w:i w:val="0"/>
                <w:sz w:val="16"/>
              </w:rPr>
              <w:t>Date/database</w:t>
            </w:r>
          </w:p>
        </w:tc>
        <w:tc>
          <w:tcPr>
            <w:tcW w:type="dxa" w:w="2556"/>
            <w:shd w:fill="DCE8F1"/>
            <w:tcBorders>
              <w:top w:val="single" w:sz="2" w:color="C7D0D8"/>
              <w:left w:val="single" w:sz="2" w:color="C7D0D8"/>
              <w:bottom w:val="single" w:sz="2" w:color="C7D0D8"/>
              <w:right w:val="single" w:sz="2" w:color="C7D0D8"/>
            </w:tcBorders>
          </w:tcPr>
          <w:p>
            <w:r>
              <w:rPr>
                <w:rFonts w:ascii="Noto Sans" w:hAnsi="Noto Sans"/>
                <w:b/>
                <w:i w:val="0"/>
                <w:sz w:val="16"/>
              </w:rPr>
              <w:t>Query</w:t>
            </w:r>
          </w:p>
        </w:tc>
        <w:tc>
          <w:tcPr>
            <w:tcW w:type="dxa" w:w="2556"/>
            <w:shd w:fill="DCE8F1"/>
            <w:tcBorders>
              <w:top w:val="single" w:sz="2" w:color="C7D0D8"/>
              <w:left w:val="single" w:sz="2" w:color="C7D0D8"/>
              <w:bottom w:val="single" w:sz="2" w:color="C7D0D8"/>
              <w:right w:val="single" w:sz="2" w:color="C7D0D8"/>
            </w:tcBorders>
          </w:tcPr>
          <w:p>
            <w:r>
              <w:rPr>
                <w:rFonts w:ascii="Noto Sans" w:hAnsi="Noto Sans"/>
                <w:b/>
                <w:i w:val="0"/>
                <w:sz w:val="16"/>
              </w:rPr>
              <w:t>Closest result</w:t>
            </w:r>
          </w:p>
        </w:tc>
        <w:tc>
          <w:tcPr>
            <w:tcW w:type="dxa" w:w="2556"/>
            <w:shd w:fill="DCE8F1"/>
            <w:tcBorders>
              <w:top w:val="single" w:sz="2" w:color="C7D0D8"/>
              <w:left w:val="single" w:sz="2" w:color="C7D0D8"/>
              <w:bottom w:val="single" w:sz="2" w:color="C7D0D8"/>
              <w:right w:val="single" w:sz="2" w:color="C7D0D8"/>
            </w:tcBorders>
          </w:tcPr>
          <w:p>
            <w:r>
              <w:rPr>
                <w:rFonts w:ascii="Noto Sans" w:hAnsi="Noto Sans"/>
                <w:b/>
                <w:i w:val="0"/>
                <w:sz w:val="16"/>
              </w:rPr>
              <w:t>Decision / reason</w:t>
            </w: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r>
        <w:trPr>
          <w:cantSplit/>
        </w:trPr>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3456"/>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1728"/>
            <w:tcMar>
              <w:top w:w="100" w:type="dxa"/>
              <w:start w:w="80" w:type="dxa"/>
              <w:bottom w:w="100" w:type="dxa"/>
              <w:end w:w="80" w:type="dxa"/>
            </w:tcMar>
            <w:tcBorders>
              <w:top w:val="single" w:sz="2" w:color="C7D0D8"/>
              <w:left w:val="single" w:sz="2" w:color="C7D0D8"/>
              <w:bottom w:val="single" w:sz="2" w:color="C7D0D8"/>
              <w:right w:val="single" w:sz="2" w:color="C7D0D8"/>
            </w:tcBorders>
          </w:tcPr>
          <w:p/>
        </w:tc>
        <w:tc>
          <w:tcPr>
            <w:tcW w:type="dxa" w:w="2592"/>
            <w:tcMar>
              <w:top w:w="100" w:type="dxa"/>
              <w:start w:w="80" w:type="dxa"/>
              <w:bottom w:w="100" w:type="dxa"/>
              <w:end w:w="80" w:type="dxa"/>
            </w:tcMar>
            <w:tcBorders>
              <w:top w:val="single" w:sz="2" w:color="C7D0D8"/>
              <w:left w:val="single" w:sz="2" w:color="C7D0D8"/>
              <w:bottom w:val="single" w:sz="2" w:color="C7D0D8"/>
              <w:right w:val="single" w:sz="2" w:color="C7D0D8"/>
            </w:tcBorders>
          </w:tcPr>
          <w:p/>
        </w:tc>
      </w:tr>
    </w:tbl>
    <w:p>
      <w:pPr>
        <w:spacing w:after="40"/>
        <w:ind w:left="259" w:hanging="259"/>
        <w:widowControl w:val="1"/>
      </w:pPr>
      <w:r>
        <w:rPr>
          <w:rFonts w:ascii="Noto Serif" w:hAnsi="Noto Serif"/>
          <w:b w:val="0"/>
          <w:i w:val="0"/>
          <w:sz w:val="19"/>
        </w:rPr>
        <w:t>[ ] Identify the closest prior construction to the cumulative-probability-conditioned pointer.</w:t>
      </w:r>
    </w:p>
    <w:p>
      <w:pPr>
        <w:spacing w:after="40"/>
        <w:ind w:left="259" w:hanging="259"/>
        <w:widowControl w:val="1"/>
      </w:pPr>
      <w:r>
        <w:rPr>
          <w:rFonts w:ascii="Noto Serif" w:hAnsi="Noto Serif"/>
          <w:b w:val="0"/>
          <w:i w:val="0"/>
          <w:sz w:val="19"/>
        </w:rPr>
        <w:t>[ ] Identify any prior paper using relative entropy as a pilot-wave nonequilibrium resource measure.</w:t>
      </w:r>
    </w:p>
    <w:p>
      <w:pPr>
        <w:spacing w:after="40"/>
        <w:ind w:left="259" w:hanging="259"/>
        <w:widowControl w:val="1"/>
      </w:pPr>
      <w:r>
        <w:rPr>
          <w:rFonts w:ascii="Noto Serif" w:hAnsi="Noto Serif"/>
          <w:b w:val="0"/>
          <w:i w:val="0"/>
          <w:sz w:val="19"/>
        </w:rPr>
        <w:t>[ ] Identify prior fault-tolerant nonlinear or hidden-variable computation proposals.</w:t>
      </w:r>
    </w:p>
    <w:p>
      <w:pPr>
        <w:spacing w:after="40"/>
        <w:ind w:left="259" w:hanging="259"/>
        <w:widowControl w:val="1"/>
      </w:pPr>
      <w:r>
        <w:rPr>
          <w:rFonts w:ascii="Noto Serif" w:hAnsi="Noto Serif"/>
          <w:b w:val="0"/>
          <w:i w:val="0"/>
          <w:sz w:val="19"/>
        </w:rPr>
        <w:t>[ ] State the novelty claim narrowly enough to survive the closest result found.</w:t>
      </w:r>
    </w:p>
    <w:p>
      <w:pPr>
        <w:spacing w:after="40"/>
        <w:ind w:left="259" w:hanging="259"/>
        <w:widowControl w:val="1"/>
      </w:pPr>
      <w:r>
        <w:rPr>
          <w:rFonts w:ascii="Noto Serif" w:hAnsi="Noto Serif"/>
          <w:b w:val="0"/>
          <w:i w:val="0"/>
          <w:sz w:val="19"/>
        </w:rPr>
        <w:t>[ ] Retain dated search results as evidence.</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The revised lemma has the needed hypotheses. Verify the monotonicity proof and note that deterministic selection has lower bound ln(1/p*) while the construction uses ln(4/p*).</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1"/>
        <w:widowControl w:val="1"/>
      </w:pPr>
      <w:r>
        <w:t>8. Claim-strength and terminology audit</w:t>
      </w:r>
    </w:p>
    <w:tbl>
      <w:tblPr>
        <w:tblW w:type="auto" w:w="0"/>
        <w:jc w:val="center"/>
        <w:tblLayout w:type="fixed"/>
        <w:tblLook w:firstColumn="1" w:firstRow="1" w:lastColumn="0" w:lastRow="0" w:noHBand="0" w:noVBand="1" w:val="04A0"/>
      </w:tblPr>
      <w:tblGrid>
        <w:gridCol w:w="2448"/>
        <w:gridCol w:w="7056"/>
      </w:tblGrid>
      <w:tr>
        <w:trPr>
          <w:cantSplit/>
        </w:trPr>
        <w:tc>
          <w:tcPr>
            <w:tcW w:type="dxa" w:w="5112"/>
            <w:shd w:fill="F3F4F5"/>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ans" w:hAnsi="Noto Sans"/>
                <w:b/>
                <w:i w:val="0"/>
                <w:sz w:val="18"/>
              </w:rPr>
              <w:t>“Unit probability”</w:t>
            </w:r>
          </w:p>
        </w:tc>
        <w:tc>
          <w:tcPr>
            <w:tcW w:type="dxa" w:w="5112"/>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erif" w:hAnsi="Noto Serif"/>
                <w:b w:val="0"/>
                <w:i w:val="0"/>
                <w:sz w:val="18"/>
              </w:rPr>
              <w:t>Retain only with the explicit design-shell, one-dimensional guidance, packet-separation, ideal no-instance, and good-history qualifications.</w:t>
            </w:r>
          </w:p>
        </w:tc>
      </w:tr>
    </w:tbl>
    <w:tbl>
      <w:tblPr>
        <w:tblW w:type="auto" w:w="0"/>
        <w:jc w:val="center"/>
        <w:tblLayout w:type="fixed"/>
        <w:tblLook w:firstColumn="1" w:firstRow="1" w:lastColumn="0" w:lastRow="0" w:noHBand="0" w:noVBand="1" w:val="04A0"/>
      </w:tblPr>
      <w:tblGrid>
        <w:gridCol w:w="2448"/>
        <w:gridCol w:w="7056"/>
      </w:tblGrid>
      <w:tr>
        <w:trPr>
          <w:cantSplit/>
        </w:trPr>
        <w:tc>
          <w:tcPr>
            <w:tcW w:type="dxa" w:w="5112"/>
            <w:shd w:fill="F3F4F5"/>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ans" w:hAnsi="Noto Sans"/>
                <w:b/>
                <w:i w:val="0"/>
                <w:sz w:val="18"/>
              </w:rPr>
              <w:t>“Matching lower bound”</w:t>
            </w:r>
          </w:p>
        </w:tc>
        <w:tc>
          <w:tcPr>
            <w:tcW w:type="dxa" w:w="5112"/>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erif" w:hAnsi="Noto Serif"/>
                <w:b w:val="0"/>
                <w:i w:val="0"/>
                <w:sz w:val="18"/>
              </w:rPr>
              <w:t>The revised lemma has the needed hypotheses. Verify the monotonicity proof and note that deterministic selection has lower bound ln(1/p*) while the construction uses ln(4/p*).</w:t>
            </w:r>
          </w:p>
        </w:tc>
      </w:tr>
    </w:tbl>
    <w:tbl>
      <w:tblPr>
        <w:tblW w:type="auto" w:w="0"/>
        <w:jc w:val="center"/>
        <w:tblLayout w:type="fixed"/>
        <w:tblLook w:firstColumn="1" w:firstRow="1" w:lastColumn="0" w:lastRow="0" w:noHBand="0" w:noVBand="1" w:val="04A0"/>
      </w:tblPr>
      <w:tblGrid>
        <w:gridCol w:w="2448"/>
        <w:gridCol w:w="7056"/>
      </w:tblGrid>
      <w:tr>
        <w:trPr>
          <w:cantSplit/>
        </w:trPr>
        <w:tc>
          <w:tcPr>
            <w:tcW w:type="dxa" w:w="5112"/>
            <w:shd w:fill="F3F4F5"/>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ans" w:hAnsi="Noto Sans"/>
                <w:b/>
                <w:i w:val="0"/>
                <w:sz w:val="18"/>
              </w:rPr>
              <w:t>“Transparent history”</w:t>
            </w:r>
          </w:p>
        </w:tc>
        <w:tc>
          <w:tcPr>
            <w:tcW w:type="dxa" w:w="5112"/>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erif" w:hAnsi="Noto Serif"/>
                <w:b w:val="0"/>
                <w:i w:val="0"/>
                <w:sz w:val="18"/>
              </w:rPr>
              <w:t>Use only for the one-fault histories and syndrome-only sequences explicitly proved. Every other history is nontransparent and contributes to q_0.</w:t>
            </w:r>
          </w:p>
        </w:tc>
      </w:tr>
    </w:tbl>
    <w:tbl>
      <w:tblPr>
        <w:tblW w:type="auto" w:w="0"/>
        <w:jc w:val="center"/>
        <w:tblLayout w:type="fixed"/>
        <w:tblLook w:firstColumn="1" w:firstRow="1" w:lastColumn="0" w:lastRow="0" w:noHBand="0" w:noVBand="1" w:val="04A0"/>
      </w:tblPr>
      <w:tblGrid>
        <w:gridCol w:w="2448"/>
        <w:gridCol w:w="7056"/>
      </w:tblGrid>
      <w:tr>
        <w:trPr>
          <w:cantSplit/>
        </w:trPr>
        <w:tc>
          <w:tcPr>
            <w:tcW w:type="dxa" w:w="5112"/>
            <w:shd w:fill="F3F4F5"/>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ans" w:hAnsi="Noto Sans"/>
                <w:b/>
                <w:i w:val="0"/>
                <w:sz w:val="18"/>
              </w:rPr>
              <w:t>“Fault-tolerant search”</w:t>
            </w:r>
          </w:p>
        </w:tc>
        <w:tc>
          <w:tcPr>
            <w:tcW w:type="dxa" w:w="5112"/>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erif" w:hAnsi="Noto Serif"/>
                <w:b w:val="0"/>
                <w:i w:val="0"/>
                <w:sz w:val="18"/>
              </w:rPr>
              <w:t>The revised theorem includes the complete L(n)-location circuit. Verify A1–A4 and do not extend the claim to unsyndromed coherent baths.</w:t>
            </w:r>
          </w:p>
        </w:tc>
      </w:tr>
    </w:tbl>
    <w:tbl>
      <w:tblPr>
        <w:tblW w:type="auto" w:w="0"/>
        <w:jc w:val="center"/>
        <w:tblLayout w:type="fixed"/>
        <w:tblLook w:firstColumn="1" w:firstRow="1" w:lastColumn="0" w:lastRow="0" w:noHBand="0" w:noVBand="1" w:val="04A0"/>
      </w:tblPr>
      <w:tblGrid>
        <w:gridCol w:w="2448"/>
        <w:gridCol w:w="7056"/>
      </w:tblGrid>
      <w:tr>
        <w:trPr>
          <w:cantSplit/>
        </w:trPr>
        <w:tc>
          <w:tcPr>
            <w:tcW w:type="dxa" w:w="5112"/>
            <w:shd w:fill="F3F4F5"/>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ans" w:hAnsi="Noto Sans"/>
                <w:b/>
                <w:i w:val="0"/>
                <w:sz w:val="18"/>
              </w:rPr>
              <w:t>“Polynomial total overhead”</w:t>
            </w:r>
          </w:p>
        </w:tc>
        <w:tc>
          <w:tcPr>
            <w:tcW w:type="dxa" w:w="5112"/>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erif" w:hAnsi="Noto Serif"/>
                <w:b w:val="0"/>
                <w:i w:val="0"/>
                <w:sz w:val="18"/>
              </w:rPr>
              <w:t>The proof includes L(n), code overhead M^k, and O(n) pointer segmentation. It excludes the physical cost of producing/maintaining nonequilibrium and realizing the fixed higher-body interface.</w:t>
            </w:r>
          </w:p>
        </w:tc>
      </w:tr>
    </w:tbl>
    <w:tbl>
      <w:tblPr>
        <w:tblW w:type="auto" w:w="0"/>
        <w:jc w:val="center"/>
        <w:tblLayout w:type="fixed"/>
        <w:tblLook w:firstColumn="1" w:firstRow="1" w:lastColumn="0" w:lastRow="0" w:noHBand="0" w:noVBand="1" w:val="04A0"/>
      </w:tblPr>
      <w:tblGrid>
        <w:gridCol w:w="2448"/>
        <w:gridCol w:w="7056"/>
      </w:tblGrid>
      <w:tr>
        <w:trPr>
          <w:cantSplit/>
        </w:trPr>
        <w:tc>
          <w:tcPr>
            <w:tcW w:type="dxa" w:w="5112"/>
            <w:shd w:fill="F3F4F5"/>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ans" w:hAnsi="Noto Sans"/>
                <w:b/>
                <w:i w:val="0"/>
                <w:sz w:val="18"/>
              </w:rPr>
              <w:t>“Marked state”</w:t>
            </w:r>
          </w:p>
        </w:tc>
        <w:tc>
          <w:tcPr>
            <w:tcW w:type="dxa" w:w="5112"/>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erif" w:hAnsi="Noto Serif"/>
                <w:b w:val="0"/>
                <w:i w:val="0"/>
                <w:sz w:val="18"/>
              </w:rPr>
              <w:t>Use this for the unique witness basis state; use “marked subspace” for the Q=1 sector and “marked-state pointer packet” for the translated outcome.</w:t>
            </w:r>
          </w:p>
        </w:tc>
      </w:tr>
    </w:tbl>
    <w:tbl>
      <w:tblPr>
        <w:tblW w:type="auto" w:w="0"/>
        <w:jc w:val="center"/>
        <w:tblLayout w:type="fixed"/>
        <w:tblLook w:firstColumn="1" w:firstRow="1" w:lastColumn="0" w:lastRow="0" w:noHBand="0" w:noVBand="1" w:val="04A0"/>
      </w:tblPr>
      <w:tblGrid>
        <w:gridCol w:w="2448"/>
        <w:gridCol w:w="7056"/>
      </w:tblGrid>
      <w:tr>
        <w:trPr>
          <w:cantSplit/>
        </w:trPr>
        <w:tc>
          <w:tcPr>
            <w:tcW w:type="dxa" w:w="5112"/>
            <w:shd w:fill="F3F4F5"/>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ans" w:hAnsi="Noto Sans"/>
                <w:b/>
                <w:i w:val="0"/>
                <w:sz w:val="18"/>
              </w:rPr>
              <w:t>“Cumulative Born probability”</w:t>
            </w:r>
          </w:p>
        </w:tc>
        <w:tc>
          <w:tcPr>
            <w:tcW w:type="dxa" w:w="5112"/>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erif" w:hAnsi="Noto Serif"/>
                <w:b w:val="0"/>
                <w:i w:val="0"/>
                <w:sz w:val="18"/>
              </w:rPr>
              <w:t>Define C(y,t) explicitly; avoid the unexplained phrase “Born quantile.”</w:t>
            </w:r>
          </w:p>
        </w:tc>
      </w:tr>
    </w:tbl>
    <w:tbl>
      <w:tblPr>
        <w:tblW w:type="auto" w:w="0"/>
        <w:jc w:val="center"/>
        <w:tblLayout w:type="fixed"/>
        <w:tblLook w:firstColumn="1" w:firstRow="1" w:lastColumn="0" w:lastRow="0" w:noHBand="0" w:noVBand="1" w:val="04A0"/>
      </w:tblPr>
      <w:tblGrid>
        <w:gridCol w:w="2448"/>
        <w:gridCol w:w="7056"/>
      </w:tblGrid>
      <w:tr>
        <w:trPr>
          <w:cantSplit/>
        </w:trPr>
        <w:tc>
          <w:tcPr>
            <w:tcW w:type="dxa" w:w="5112"/>
            <w:shd w:fill="F3F4F5"/>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ans" w:hAnsi="Noto Sans"/>
                <w:b/>
                <w:i w:val="0"/>
                <w:sz w:val="18"/>
              </w:rPr>
              <w:t>“Resource”</w:t>
            </w:r>
          </w:p>
        </w:tc>
        <w:tc>
          <w:tcPr>
            <w:tcW w:type="dxa" w:w="5112"/>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erif" w:hAnsi="Noto Serif"/>
                <w:b w:val="0"/>
                <w:i w:val="0"/>
                <w:sz w:val="18"/>
              </w:rPr>
              <w:t>State that R is an information-theoretic additive measure, not a complete laboratory cost.</w:t>
            </w:r>
          </w:p>
        </w:tc>
      </w:tr>
    </w:tbl>
    <w:tbl>
      <w:tblPr>
        <w:tblW w:type="auto" w:w="0"/>
        <w:jc w:val="center"/>
        <w:tblLayout w:type="fixed"/>
        <w:tblLook w:firstColumn="1" w:firstRow="1" w:lastColumn="0" w:lastRow="0" w:noHBand="0" w:noVBand="1" w:val="04A0"/>
      </w:tblPr>
      <w:tblGrid>
        <w:gridCol w:w="2448"/>
        <w:gridCol w:w="7056"/>
      </w:tblGrid>
      <w:tr>
        <w:trPr>
          <w:cantSplit/>
        </w:trPr>
        <w:tc>
          <w:tcPr>
            <w:tcW w:type="dxa" w:w="5112"/>
            <w:shd w:fill="F3F4F5"/>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ans" w:hAnsi="Noto Sans"/>
                <w:b/>
                <w:i w:val="0"/>
                <w:sz w:val="18"/>
              </w:rPr>
              <w:t>“Answers Valentini’s question”</w:t>
            </w:r>
          </w:p>
        </w:tc>
        <w:tc>
          <w:tcPr>
            <w:tcW w:type="dxa" w:w="5112"/>
            <w:tcBorders>
              <w:top w:val="single" w:sz="2" w:color="C7D0D8"/>
              <w:left w:val="single" w:sz="2" w:color="C7D0D8"/>
              <w:bottom w:val="single" w:sz="2" w:color="C7D0D8"/>
              <w:right w:val="single" w:sz="2" w:color="C7D0D8"/>
            </w:tcBorders>
            <w:tcMar>
              <w:top w:w="60" w:type="dxa"/>
              <w:start w:w="80" w:type="dxa"/>
              <w:bottom w:w="60" w:type="dxa"/>
              <w:end w:w="80" w:type="dxa"/>
            </w:tcMar>
          </w:tcPr>
          <w:p>
            <w:r>
              <w:rPr>
                <w:rFonts w:ascii="Noto Serif" w:hAnsi="Noto Serif"/>
                <w:b w:val="0"/>
                <w:i w:val="0"/>
                <w:sz w:val="18"/>
              </w:rPr>
              <w:t>Prefer “answers a precise conditional version” because production, maintenance, and microscopic hardware realization remain open.</w:t>
            </w:r>
          </w:p>
        </w:tc>
      </w:tr>
    </w:tbl>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1"/>
        <w:widowControl w:val="1"/>
      </w:pPr>
      <w:r>
        <w:t>9. Human contribution, validation, and AI disclosure</w:t>
      </w:r>
    </w:p>
    <w:p>
      <w:pPr>
        <w:keepLines w:val="0"/>
        <w:spacing w:after="80" w:before="0"/>
        <w:widowControl w:val="1"/>
      </w:pPr>
      <w:r>
        <w:rPr>
          <w:rFonts w:ascii="Noto Serif" w:hAnsi="Noto Serif"/>
          <w:b w:val="0"/>
          <w:i w:val="0"/>
          <w:sz w:val="20"/>
        </w:rPr>
        <w:t>The purpose of this section is not to minimize the AI contribution. It is to document the human work that makes the use defensibly amber rather than substitutive.</w:t>
      </w:r>
    </w:p>
    <w:p>
      <w:pPr>
        <w:pStyle w:val="Heading2"/>
        <w:keepLines w:val="0"/>
        <w:spacing w:after="80" w:before="0"/>
        <w:widowControl w:val="1"/>
      </w:pPr>
      <w:r>
        <w:rPr>
          <w:rFonts w:ascii="Noto Serif" w:hAnsi="Noto Serif"/>
          <w:b w:val="0"/>
          <w:i w:val="0"/>
          <w:sz w:val="20"/>
        </w:rPr>
        <w:t>Human contribution ledger</w:t>
      </w:r>
    </w:p>
    <w:tbl>
      <w:tblPr>
        <w:tblW w:type="auto" w:w="0"/>
        <w:jc w:val="center"/>
        <w:tblLayout w:type="fixed"/>
        <w:tblLook w:firstColumn="1" w:firstRow="1" w:lastColumn="0" w:lastRow="0" w:noHBand="0" w:noVBand="1" w:val="04A0"/>
      </w:tblPr>
      <w:tblGrid>
        <w:gridCol w:w="2376"/>
        <w:gridCol w:w="7128"/>
      </w:tblGrid>
      <w:tr>
        <w:trPr>
          <w:tblHeader w:val="true"/>
          <w:cantSplit/>
        </w:trPr>
        <w:tc>
          <w:tcPr>
            <w:tcW w:type="dxa" w:w="5112"/>
            <w:shd w:fill="DCE8F1"/>
            <w:tcBorders>
              <w:top w:val="single" w:sz="2" w:color="C7D0D8"/>
              <w:left w:val="single" w:sz="2" w:color="C7D0D8"/>
              <w:bottom w:val="single" w:sz="2" w:color="C7D0D8"/>
              <w:right w:val="single" w:sz="2" w:color="C7D0D8"/>
            </w:tcBorders>
          </w:tcPr>
          <w:p>
            <w:r>
              <w:rPr>
                <w:rFonts w:ascii="Noto Sans" w:hAnsi="Noto Sans"/>
                <w:b/>
                <w:i w:val="0"/>
                <w:sz w:val="17"/>
              </w:rPr>
              <w:t>Contribution</w:t>
            </w:r>
          </w:p>
        </w:tc>
        <w:tc>
          <w:tcPr>
            <w:tcW w:type="dxa" w:w="5112"/>
            <w:shd w:fill="DCE8F1"/>
            <w:tcBorders>
              <w:top w:val="single" w:sz="2" w:color="C7D0D8"/>
              <w:left w:val="single" w:sz="2" w:color="C7D0D8"/>
              <w:bottom w:val="single" w:sz="2" w:color="C7D0D8"/>
              <w:right w:val="single" w:sz="2" w:color="C7D0D8"/>
            </w:tcBorders>
          </w:tcPr>
          <w:p>
            <w:r>
              <w:rPr>
                <w:rFonts w:ascii="Noto Sans" w:hAnsi="Noto Sans"/>
                <w:b/>
                <w:i w:val="0"/>
                <w:sz w:val="17"/>
              </w:rPr>
              <w:t>Record</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Research question</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Author supplied Valentini’s open scaling question as the target.</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Conceptual direction</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Author introduced and developed the branchwise nonlinear-gate idea that motivated the search for a digital amplifier.</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Critical scrutiny</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Author repeatedly challenged proposed constructions, including precision and fault-tolerance weaknesses.</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Mathematical validation</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To be completed: author independently re-derives and signs every module in this dossier.</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Source validation</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To be completed: author checks every primary source and citation claim.</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Novelty assessment</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To be completed: author performs and records the independent literature search.</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Scope and assumptions</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Author decides whether A1-A4, the base interface, and the resource definition are scientifically acceptable and how narrowly to state the theorem.</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Final interpretation</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Author decides what the result means and which conclusions are warranted.</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Writing and voice</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AI supplied extensive draft text; author revises the final paper into language and argument that the author fully endorses.</w:t>
            </w:r>
          </w:p>
        </w:tc>
      </w:tr>
      <w:tr>
        <w:trPr>
          <w:cantSplit/>
        </w:trPr>
        <w:tc>
          <w:tcPr>
            <w:tcW w:type="dxa" w:w="2376"/>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Accountability</w:t>
            </w:r>
          </w:p>
        </w:tc>
        <w:tc>
          <w:tcPr>
            <w:tcW w:type="dxa" w:w="7128"/>
            <w:tcMar>
              <w:top w:w="60" w:type="dxa"/>
              <w:start w:w="80" w:type="dxa"/>
              <w:bottom w:w="60" w:type="dxa"/>
              <w:end w:w="80" w:type="dxa"/>
            </w:tcMar>
            <w:tcBorders>
              <w:top w:val="single" w:sz="2" w:color="C7D0D8"/>
              <w:left w:val="single" w:sz="2" w:color="C7D0D8"/>
              <w:bottom w:val="single" w:sz="2" w:color="C7D0D8"/>
              <w:right w:val="single" w:sz="2" w:color="C7D0D8"/>
            </w:tcBorders>
          </w:tcPr>
          <w:p>
            <w:r>
              <w:rPr>
                <w:rFonts w:ascii="Noto Serif" w:hAnsi="Noto Serif"/>
                <w:b w:val="0"/>
                <w:i w:val="0"/>
                <w:sz w:val="17"/>
              </w:rPr>
              <w:t>Author is sole author and accepts responsibility for accuracy, integrity, originality, and corrections.</w:t>
            </w:r>
          </w:p>
        </w:tc>
      </w:tr>
    </w:tbl>
    <w:p>
      <w:pPr>
        <w:pStyle w:val="Heading2"/>
        <w:keepLines w:val="0"/>
        <w:spacing w:after="80" w:before="0"/>
        <w:widowControl w:val="1"/>
      </w:pPr>
      <w:r>
        <w:rPr>
          <w:rFonts w:ascii="Noto Serif" w:hAnsi="Noto Serif"/>
          <w:b w:val="0"/>
          <w:i w:val="0"/>
          <w:sz w:val="20"/>
        </w:rPr>
        <w:t>Suggested post-verification disclosure</w:t>
      </w:r>
    </w:p>
    <w:tbl>
      <w:tblPr>
        <w:tblW w:type="auto" w:w="0"/>
        <w:jc w:val="center"/>
        <w:tblLayout w:type="fixed"/>
        <w:tblLook w:firstColumn="1" w:firstRow="1" w:lastColumn="0" w:lastRow="0" w:noHBand="0" w:noVBand="1" w:val="04A0"/>
      </w:tblPr>
      <w:tblGrid>
        <w:gridCol w:w="9576"/>
      </w:tblGrid>
      <w:tr>
        <w:trPr>
          <w:cantSplit/>
        </w:trPr>
        <w:tc>
          <w:tcPr>
            <w:tcW w:type="dxa" w:w="10224"/>
            <w:shd w:fill="FFF3CD"/>
            <w:tcBorders>
              <w:top w:val="nil"/>
              <w:left w:val="single" w:sz="18" w:color="7A5A00"/>
              <w:bottom w:val="nil"/>
              <w:right w:val="nil"/>
            </w:tcBorders>
            <w:tcMar>
              <w:top w:w="90" w:type="dxa"/>
              <w:start w:w="130" w:type="dxa"/>
              <w:bottom w:w="90" w:type="dxa"/>
              <w:end w:w="100" w:type="dxa"/>
            </w:tcMar>
          </w:tcPr>
          <w:p>
            <w:pPr>
              <w:spacing w:after="60"/>
            </w:pPr>
            <w:r>
              <w:rPr>
                <w:rFonts w:ascii="Noto Sans" w:hAnsi="Noto Sans"/>
                <w:b/>
                <w:i w:val="0"/>
                <w:color w:val="7A5A00"/>
                <w:sz w:val="20"/>
              </w:rPr>
              <w:t>Use only after every statement is true</w:t>
            </w:r>
          </w:p>
          <w:p>
            <w:pPr>
              <w:spacing w:after="0"/>
            </w:pPr>
            <w:r>
              <w:rPr>
                <w:rFonts w:ascii="Noto Serif" w:hAnsi="Noto Serif"/>
                <w:b w:val="0"/>
                <w:i w:val="0"/>
                <w:sz w:val="18"/>
              </w:rPr>
              <w:t>Most exploratory derivations and much of the initial manuscript drafting were produced through extended interactive use of OpenAI ChatGPT (GPT-5.6 Sol). ChatGPT proposed intermediate constructions, including the cumulative-probability-conditioned pointer argument and the error-transparent fault-tolerance analysis. The author independently re-derived all mathematical results, checked all cited primary sources, performed an independent novelty search, corrected and narrowed claims where required, determined the final assumptions, interpretation, and conclusions, and takes full responsibility for the accuracy, integrity, and originality of the work. ChatGPT is not listed as an author.</w:t>
            </w:r>
          </w:p>
        </w:tc>
      </w:tr>
    </w:tbl>
    <w:p>
      <w:pPr>
        <w:spacing w:after="0"/>
        <w:widowControl w:val="1"/>
      </w:pPr>
    </w:p>
    <w:p>
      <w:pPr>
        <w:spacing w:after="40"/>
        <w:ind w:left="259" w:hanging="259"/>
        <w:widowControl w:val="1"/>
      </w:pPr>
      <w:r>
        <w:rPr>
          <w:rFonts w:ascii="Noto Serif" w:hAnsi="Noto Serif"/>
          <w:b w:val="0"/>
          <w:i w:val="0"/>
          <w:sz w:val="19"/>
        </w:rPr>
        <w:t>[ ] The disclosure names the tool and model.</w:t>
      </w:r>
    </w:p>
    <w:p>
      <w:pPr>
        <w:spacing w:after="40"/>
        <w:ind w:left="259" w:hanging="259"/>
        <w:widowControl w:val="1"/>
      </w:pPr>
      <w:r>
        <w:rPr>
          <w:rFonts w:ascii="Noto Serif" w:hAnsi="Noto Serif"/>
          <w:b w:val="0"/>
          <w:i w:val="0"/>
          <w:sz w:val="19"/>
        </w:rPr>
        <w:t>[ ] The disclosure states the purposes: exploration, analytical suggestions, and drafting.</w:t>
      </w:r>
    </w:p>
    <w:p>
      <w:pPr>
        <w:spacing w:after="40"/>
        <w:ind w:left="259" w:hanging="259"/>
        <w:widowControl w:val="1"/>
      </w:pPr>
      <w:r>
        <w:rPr>
          <w:rFonts w:ascii="Noto Serif" w:hAnsi="Noto Serif"/>
          <w:b w:val="0"/>
          <w:i w:val="0"/>
          <w:sz w:val="19"/>
        </w:rPr>
        <w:t>[ ] The disclosure identifies substantive AI contributions rather than calling them mere language editing.</w:t>
      </w:r>
    </w:p>
    <w:p>
      <w:pPr>
        <w:spacing w:after="40"/>
        <w:ind w:left="259" w:hanging="259"/>
        <w:widowControl w:val="1"/>
      </w:pPr>
      <w:r>
        <w:rPr>
          <w:rFonts w:ascii="Noto Serif" w:hAnsi="Noto Serif"/>
          <w:b w:val="0"/>
          <w:i w:val="0"/>
          <w:sz w:val="19"/>
        </w:rPr>
        <w:t>[ ] The disclosure states the independent validation steps actually completed.</w:t>
      </w:r>
    </w:p>
    <w:p>
      <w:pPr>
        <w:spacing w:after="40"/>
        <w:ind w:left="259" w:hanging="259"/>
        <w:widowControl w:val="1"/>
      </w:pPr>
      <w:r>
        <w:rPr>
          <w:rFonts w:ascii="Noto Serif" w:hAnsi="Noto Serif"/>
          <w:b w:val="0"/>
          <w:i w:val="0"/>
          <w:sz w:val="19"/>
        </w:rPr>
        <w:t>[ ] The disclosure states that final judgement and accountability are human.</w:t>
      </w:r>
    </w:p>
    <w:p>
      <w:pPr>
        <w:spacing w:after="40"/>
        <w:ind w:left="259" w:hanging="259"/>
        <w:widowControl w:val="1"/>
      </w:pPr>
      <w:r>
        <w:rPr>
          <w:rFonts w:ascii="Noto Serif" w:hAnsi="Noto Serif"/>
          <w:b w:val="0"/>
          <w:i w:val="0"/>
          <w:sz w:val="19"/>
        </w:rPr>
        <w:t>[ ] The abstract and end declaration are consistent with one another.</w:t>
      </w:r>
    </w:p>
    <w:tbl>
      <w:tblPr>
        <w:tblW w:type="auto" w:w="0"/>
        <w:jc w:val="center"/>
        <w:tblLayout w:type="fixed"/>
        <w:tblLook w:firstColumn="1" w:firstRow="1" w:lastColumn="0" w:lastRow="0" w:noHBand="0" w:noVBand="1" w:val="04A0"/>
      </w:tblPr>
      <w:tblGrid>
        <w:gridCol w:w="4752"/>
        <w:gridCol w:w="4752"/>
      </w:tblGrid>
      <w:tr>
        <w:trPr>
          <w:cantSplit/>
        </w:trPr>
        <w:tc>
          <w:tcPr>
            <w:tcW w:type="dxa" w:w="5112"/>
            <w:tcMar>
              <w:top w:w="50" w:type="dxa"/>
              <w:start w:w="70" w:type="dxa"/>
              <w:bottom w:w="50" w:type="dxa"/>
              <w:end w:w="70" w:type="dxa"/>
            </w:tcMar>
            <w:shd w:fill="FDECEC"/>
            <w:tcBorders>
              <w:top w:val="single" w:sz="2" w:color="BFC7CE"/>
              <w:left w:val="single" w:sz="2" w:color="BFC7CE"/>
              <w:bottom w:val="single" w:sz="2" w:color="BFC7CE"/>
              <w:right w:val="single" w:sz="2" w:color="BFC7CE"/>
            </w:tcBorders>
          </w:tcPr>
          <w:p>
            <w:r>
              <w:rPr>
                <w:rFonts w:ascii="Noto Sans" w:hAnsi="Noto Sans"/>
                <w:b/>
                <w:i w:val="0"/>
                <w:sz w:val="17"/>
              </w:rPr>
              <w:t>Result</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 ] PASS    [ ] REVISION NEEDED    [ ] FAIL</w:t>
            </w:r>
          </w:p>
        </w:tc>
      </w:tr>
      <w:tr>
        <w:trPr>
          <w:cantSplit/>
        </w:trPr>
        <w:tc>
          <w:tcPr>
            <w:tcW w:type="dxa" w:w="5112"/>
            <w:tcMar>
              <w:top w:w="50" w:type="dxa"/>
              <w:start w:w="70" w:type="dxa"/>
              <w:bottom w:w="50" w:type="dxa"/>
              <w:end w:w="70" w:type="dxa"/>
            </w:tcMar>
            <w:shd w:fill="F3F4F5"/>
            <w:tcBorders>
              <w:top w:val="single" w:sz="2" w:color="BFC7CE"/>
              <w:left w:val="single" w:sz="2" w:color="BFC7CE"/>
              <w:bottom w:val="single" w:sz="2" w:color="BFC7CE"/>
              <w:right w:val="single" w:sz="2" w:color="BFC7CE"/>
            </w:tcBorders>
          </w:tcPr>
          <w:p>
            <w:r>
              <w:rPr>
                <w:rFonts w:ascii="Noto Sans" w:hAnsi="Noto Sans"/>
                <w:b/>
                <w:i w:val="0"/>
                <w:sz w:val="17"/>
              </w:rPr>
              <w:t>Evidence / initials / date</w:t>
            </w:r>
          </w:p>
        </w:tc>
        <w:tc>
          <w:tcPr>
            <w:tcW w:type="dxa" w:w="5112"/>
            <w:tcMar>
              <w:top w:w="50" w:type="dxa"/>
              <w:start w:w="70" w:type="dxa"/>
              <w:bottom w:w="50" w:type="dxa"/>
              <w:end w:w="70" w:type="dxa"/>
            </w:tcMar>
            <w:tcBorders>
              <w:top w:val="single" w:sz="2" w:color="BFC7CE"/>
              <w:left w:val="single" w:sz="2" w:color="BFC7CE"/>
              <w:bottom w:val="single" w:sz="2" w:color="BFC7CE"/>
              <w:right w:val="single" w:sz="2" w:color="BFC7CE"/>
            </w:tcBorders>
          </w:tcPr>
          <w:p>
            <w:r>
              <w:rPr>
                <w:rFonts w:ascii="Noto Serif" w:hAnsi="Noto Serif"/>
                <w:b w:val="0"/>
                <w:i w:val="0"/>
                <w:sz w:val="17"/>
              </w:rPr>
              <w:t>____________________________________________________________</w:t>
            </w:r>
          </w:p>
        </w:tc>
      </w:tr>
    </w:tbl>
    <w:p>
      <w:pPr>
        <w:spacing w:after="0"/>
        <w:widowControl w:val="1"/>
      </w:pPr>
    </w:p>
    <w:p>
      <w:pPr>
        <w:pStyle w:val="Heading1"/>
        <w:widowControl w:val="1"/>
      </w:pPr>
      <w:r>
        <w:t>10. Final amber-readiness sign-off</w:t>
      </w:r>
    </w:p>
    <w:tbl>
      <w:tblPr>
        <w:tblW w:type="auto" w:w="0"/>
        <w:jc w:val="center"/>
        <w:tblLayout w:type="fixed"/>
        <w:tblLook w:firstColumn="1" w:firstRow="1" w:lastColumn="0" w:lastRow="0" w:noHBand="0" w:noVBand="1" w:val="04A0"/>
      </w:tblPr>
      <w:tblGrid>
        <w:gridCol w:w="9576"/>
      </w:tblGrid>
      <w:tr>
        <w:trPr>
          <w:cantSplit/>
        </w:trPr>
        <w:tc>
          <w:tcPr>
            <w:tcW w:type="dxa" w:w="10224"/>
            <w:shd w:fill="FDE9E7"/>
            <w:tcBorders>
              <w:top w:val="nil"/>
              <w:left w:val="single" w:sz="18" w:color="9C1C1C"/>
              <w:bottom w:val="nil"/>
              <w:right w:val="nil"/>
            </w:tcBorders>
            <w:tcMar>
              <w:top w:w="90" w:type="dxa"/>
              <w:start w:w="130" w:type="dxa"/>
              <w:bottom w:w="90" w:type="dxa"/>
              <w:end w:w="100" w:type="dxa"/>
            </w:tcMar>
          </w:tcPr>
          <w:p>
            <w:pPr>
              <w:spacing w:after="60"/>
            </w:pPr>
            <w:r>
              <w:rPr>
                <w:rFonts w:ascii="Noto Sans" w:hAnsi="Noto Sans"/>
                <w:b/>
                <w:i w:val="0"/>
                <w:color w:val="9C1C1C"/>
                <w:sz w:val="20"/>
              </w:rPr>
              <w:t>This is a human attestation, not an AI-generated conclusion</w:t>
            </w:r>
          </w:p>
          <w:p>
            <w:r>
              <w:t>Sign only after completing the revised dossier and retaining the evidence. A repaired manuscript is not yet a verified manuscript. If any statement below is not true, revise the paper or do not claim amber readiness.</w:t>
            </w:r>
          </w:p>
        </w:tc>
      </w:tr>
    </w:tbl>
    <w:p>
      <w:pPr>
        <w:spacing w:after="0"/>
        <w:widowControl w:val="1"/>
      </w:pPr>
    </w:p>
    <w:p>
      <w:pPr>
        <w:spacing w:after="40"/>
        <w:ind w:left="259" w:hanging="259"/>
        <w:widowControl w:val="1"/>
      </w:pPr>
      <w:r>
        <w:rPr>
          <w:rFonts w:ascii="Noto Serif" w:hAnsi="Noto Serif"/>
          <w:b w:val="0"/>
          <w:i w:val="0"/>
          <w:sz w:val="19"/>
        </w:rPr>
        <w:t>[ ] I can reproduce the central pointer and fault-tolerance derivations without consulting ChatGPT.</w:t>
      </w:r>
    </w:p>
    <w:p>
      <w:pPr>
        <w:spacing w:after="40"/>
        <w:ind w:left="259" w:hanging="259"/>
        <w:widowControl w:val="1"/>
      </w:pPr>
      <w:r>
        <w:rPr>
          <w:rFonts w:ascii="Noto Serif" w:hAnsi="Noto Serif"/>
          <w:b w:val="0"/>
          <w:i w:val="0"/>
          <w:sz w:val="19"/>
        </w:rPr>
        <w:t>[ ] I have independently reproduced the revised rare-set proof, including the hypotheses, derivative sign, endpoint, and asymptotics.</w:t>
      </w:r>
    </w:p>
    <w:p>
      <w:pPr>
        <w:spacing w:after="40"/>
        <w:ind w:left="259" w:hanging="259"/>
        <w:widowControl w:val="1"/>
      </w:pPr>
      <w:r>
        <w:rPr>
          <w:rFonts w:ascii="Noto Serif" w:hAnsi="Noto Serif"/>
          <w:b w:val="0"/>
          <w:i w:val="0"/>
          <w:sz w:val="19"/>
        </w:rPr>
        <w:t>[ ] I have checked every cited source and recorded exact supporting locations.</w:t>
      </w:r>
    </w:p>
    <w:p>
      <w:pPr>
        <w:spacing w:after="40"/>
        <w:ind w:left="259" w:hanging="259"/>
        <w:widowControl w:val="1"/>
      </w:pPr>
      <w:r>
        <w:rPr>
          <w:rFonts w:ascii="Noto Serif" w:hAnsi="Noto Serif"/>
          <w:b w:val="0"/>
          <w:i w:val="0"/>
          <w:sz w:val="19"/>
        </w:rPr>
        <w:t>[ ] I have conducted and retained an independent novelty search.</w:t>
      </w:r>
    </w:p>
    <w:p>
      <w:pPr>
        <w:spacing w:after="40"/>
        <w:ind w:left="259" w:hanging="259"/>
        <w:widowControl w:val="1"/>
      </w:pPr>
      <w:r>
        <w:rPr>
          <w:rFonts w:ascii="Noto Serif" w:hAnsi="Noto Serif"/>
          <w:b w:val="0"/>
          <w:i w:val="0"/>
          <w:sz w:val="19"/>
        </w:rPr>
        <w:t>[ ] I understand and accept every assumption, including the full-circuit L(n) model, the definition of transparent histories, and the limits of A1–A4.</w:t>
      </w:r>
    </w:p>
    <w:p>
      <w:pPr>
        <w:spacing w:after="40"/>
        <w:ind w:left="259" w:hanging="259"/>
        <w:widowControl w:val="1"/>
      </w:pPr>
      <w:r>
        <w:rPr>
          <w:rFonts w:ascii="Noto Serif" w:hAnsi="Noto Serif"/>
          <w:b w:val="0"/>
          <w:i w:val="0"/>
          <w:sz w:val="19"/>
        </w:rPr>
        <w:t>[ ] I have decided the final theorem statement, scope, interpretation, and conclusion myself.</w:t>
      </w:r>
    </w:p>
    <w:p>
      <w:pPr>
        <w:spacing w:after="40"/>
        <w:ind w:left="259" w:hanging="259"/>
        <w:widowControl w:val="1"/>
      </w:pPr>
      <w:r>
        <w:rPr>
          <w:rFonts w:ascii="Noto Serif" w:hAnsi="Noto Serif"/>
          <w:b w:val="0"/>
          <w:i w:val="0"/>
          <w:sz w:val="19"/>
        </w:rPr>
        <w:t>[ ] I have verified the five-qubit syndrome decomposition, the global definition of Q̃_L, the one-fault identity, and the syndrome-only sequential argument.</w:t>
      </w:r>
    </w:p>
    <w:p>
      <w:pPr>
        <w:spacing w:after="40"/>
        <w:ind w:left="259" w:hanging="259"/>
        <w:widowControl w:val="1"/>
      </w:pPr>
      <w:r>
        <w:rPr>
          <w:rFonts w:ascii="Noto Serif" w:hAnsi="Noto Serif"/>
          <w:b w:val="0"/>
          <w:i w:val="0"/>
          <w:sz w:val="19"/>
        </w:rPr>
        <w:t>[ ] I have checked the union-bound factor L(n), the likelihood-ratio enhancement 4/p*, and the logarithmic concatenation-level calculation.</w:t>
      </w:r>
    </w:p>
    <w:p>
      <w:pPr/>
      <w:r>
        <w:t>[ ] I have verified the randomized Valiant–Vazirani consequence and the separate SAT self-reduction used for witness recovery.</w:t>
      </w:r>
    </w:p>
    <w:p>
      <w:pPr>
        <w:spacing w:after="40"/>
        <w:ind w:left="259" w:hanging="259"/>
        <w:widowControl w:val="1"/>
      </w:pPr>
      <w:r>
        <w:rPr>
          <w:rFonts w:ascii="Noto Serif" w:hAnsi="Noto Serif"/>
          <w:b w:val="0"/>
          <w:i w:val="0"/>
          <w:sz w:val="19"/>
        </w:rPr>
        <w:t>[ ] The AI disclosure is complete and does not minimize the model’s contribution.</w:t>
      </w:r>
    </w:p>
    <w:p>
      <w:pPr>
        <w:spacing w:after="40"/>
        <w:ind w:left="259" w:hanging="259"/>
        <w:widowControl w:val="1"/>
      </w:pPr>
      <w:r>
        <w:rPr>
          <w:rFonts w:ascii="Noto Serif" w:hAnsi="Noto Serif"/>
          <w:b w:val="0"/>
          <w:i w:val="0"/>
          <w:sz w:val="19"/>
        </w:rPr>
        <w:t>[ ] I accept sole responsibility for the submitted work.</w:t>
      </w:r>
    </w:p>
    <w:tbl>
      <w:tblPr>
        <w:tblW w:type="auto" w:w="0"/>
        <w:jc w:val="center"/>
        <w:tblLayout w:type="fixed"/>
        <w:tblLook w:firstColumn="1" w:firstRow="1" w:lastColumn="0" w:lastRow="0" w:noHBand="0" w:noVBand="1" w:val="04A0"/>
      </w:tblPr>
      <w:tblGrid>
        <w:gridCol w:w="2880"/>
        <w:gridCol w:w="6624"/>
      </w:tblGrid>
      <w:tr>
        <w:trPr>
          <w:cantSplit/>
        </w:trPr>
        <w:tc>
          <w:tcPr>
            <w:tcW w:type="dxa" w:w="5112"/>
            <w:tcMar>
              <w:top w:w="90" w:type="dxa"/>
              <w:start w:w="80" w:type="dxa"/>
              <w:bottom w:w="90" w:type="dxa"/>
              <w:end w:w="80" w:type="dxa"/>
            </w:tcMar>
            <w:shd w:fill="F3F4F5"/>
            <w:tcBorders>
              <w:top w:val="single" w:sz="3" w:color="BFC7CE"/>
              <w:left w:val="single" w:sz="3" w:color="BFC7CE"/>
              <w:bottom w:val="single" w:sz="3" w:color="BFC7CE"/>
              <w:right w:val="single" w:sz="3" w:color="BFC7CE"/>
            </w:tcBorders>
          </w:tcPr>
          <w:p>
            <w:r>
              <w:rPr>
                <w:rFonts w:ascii="Noto Sans" w:hAnsi="Noto Sans"/>
                <w:b/>
                <w:i w:val="0"/>
                <w:sz w:val="18"/>
              </w:rPr>
              <w:t>Overall decision</w:t>
            </w:r>
          </w:p>
        </w:tc>
        <w:tc>
          <w:tcPr>
            <w:tcW w:type="dxa" w:w="5112"/>
            <w:tcMar>
              <w:top w:w="90" w:type="dxa"/>
              <w:start w:w="80" w:type="dxa"/>
              <w:bottom w:w="90" w:type="dxa"/>
              <w:end w:w="80" w:type="dxa"/>
            </w:tcMar>
            <w:tcBorders>
              <w:top w:val="single" w:sz="3" w:color="BFC7CE"/>
              <w:left w:val="single" w:sz="3" w:color="BFC7CE"/>
              <w:bottom w:val="single" w:sz="3" w:color="BFC7CE"/>
              <w:right w:val="single" w:sz="3" w:color="BFC7CE"/>
            </w:tcBorders>
          </w:tcPr>
          <w:p>
            <w:r>
              <w:rPr>
                <w:rFonts w:ascii="Noto Serif" w:hAnsi="Noto Serif"/>
                <w:b w:val="0"/>
                <w:i w:val="0"/>
                <w:sz w:val="18"/>
              </w:rPr>
              <w:t>[ ] READY FOR AMBER SUBMISSION   [ ] NOT YET READY</w:t>
            </w:r>
          </w:p>
        </w:tc>
      </w:tr>
      <w:tr>
        <w:trPr>
          <w:cantSplit/>
        </w:trPr>
        <w:tc>
          <w:tcPr>
            <w:tcW w:type="dxa" w:w="5112"/>
            <w:tcMar>
              <w:top w:w="90" w:type="dxa"/>
              <w:start w:w="80" w:type="dxa"/>
              <w:bottom w:w="90" w:type="dxa"/>
              <w:end w:w="80" w:type="dxa"/>
            </w:tcMar>
            <w:shd w:fill="F3F4F5"/>
            <w:tcBorders>
              <w:top w:val="single" w:sz="3" w:color="BFC7CE"/>
              <w:left w:val="single" w:sz="3" w:color="BFC7CE"/>
              <w:bottom w:val="single" w:sz="3" w:color="BFC7CE"/>
              <w:right w:val="single" w:sz="3" w:color="BFC7CE"/>
            </w:tcBorders>
          </w:tcPr>
          <w:p>
            <w:r>
              <w:rPr>
                <w:rFonts w:ascii="Noto Sans" w:hAnsi="Noto Sans"/>
                <w:b/>
                <w:i w:val="0"/>
                <w:sz w:val="18"/>
              </w:rPr>
              <w:t>Author name</w:t>
            </w:r>
          </w:p>
        </w:tc>
        <w:tc>
          <w:tcPr>
            <w:tcW w:type="dxa" w:w="5112"/>
            <w:tcMar>
              <w:top w:w="90" w:type="dxa"/>
              <w:start w:w="80" w:type="dxa"/>
              <w:bottom w:w="90" w:type="dxa"/>
              <w:end w:w="80" w:type="dxa"/>
            </w:tcMar>
            <w:tcBorders>
              <w:top w:val="single" w:sz="3" w:color="BFC7CE"/>
              <w:left w:val="single" w:sz="3" w:color="BFC7CE"/>
              <w:bottom w:val="single" w:sz="3" w:color="BFC7CE"/>
              <w:right w:val="single" w:sz="3" w:color="BFC7CE"/>
            </w:tcBorders>
          </w:tcPr>
          <w:p>
            <w:r>
              <w:rPr>
                <w:rFonts w:ascii="Noto Serif" w:hAnsi="Noto Serif"/>
                <w:b w:val="0"/>
                <w:i w:val="0"/>
                <w:sz w:val="18"/>
              </w:rPr>
              <w:t>Michael A. Stay</w:t>
            </w:r>
          </w:p>
        </w:tc>
      </w:tr>
      <w:tr>
        <w:trPr>
          <w:cantSplit/>
        </w:trPr>
        <w:tc>
          <w:tcPr>
            <w:tcW w:type="dxa" w:w="5112"/>
            <w:tcMar>
              <w:top w:w="90" w:type="dxa"/>
              <w:start w:w="80" w:type="dxa"/>
              <w:bottom w:w="90" w:type="dxa"/>
              <w:end w:w="80" w:type="dxa"/>
            </w:tcMar>
            <w:shd w:fill="F3F4F5"/>
            <w:tcBorders>
              <w:top w:val="single" w:sz="3" w:color="BFC7CE"/>
              <w:left w:val="single" w:sz="3" w:color="BFC7CE"/>
              <w:bottom w:val="single" w:sz="3" w:color="BFC7CE"/>
              <w:right w:val="single" w:sz="3" w:color="BFC7CE"/>
            </w:tcBorders>
          </w:tcPr>
          <w:p>
            <w:r>
              <w:rPr>
                <w:rFonts w:ascii="Noto Sans" w:hAnsi="Noto Sans"/>
                <w:b/>
                <w:i w:val="0"/>
                <w:sz w:val="18"/>
              </w:rPr>
              <w:t>Signature</w:t>
            </w:r>
          </w:p>
        </w:tc>
        <w:tc>
          <w:tcPr>
            <w:tcW w:type="dxa" w:w="5112"/>
            <w:tcMar>
              <w:top w:w="90" w:type="dxa"/>
              <w:start w:w="80" w:type="dxa"/>
              <w:bottom w:w="90" w:type="dxa"/>
              <w:end w:w="80" w:type="dxa"/>
            </w:tcMar>
            <w:tcBorders>
              <w:top w:val="single" w:sz="3" w:color="BFC7CE"/>
              <w:left w:val="single" w:sz="3" w:color="BFC7CE"/>
              <w:bottom w:val="single" w:sz="3" w:color="BFC7CE"/>
              <w:right w:val="single" w:sz="3" w:color="BFC7CE"/>
            </w:tcBorders>
          </w:tcPr>
          <w:p>
            <w:r>
              <w:rPr>
                <w:rFonts w:ascii="Noto Serif" w:hAnsi="Noto Serif"/>
                <w:b w:val="0"/>
                <w:i w:val="0"/>
                <w:sz w:val="18"/>
              </w:rPr>
            </w:r>
          </w:p>
        </w:tc>
      </w:tr>
      <w:tr>
        <w:trPr>
          <w:cantSplit/>
        </w:trPr>
        <w:tc>
          <w:tcPr>
            <w:tcW w:type="dxa" w:w="5112"/>
            <w:tcMar>
              <w:top w:w="90" w:type="dxa"/>
              <w:start w:w="80" w:type="dxa"/>
              <w:bottom w:w="90" w:type="dxa"/>
              <w:end w:w="80" w:type="dxa"/>
            </w:tcMar>
            <w:shd w:fill="F3F4F5"/>
            <w:tcBorders>
              <w:top w:val="single" w:sz="3" w:color="BFC7CE"/>
              <w:left w:val="single" w:sz="3" w:color="BFC7CE"/>
              <w:bottom w:val="single" w:sz="3" w:color="BFC7CE"/>
              <w:right w:val="single" w:sz="3" w:color="BFC7CE"/>
            </w:tcBorders>
          </w:tcPr>
          <w:p>
            <w:r>
              <w:rPr>
                <w:rFonts w:ascii="Noto Sans" w:hAnsi="Noto Sans"/>
                <w:b/>
                <w:i w:val="0"/>
                <w:sz w:val="18"/>
              </w:rPr>
              <w:t>Date</w:t>
            </w:r>
          </w:p>
        </w:tc>
        <w:tc>
          <w:tcPr>
            <w:tcW w:type="dxa" w:w="5112"/>
            <w:tcMar>
              <w:top w:w="90" w:type="dxa"/>
              <w:start w:w="80" w:type="dxa"/>
              <w:bottom w:w="90" w:type="dxa"/>
              <w:end w:w="80" w:type="dxa"/>
            </w:tcMar>
            <w:tcBorders>
              <w:top w:val="single" w:sz="3" w:color="BFC7CE"/>
              <w:left w:val="single" w:sz="3" w:color="BFC7CE"/>
              <w:bottom w:val="single" w:sz="3" w:color="BFC7CE"/>
              <w:right w:val="single" w:sz="3" w:color="BFC7CE"/>
            </w:tcBorders>
          </w:tcPr>
          <w:p>
            <w:r>
              <w:rPr>
                <w:rFonts w:ascii="Noto Serif" w:hAnsi="Noto Serif"/>
                <w:b w:val="0"/>
                <w:i w:val="0"/>
                <w:sz w:val="18"/>
              </w:rPr>
            </w:r>
          </w:p>
        </w:tc>
      </w:tr>
      <w:tr>
        <w:trPr>
          <w:cantSplit/>
        </w:trPr>
        <w:tc>
          <w:tcPr>
            <w:tcW w:type="dxa" w:w="5112"/>
            <w:tcMar>
              <w:top w:w="90" w:type="dxa"/>
              <w:start w:w="80" w:type="dxa"/>
              <w:bottom w:w="90" w:type="dxa"/>
              <w:end w:w="80" w:type="dxa"/>
            </w:tcMar>
            <w:shd w:fill="F3F4F5"/>
            <w:tcBorders>
              <w:top w:val="single" w:sz="3" w:color="BFC7CE"/>
              <w:left w:val="single" w:sz="3" w:color="BFC7CE"/>
              <w:bottom w:val="single" w:sz="3" w:color="BFC7CE"/>
              <w:right w:val="single" w:sz="3" w:color="BFC7CE"/>
            </w:tcBorders>
          </w:tcPr>
          <w:p>
            <w:r>
              <w:rPr>
                <w:rFonts w:ascii="Noto Sans" w:hAnsi="Noto Sans"/>
                <w:b/>
                <w:i w:val="0"/>
                <w:sz w:val="18"/>
              </w:rPr>
              <w:t>Evidence archive location</w:t>
            </w:r>
          </w:p>
        </w:tc>
        <w:tc>
          <w:tcPr>
            <w:tcW w:type="dxa" w:w="5112"/>
            <w:tcMar>
              <w:top w:w="90" w:type="dxa"/>
              <w:start w:w="80" w:type="dxa"/>
              <w:bottom w:w="90" w:type="dxa"/>
              <w:end w:w="80" w:type="dxa"/>
            </w:tcMar>
            <w:tcBorders>
              <w:top w:val="single" w:sz="3" w:color="BFC7CE"/>
              <w:left w:val="single" w:sz="3" w:color="BFC7CE"/>
              <w:bottom w:val="single" w:sz="3" w:color="BFC7CE"/>
              <w:right w:val="single" w:sz="3" w:color="BFC7CE"/>
            </w:tcBorders>
          </w:tcPr>
          <w:p>
            <w:r>
              <w:rPr>
                <w:rFonts w:ascii="Noto Serif" w:hAnsi="Noto Serif"/>
                <w:b w:val="0"/>
                <w:i w:val="0"/>
                <w:sz w:val="18"/>
              </w:rPr>
            </w:r>
          </w:p>
        </w:tc>
      </w:tr>
    </w:tbl>
    <w:p>
      <w:pPr>
        <w:pStyle w:val="Heading1"/>
        <w:widowControl w:val="1"/>
      </w:pPr>
      <w:r>
        <w:t>Appendix A. Compact equation dependency map</w:t>
      </w:r>
    </w:p>
    <w:p>
      <w:pPr>
        <w:ind w:left="288" w:hanging="288"/>
        <w:widowControl w:val="1"/>
      </w:pPr>
      <w:r>
        <w:rPr>
          <w:rFonts w:ascii="Noto Serif" w:hAnsi="Noto Serif"/>
          <w:b w:val="0"/>
          <w:i w:val="0"/>
          <w:sz w:val="19"/>
        </w:rPr>
        <w:t>→ Continuity equations → f = ρ/μ is advected → fine-grained R is invariant.</w:t>
      </w:r>
    </w:p>
    <w:p>
      <w:pPr>
        <w:ind w:left="288" w:hanging="288"/>
        <w:widowControl w:val="1"/>
      </w:pPr>
      <w:r>
        <w:rPr>
          <w:rFonts w:ascii="Noto Serif" w:hAnsi="Noto Serif"/>
          <w:b w:val="0"/>
          <w:i w:val="0"/>
          <w:sz w:val="19"/>
        </w:rPr>
        <w:t>→ Verifier state → p* = 2^{-n}, witness count w ∈ {0,1}, and actual marked weight p_f = wp*.</w:t>
      </w:r>
    </w:p>
    <w:p>
      <w:pPr>
        <w:ind w:left="288" w:hanging="288"/>
        <w:widowControl w:val="1"/>
      </w:pPr>
      <w:r>
        <w:rPr>
          <w:rFonts w:ascii="Noto Serif" w:hAnsi="Noto Serif"/>
          <w:b w:val="0"/>
          <w:i w:val="0"/>
          <w:sz w:val="19"/>
        </w:rPr>
        <w:t>→ H_M = aQp_y → translated marked packet → density P and current J.</w:t>
      </w:r>
    </w:p>
    <w:p>
      <w:pPr>
        <w:ind w:left="288" w:hanging="288"/>
        <w:widowControl w:val="1"/>
      </w:pPr>
      <w:r>
        <w:rPr>
          <w:rFonts w:ascii="Noto Serif" w:hAnsi="Noto Serif"/>
          <w:b w:val="0"/>
          <w:i w:val="0"/>
          <w:sz w:val="19"/>
        </w:rPr>
        <w:t>→ Continuity + guidance → cumulative Born probability u is conserved.</w:t>
      </w:r>
    </w:p>
    <w:p>
      <w:pPr>
        <w:ind w:left="288" w:hanging="288"/>
        <w:widowControl w:val="1"/>
      </w:pPr>
      <w:r>
        <w:rPr>
          <w:rFonts w:ascii="Noto Serif" w:hAnsi="Noto Serif"/>
          <w:b w:val="0"/>
          <w:i w:val="0"/>
          <w:sz w:val="19"/>
        </w:rPr>
        <w:t>→ Final packet ordering → marked basin u &gt; 1−p*.</w:t>
      </w:r>
    </w:p>
    <w:p>
      <w:pPr>
        <w:ind w:left="288" w:hanging="288"/>
        <w:widowControl w:val="1"/>
      </w:pPr>
      <w:r>
        <w:rPr>
          <w:rFonts w:ascii="Noto Serif" w:hAnsi="Noto Serif"/>
          <w:b w:val="0"/>
          <w:i w:val="0"/>
          <w:sz w:val="19"/>
        </w:rPr>
        <w:t>→ Condition μ on shell A → deterministic ideal selection and R = ln(4/p*).</w:t>
      </w:r>
    </w:p>
    <w:p>
      <w:pPr>
        <w:ind w:left="288" w:hanging="288"/>
        <w:widowControl w:val="1"/>
      </w:pPr>
      <w:r>
        <w:rPr>
          <w:rFonts w:ascii="Noto Serif" w:hAnsi="Noto Serif"/>
          <w:b w:val="0"/>
          <w:i w:val="0"/>
          <w:sz w:val="19"/>
        </w:rPr>
        <w:t>→ Data processing → lower bound Ω(ln(1/p*)) = Ω(n).</w:t>
      </w:r>
    </w:p>
    <w:p>
      <w:pPr>
        <w:ind w:left="288" w:hanging="288"/>
        <w:widowControl w:val="1"/>
      </w:pPr>
      <w:r>
        <w:rPr>
          <w:rFonts w:ascii="Noto Serif" w:hAnsi="Noto Serif"/>
          <w:b w:val="0"/>
          <w:i w:val="0"/>
          <w:sz w:val="19"/>
        </w:rPr>
        <w:t>→ Five-qubit [[5,1,3]] code → sixteen orthogonal two-dimensional syndrome sectors that exhaust the 32-dimensional physical space.</w:t>
      </w:r>
    </w:p>
    <w:p>
      <w:pPr>
        <w:ind w:left="288" w:hanging="288"/>
        <w:widowControl w:val="1"/>
      </w:pPr>
      <w:r>
        <w:rPr>
          <w:rFonts w:ascii="Noto Serif" w:hAnsi="Noto Serif"/>
          <w:b w:val="0"/>
          <w:i w:val="0"/>
          <w:sz w:val="19"/>
        </w:rPr>
        <w:t>→ Replicated projector Q̃_L → global bounded projector, one-fault error-transparent translation, and syndrome-only sequential transparency.</w:t>
      </w:r>
    </w:p>
    <w:p>
      <w:pPr>
        <w:ind w:left="288" w:hanging="288"/>
        <w:widowControl w:val="1"/>
      </w:pPr>
      <w:r>
        <w:rPr>
          <w:rFonts w:ascii="Noto Serif" w:hAnsi="Noto Serif"/>
          <w:b w:val="0"/>
          <w:i w:val="0"/>
          <w:sz w:val="19"/>
        </w:rPr>
        <w:t>→ Logical opacity + A3–A4 → histories with no incorrect or nontransparent logical location implement the ideal computation and basin.</w:t>
      </w:r>
    </w:p>
    <w:p>
      <w:pPr>
        <w:ind w:left="288" w:hanging="288"/>
        <w:widowControl w:val="1"/>
      </w:pPr>
      <w:r>
        <w:rPr>
          <w:rFonts w:ascii="Noto Serif" w:hAnsi="Noto Serif"/>
          <w:b w:val="0"/>
          <w:i w:val="0"/>
          <w:sz w:val="19"/>
        </w:rPr>
        <w:t>→ Likelihood-ratio bound → nonequilibrium bad-event probability ≤ (4/p*) times equilibrium weight.</w:t>
      </w:r>
    </w:p>
    <w:p>
      <w:pPr>
        <w:ind w:left="288" w:hanging="288"/>
        <w:widowControl w:val="1"/>
      </w:pPr>
      <w:r>
        <w:rPr>
          <w:rFonts w:ascii="Noto Serif" w:hAnsi="Noto Serif"/>
          <w:b w:val="0"/>
          <w:i w:val="0"/>
          <w:sz w:val="19"/>
        </w:rPr>
        <w:t>→ Concatenation recursion → q_k ≤ (1/A) θ raised to the power 2^k.</w:t>
      </w:r>
    </w:p>
    <w:p>
      <w:pPr>
        <w:ind w:left="288" w:hanging="288"/>
        <w:widowControl w:val="1"/>
      </w:pPr>
      <w:r>
        <w:rPr>
          <w:rFonts w:ascii="Noto Serif" w:hAnsi="Noto Serif"/>
          <w:b w:val="0"/>
          <w:i w:val="0"/>
          <w:sz w:val="19"/>
        </w:rPr>
        <w:t>→ Union bound Pr_mu(B_k) ≤ L(n)q_k and event bound Pr_rho(B_k) ≤ (4/p*)Pr_mu(B_k) → k = O(log n), with total cost L(n)M^k = poly(n).</w:t>
      </w:r>
    </w:p>
    <w:p>
      <w:pPr/>
      <w:r>
        <w:t>→ Randomized isolation + bounded-error promise solver → randomized SAT decision in the enlarged model; SAT self-reduction → witness recovery.</w:t>
      </w:r>
    </w:p>
    <w:p>
      <w:pPr>
        <w:pStyle w:val="Heading1"/>
        <w:widowControl w:val="1"/>
      </w:pPr>
      <w:r>
        <w:t>Appendix B. Minimal arithmetic-check code</w:t>
      </w:r>
    </w:p>
    <w:p>
      <w:pPr>
        <w:keepLines w:val="0"/>
        <w:spacing w:after="80" w:before="0"/>
        <w:widowControl w:val="1"/>
      </w:pPr>
      <w:r>
        <w:rPr>
          <w:rFonts w:ascii="Noto Serif" w:hAnsi="Noto Serif"/>
          <w:b w:val="0"/>
          <w:i w:val="0"/>
          <w:sz w:val="20"/>
        </w:rPr>
        <w:t>Running code is not a substitute for understanding the derivation, but the following short script can catch transcription and sign errors after the algebra has been checked by hand.</w:t>
      </w:r>
    </w:p>
    <w:tbl>
      <w:tblPr>
        <w:tblW w:type="auto" w:w="0"/>
        <w:jc w:val="center"/>
        <w:tblLayout w:type="fixed"/>
        <w:tblLook w:firstColumn="1" w:firstRow="1" w:lastColumn="0" w:lastRow="0" w:noHBand="0" w:noVBand="1" w:val="04A0"/>
      </w:tblPr>
      <w:tblGrid>
        <w:gridCol w:w="9504"/>
      </w:tblGrid>
      <w:tr>
        <w:trPr>
          <w:cantSplit/>
        </w:trPr>
        <w:tc>
          <w:tcPr>
            <w:tcW w:type="dxa" w:w="10224"/>
            <w:shd w:fill="F3F4F5"/>
            <w:tcMar>
              <w:top w:w="100" w:type="dxa"/>
              <w:start w:w="120" w:type="dxa"/>
              <w:bottom w:w="100" w:type="dxa"/>
              <w:end w:w="120" w:type="dxa"/>
            </w:tcMar>
          </w:tcPr>
          <w:p>
            <w:r>
              <w:rPr>
                <w:rFonts w:ascii="Noto Sans Mono" w:hAnsi="Noto Sans Mono"/>
                <w:b w:val="0"/>
                <w:i w:val="0"/>
                <w:sz w:val="16"/>
              </w:rPr>
              <w:t>import math</w:t>
              <w:br/>
              <w:br/>
              <w:t>def binary_kl(r, p):</w:t>
              <w:br/>
              <w:t xml:space="preserve">    term1 = 0.0 if r == 0 else r * math.log(r / p)</w:t>
              <w:br/>
              <w:t xml:space="preserve">    term2 = 0.0 if r == 1 else (1-r) * math.log((1-r) / (1-p))</w:t>
              <w:br/>
              <w:t xml:space="preserve">    return term1 + term2</w:t>
              <w:br/>
              <w:br/>
              <w:t>def derivative_binary_kl(r, p):</w:t>
              <w:br/>
              <w:t xml:space="preserve">    return math.log(r * (1-p) / (p * (1-r)))</w:t>
              <w:br/>
              <w:br/>
              <w:t>def resource_cost(n):</w:t>
              <w:br/>
              <w:t xml:space="preserve">    p_star = 2.0 ** (-n)</w:t>
              <w:br/>
              <w:t xml:space="preserve">    return math.log(4.0 / p_star), n + 2.0</w:t>
              <w:br/>
              <w:br/>
              <w:t>def required_level(n, A, q0, logical_locations, delta=0.01):</w:t>
              <w:br/>
              <w:t xml:space="preserve">    theta = A * q0</w:t>
              <w:br/>
              <w:t xml:space="preserve">    assert 0 &lt; theta &lt; 1</w:t>
              <w:br/>
              <w:t xml:space="preserve">    rhs = (n*math.log(2) + math.log(4*logical_locations/(A*delta))) / (-math.log(theta))</w:t>
              <w:br/>
              <w:t xml:space="preserve">    return math.ceil(math.log2(max(1.0, rhs)))</w:t>
              <w:br/>
              <w:br/>
              <w:t># Monotonicity to the right of p.</w:t>
              <w:br/>
              <w:t>p, c = 2.0**-20, 0.1</w:t>
              <w:br/>
              <w:t>assert derivative_binary_kl(c, p) &gt; 0</w:t>
              <w:br/>
              <w:t>assert binary_kl(0.2, p) &gt;= binary_kl(c, p)</w:t>
              <w:br/>
              <w:br/>
              <w:t># Revised full-circuit example.</w:t>
              <w:br/>
              <w:t>n = 100</w:t>
              <w:br/>
              <w:t>L = n**3</w:t>
              <w:br/>
              <w:t>print(resource_cost(n))</w:t>
              <w:br/>
              <w:t>print(required_level(n=n, A=100, q0=0.001,</w:t>
              <w:br/>
              <w:t xml:space="preserve">                     logical_locations=L, delta=0.01))  # 6</w:t>
              <w:br/>
            </w:r>
          </w:p>
        </w:tc>
      </w:tr>
    </w:tbl>
    <w:p>
      <w:pPr>
        <w:pStyle w:val="Heading1"/>
        <w:widowControl w:val="1"/>
      </w:pPr>
      <w:r>
        <w:t>Appendix C. Revision crosswalk and remaining verification</w:t>
      </w:r>
    </w:p>
    <w:p>
      <w:pPr>
        <w:spacing w:after="40"/>
        <w:ind w:left="259" w:hanging="259"/>
        <w:widowControl w:val="1"/>
      </w:pPr>
      <w:r>
        <w:rPr>
          <w:rFonts w:ascii="Noto Serif" w:hAnsi="Noto Serif"/>
          <w:b w:val="0"/>
          <w:i w:val="0"/>
          <w:sz w:val="19"/>
        </w:rPr>
        <w:t>Implemented: Lemma 1 now states 0&lt;p&lt;c≤1 and r≥c, proves monotonicity of d(r||p) for r&gt;p, and handles c=1 by continuity.</w:t>
      </w:r>
    </w:p>
    <w:p>
      <w:pPr>
        <w:spacing w:after="40"/>
        <w:ind w:left="259" w:hanging="259"/>
        <w:widowControl w:val="1"/>
      </w:pPr>
      <w:r>
        <w:rPr>
          <w:rFonts w:ascii="Noto Serif" w:hAnsi="Noto Serif"/>
          <w:b w:val="0"/>
          <w:i w:val="0"/>
          <w:sz w:val="19"/>
        </w:rPr>
        <w:t>Implemented: p*=2^{-n} is the design value and p_f=wp* is the actual marked-state weight.</w:t>
      </w:r>
    </w:p>
    <w:p>
      <w:pPr>
        <w:spacing w:after="40"/>
        <w:ind w:left="259" w:hanging="259"/>
        <w:widowControl w:val="1"/>
      </w:pPr>
      <w:r>
        <w:rPr>
          <w:rFonts w:ascii="Noto Serif" w:hAnsi="Noto Serif"/>
          <w:b w:val="0"/>
          <w:i w:val="0"/>
          <w:sz w:val="19"/>
        </w:rPr>
        <w:t>Implemented: the five-qubit perfect-code sectors exhaust the physical Hilbert space; the general fixed-code version is extended by zero on K⊥.</w:t>
      </w:r>
    </w:p>
    <w:p>
      <w:pPr>
        <w:spacing w:after="40"/>
        <w:ind w:left="259" w:hanging="259"/>
        <w:widowControl w:val="1"/>
      </w:pPr>
      <w:r>
        <w:rPr>
          <w:rFonts w:ascii="Noto Serif" w:hAnsi="Noto Serif"/>
          <w:b w:val="0"/>
          <w:i w:val="0"/>
          <w:sz w:val="19"/>
        </w:rPr>
        <w:t>Implemented: the paper proves every one-qubit fault identity, proves syndrome-only sequential transparency, defines those histories as transparent, and charges all others to q_0.</w:t>
      </w:r>
    </w:p>
    <w:p>
      <w:pPr>
        <w:spacing w:after="40"/>
        <w:ind w:left="259" w:hanging="259"/>
        <w:widowControl w:val="1"/>
      </w:pPr>
      <w:r>
        <w:rPr>
          <w:rFonts w:ascii="Noto Serif" w:hAnsi="Noto Serif"/>
          <w:b w:val="0"/>
          <w:i w:val="0"/>
          <w:sz w:val="19"/>
        </w:rPr>
        <w:t>Implemented: A1 defines the complete L(n)-location circuit and the theorem uses Prρ(failure)≤4L(n)q_k/p*.</w:t>
      </w:r>
    </w:p>
    <w:p>
      <w:pPr>
        <w:spacing w:after="40"/>
        <w:ind w:left="259" w:hanging="259"/>
        <w:widowControl w:val="1"/>
      </w:pPr>
      <w:r>
        <w:rPr>
          <w:rFonts w:ascii="Noto Serif" w:hAnsi="Noto Serif"/>
          <w:b w:val="0"/>
          <w:i w:val="0"/>
          <w:sz w:val="19"/>
        </w:rPr>
        <w:t>Implemented: A3–A4 explicitly assume syndrome-resolved probability events and exclude a general unsyndromed coherent bath.</w:t>
      </w:r>
    </w:p>
    <w:p>
      <w:pPr>
        <w:spacing w:after="40"/>
        <w:ind w:left="259" w:hanging="259"/>
        <w:widowControl w:val="1"/>
      </w:pPr>
      <w:r>
        <w:rPr>
          <w:rFonts w:ascii="Noto Serif" w:hAnsi="Noto Serif"/>
          <w:b w:val="0"/>
          <w:i w:val="0"/>
          <w:sz w:val="19"/>
        </w:rPr>
        <w:t>Implemented: the paper states a randomized SAT decision consequence and separately invokes standard SAT self-reduction for witness recovery.</w:t>
      </w:r>
    </w:p>
    <w:p>
      <w:pPr>
        <w:spacing w:after="40"/>
        <w:ind w:left="259" w:hanging="259"/>
        <w:widowControl w:val="1"/>
      </w:pPr>
      <w:r>
        <w:rPr>
          <w:rFonts w:ascii="Noto Serif" w:hAnsi="Noto Serif"/>
          <w:b w:val="0"/>
          <w:i w:val="0"/>
          <w:sz w:val="19"/>
        </w:rPr>
        <w:t>Still required before submission: after completing this dossier, update the AI disclosure only with validation steps that were actually performed and retain the supporting evidence.</w:t>
      </w:r>
    </w:p>
    <w:p>
      <w:pPr/>
      <w:r>
        <w:t>[ ] Independently reproduce every revised derivation rather than treating the manuscript repair as verification.</w:t>
      </w:r>
    </w:p>
    <w:p>
      <w:pPr/>
      <w:r>
        <w:t>[ ] Verify the new five-qubit-code citation and every source location supporting the revised claims.</w:t>
      </w:r>
    </w:p>
    <w:p>
      <w:pPr/>
      <w:r>
        <w:t>[ ] Complete the novelty search, including the cumulative-probability shell and error-transparent readout combination.</w:t>
      </w:r>
    </w:p>
    <w:p>
      <w:pPr/>
      <w:r>
        <w:t>[ ] Decide whether the fixed-size higher-body interface and A3–A4 are scientifically acceptable assumptions for the submitted claim.</w:t>
      </w:r>
    </w:p>
    <w:p>
      <w:pPr>
        <w:pStyle w:val="Heading1"/>
        <w:widowControl w:val="1"/>
      </w:pPr>
      <w:r>
        <w:t>Appendix D. Source list</w:t>
      </w:r>
    </w:p>
    <w:p>
      <w:pPr>
        <w:ind w:left="259" w:hanging="259"/>
        <w:widowControl w:val="1"/>
      </w:pPr>
      <w:r>
        <w:rPr>
          <w:rFonts w:ascii="Noto Serif" w:hAnsi="Noto Serif"/>
          <w:b w:val="0"/>
          <w:i w:val="0"/>
          <w:sz w:val="17"/>
        </w:rPr>
        <w:t xml:space="preserve">• Springer Nature, AI use in research practice. </w:t>
      </w:r>
      <w:hyperlink r:id="rId11">
        <w:r>
          <w:rPr>
            <w:color w:val="1F5A92"/>
            <w:u w:val="single"/>
            <w:rFonts w:ascii="Noto Sans" w:hAnsi="Noto Sans"/>
          </w:rPr>
          <w:t>https://www.springernature.com/gp/policies/editorial-policies/using-ai-in-research</w:t>
        </w:r>
      </w:hyperlink>
    </w:p>
    <w:p>
      <w:pPr>
        <w:ind w:left="259" w:hanging="259"/>
        <w:widowControl w:val="1"/>
      </w:pPr>
      <w:r>
        <w:rPr>
          <w:rFonts w:ascii="Noto Serif" w:hAnsi="Noto Serif"/>
          <w:b w:val="0"/>
          <w:i w:val="0"/>
          <w:sz w:val="17"/>
        </w:rPr>
        <w:t xml:space="preserve">• Springer Nature, AI use in manuscript preparation. </w:t>
      </w:r>
      <w:hyperlink r:id="rId12">
        <w:r>
          <w:rPr>
            <w:color w:val="1F5A92"/>
            <w:u w:val="single"/>
            <w:rFonts w:ascii="Noto Sans" w:hAnsi="Noto Sans"/>
          </w:rPr>
          <w:t>https://www.springernature.com/gp/policies/editorial-policies/ai-manuscript-preparation</w:t>
        </w:r>
      </w:hyperlink>
    </w:p>
    <w:p>
      <w:pPr>
        <w:ind w:left="259" w:hanging="259"/>
        <w:widowControl w:val="1"/>
      </w:pPr>
      <w:r>
        <w:rPr>
          <w:rFonts w:ascii="Noto Serif" w:hAnsi="Noto Serif"/>
          <w:b w:val="0"/>
          <w:i w:val="0"/>
          <w:sz w:val="17"/>
        </w:rPr>
        <w:t xml:space="preserve">• Springer Nature, editor AI assessment guidance. </w:t>
      </w:r>
      <w:hyperlink r:id="rId13">
        <w:r>
          <w:rPr>
            <w:color w:val="1F5A92"/>
            <w:u w:val="single"/>
            <w:rFonts w:ascii="Noto Sans" w:hAnsi="Noto Sans"/>
          </w:rPr>
          <w:t>https://www.springernature.com/gp/policies/editorial-policies/ai-editor-guidance</w:t>
        </w:r>
      </w:hyperlink>
    </w:p>
    <w:p>
      <w:pPr>
        <w:ind w:left="259" w:hanging="259"/>
        <w:widowControl w:val="1"/>
      </w:pPr>
      <w:r>
        <w:rPr>
          <w:rFonts w:ascii="Noto Serif" w:hAnsi="Noto Serif"/>
          <w:b w:val="0"/>
          <w:i w:val="0"/>
          <w:sz w:val="17"/>
        </w:rPr>
        <w:t xml:space="preserve">• Valentini, De Broglie-Bohm Quantum Mechanics, arXiv:2409.01294. </w:t>
      </w:r>
      <w:hyperlink r:id="rId14">
        <w:r>
          <w:rPr>
            <w:color w:val="1F5A92"/>
            <w:u w:val="single"/>
            <w:rFonts w:ascii="Noto Sans" w:hAnsi="Noto Sans"/>
          </w:rPr>
          <w:t>https://arxiv.org/abs/2409.01294</w:t>
        </w:r>
      </w:hyperlink>
    </w:p>
    <w:p>
      <w:pPr>
        <w:ind w:left="259" w:hanging="259"/>
        <w:widowControl w:val="1"/>
      </w:pPr>
      <w:r>
        <w:rPr>
          <w:rFonts w:ascii="Noto Serif" w:hAnsi="Noto Serif"/>
          <w:b w:val="0"/>
          <w:i w:val="0"/>
          <w:sz w:val="17"/>
        </w:rPr>
        <w:t xml:space="preserve">• Valentini, Subquantum Information and Computation, quant-ph/0203049. </w:t>
      </w:r>
      <w:hyperlink r:id="rId15">
        <w:r>
          <w:rPr>
            <w:color w:val="1F5A92"/>
            <w:u w:val="single"/>
            <w:rFonts w:ascii="Noto Sans" w:hAnsi="Noto Sans"/>
          </w:rPr>
          <w:t>https://arxiv.org/abs/quant-ph/0203049</w:t>
        </w:r>
      </w:hyperlink>
    </w:p>
    <w:p>
      <w:pPr>
        <w:ind w:left="259" w:hanging="259"/>
        <w:widowControl w:val="1"/>
      </w:pPr>
      <w:r>
        <w:rPr>
          <w:rFonts w:ascii="Noto Serif" w:hAnsi="Noto Serif"/>
          <w:b w:val="0"/>
          <w:i w:val="0"/>
          <w:sz w:val="17"/>
        </w:rPr>
        <w:t xml:space="preserve">• Valentini, Signal-locality, uncertainty, and the subquantum H-theorem I. </w:t>
      </w:r>
      <w:hyperlink r:id="rId16">
        <w:r>
          <w:rPr>
            <w:color w:val="1F5A92"/>
            <w:u w:val="single"/>
            <w:rFonts w:ascii="Noto Sans" w:hAnsi="Noto Sans"/>
          </w:rPr>
          <w:t>https://doi.org/10.1016/0375-9601(91)90116-P</w:t>
        </w:r>
      </w:hyperlink>
    </w:p>
    <w:p>
      <w:pPr/>
      <w:r>
        <w:t>• Laflamme, Miquel, Paz, and Zurek, Perfect Quantum Error Correcting Code. https://doi.org/10.1103/PhysRevLett.77.198</w:t>
      </w:r>
    </w:p>
    <w:p>
      <w:pPr>
        <w:ind w:left="259" w:hanging="259"/>
        <w:widowControl w:val="1"/>
      </w:pPr>
      <w:r>
        <w:rPr>
          <w:rFonts w:ascii="Noto Serif" w:hAnsi="Noto Serif"/>
          <w:b w:val="0"/>
          <w:i w:val="0"/>
          <w:sz w:val="17"/>
        </w:rPr>
        <w:t xml:space="preserve">• Knill and Laflamme, A Theory of Quantum Error-Correcting Codes. </w:t>
      </w:r>
      <w:hyperlink r:id="rId17">
        <w:r>
          <w:rPr>
            <w:color w:val="1F5A92"/>
            <w:u w:val="single"/>
            <w:rFonts w:ascii="Noto Sans" w:hAnsi="Noto Sans"/>
          </w:rPr>
          <w:t>https://arxiv.org/abs/quant-ph/9604034</w:t>
        </w:r>
      </w:hyperlink>
    </w:p>
    <w:p>
      <w:pPr>
        <w:ind w:left="259" w:hanging="259"/>
        <w:widowControl w:val="1"/>
      </w:pPr>
      <w:r>
        <w:rPr>
          <w:rFonts w:ascii="Noto Serif" w:hAnsi="Noto Serif"/>
          <w:b w:val="0"/>
          <w:i w:val="0"/>
          <w:sz w:val="17"/>
        </w:rPr>
        <w:t xml:space="preserve">• Vy, Wang, and Jacobs, Error-transparent evolution. </w:t>
      </w:r>
      <w:hyperlink r:id="rId18">
        <w:r>
          <w:rPr>
            <w:color w:val="1F5A92"/>
            <w:u w:val="single"/>
            <w:rFonts w:ascii="Noto Sans" w:hAnsi="Noto Sans"/>
          </w:rPr>
          <w:t>https://arxiv.org/abs/1210.8007</w:t>
        </w:r>
      </w:hyperlink>
    </w:p>
    <w:p>
      <w:pPr>
        <w:ind w:left="259" w:hanging="259"/>
        <w:widowControl w:val="1"/>
      </w:pPr>
      <w:r>
        <w:rPr>
          <w:rFonts w:ascii="Noto Serif" w:hAnsi="Noto Serif"/>
          <w:b w:val="0"/>
          <w:i w:val="0"/>
          <w:sz w:val="17"/>
        </w:rPr>
        <w:t xml:space="preserve">• Aliferis, Gottesman, and Preskill, Quantum accuracy threshold. </w:t>
      </w:r>
      <w:hyperlink r:id="rId19">
        <w:r>
          <w:rPr>
            <w:color w:val="1F5A92"/>
            <w:u w:val="single"/>
            <w:rFonts w:ascii="Noto Sans" w:hAnsi="Noto Sans"/>
          </w:rPr>
          <w:t>https://arxiv.org/abs/quant-ph/0504218</w:t>
        </w:r>
      </w:hyperlink>
    </w:p>
    <w:p>
      <w:pPr>
        <w:ind w:left="259" w:hanging="259"/>
        <w:widowControl w:val="1"/>
      </w:pPr>
      <w:r>
        <w:rPr>
          <w:rFonts w:ascii="Noto Serif" w:hAnsi="Noto Serif"/>
          <w:b w:val="0"/>
          <w:i w:val="0"/>
          <w:sz w:val="17"/>
        </w:rPr>
        <w:t xml:space="preserve">• Beale et al., Quantum Error Correction Decoheres Noise. </w:t>
      </w:r>
      <w:hyperlink r:id="rId20">
        <w:r>
          <w:rPr>
            <w:color w:val="1F5A92"/>
            <w:u w:val="single"/>
            <w:rFonts w:ascii="Noto Sans" w:hAnsi="Noto Sans"/>
          </w:rPr>
          <w:t>https://arxiv.org/abs/1805.08802</w:t>
        </w:r>
      </w:hyperlink>
    </w:p>
    <w:p>
      <w:pPr>
        <w:ind w:left="259" w:hanging="259"/>
        <w:widowControl w:val="1"/>
      </w:pPr>
      <w:r>
        <w:rPr>
          <w:rFonts w:ascii="Noto Serif" w:hAnsi="Noto Serif"/>
          <w:b w:val="0"/>
          <w:i w:val="0"/>
          <w:sz w:val="17"/>
        </w:rPr>
        <w:t xml:space="preserve">• Valiant and Vazirani, NP is as easy as detecting unique solutions. </w:t>
      </w:r>
      <w:hyperlink r:id="rId21">
        <w:r>
          <w:rPr>
            <w:color w:val="1F5A92"/>
            <w:u w:val="single"/>
            <w:rFonts w:ascii="Noto Sans" w:hAnsi="Noto Sans"/>
          </w:rPr>
          <w:t>https://doi.org/10.1016/0304-3975(86)90135-0</w:t>
        </w:r>
      </w:hyperlink>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b w:val="0"/>
        <w:i w:val="0"/>
        <w:color w:val="5A646E"/>
        <w:sz w:val="16"/>
      </w:rPr>
      <w:t xml:space="preserve">Human verification record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val="0"/>
        <w:i w:val="0"/>
        <w:color w:val="5A646E"/>
        <w:sz w:val="16"/>
      </w:rPr>
      <w:t>Amber AI Verification Dossier - Michael A. Stay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Noto Serif" w:hAnsi="Noto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b/>
      <w:bCs/>
      <w:color w:val="1F415B"/>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w:hAnsi="Noto Sans"/>
      <w:b/>
      <w:bCs/>
      <w:color w:val="1F5A92"/>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b/>
      <w:bCs/>
      <w:color w:val="355C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20"/>
      <w:contextualSpacing/>
    </w:pPr>
    <w:rPr>
      <w:rFonts w:asciiTheme="majorHAnsi" w:eastAsiaTheme="majorEastAsia" w:hAnsiTheme="majorHAnsi" w:cstheme="majorBidi" w:ascii="Noto Sans" w:hAnsi="Noto Sans"/>
      <w:b/>
      <w:color w:val="1F41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60"/>
    </w:pPr>
    <w:rPr>
      <w:rFonts w:asciiTheme="majorHAnsi" w:eastAsiaTheme="majorEastAsia" w:hAnsiTheme="majorHAnsi" w:cstheme="majorBidi" w:ascii="Noto Sans" w:hAnsi="Noto Sans"/>
      <w:b/>
      <w:i/>
      <w:iCs/>
      <w:color w:val="5A64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pringernature.com/gp/policies/editorial-policies/using-ai-in-research" TargetMode="External"/><Relationship Id="rId12" Type="http://schemas.openxmlformats.org/officeDocument/2006/relationships/hyperlink" Target="https://www.springernature.com/gp/policies/editorial-policies/ai-manuscript-preparation" TargetMode="External"/><Relationship Id="rId13" Type="http://schemas.openxmlformats.org/officeDocument/2006/relationships/hyperlink" Target="https://www.springernature.com/gp/policies/editorial-policies/ai-editor-guidance" TargetMode="External"/><Relationship Id="rId14" Type="http://schemas.openxmlformats.org/officeDocument/2006/relationships/hyperlink" Target="https://arxiv.org/abs/2409.01294" TargetMode="External"/><Relationship Id="rId15" Type="http://schemas.openxmlformats.org/officeDocument/2006/relationships/hyperlink" Target="https://arxiv.org/abs/quant-ph/0203049" TargetMode="External"/><Relationship Id="rId16" Type="http://schemas.openxmlformats.org/officeDocument/2006/relationships/hyperlink" Target="https://doi.org/10.1016/0375-9601(91)90116-P" TargetMode="External"/><Relationship Id="rId17" Type="http://schemas.openxmlformats.org/officeDocument/2006/relationships/hyperlink" Target="https://arxiv.org/abs/quant-ph/9604034" TargetMode="External"/><Relationship Id="rId18" Type="http://schemas.openxmlformats.org/officeDocument/2006/relationships/hyperlink" Target="https://arxiv.org/abs/1210.8007" TargetMode="External"/><Relationship Id="rId19" Type="http://schemas.openxmlformats.org/officeDocument/2006/relationships/hyperlink" Target="https://arxiv.org/abs/quant-ph/0504218" TargetMode="External"/><Relationship Id="rId20" Type="http://schemas.openxmlformats.org/officeDocument/2006/relationships/hyperlink" Target="https://arxiv.org/abs/1805.08802" TargetMode="External"/><Relationship Id="rId21" Type="http://schemas.openxmlformats.org/officeDocument/2006/relationships/hyperlink" Target="https://doi.org/10.1016/0304-3975(86)9013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Verification Dossier for Amber Classification - Version 2.0</dc:title>
  <dc:subject>Verification guide for revised Foundations of Physics manuscript</dc:subject>
  <dc:creator>Michael A. Stay</dc:creator>
  <cp:keywords>AI disclosure, amber classification, human verification, pilot-wave theory, subquantum computation</cp:keywords>
  <dc:description>This dossier is a verification aid. Final scientific judgement and sign-off belong to the human author.</dc:description>
  <cp:lastModifiedBy>OpenAI ChatGPT</cp:lastModifiedBy>
  <cp:revision>1</cp:revision>
  <dcterms:created xsi:type="dcterms:W3CDTF">2013-12-23T23:15:00Z</dcterms:created>
  <dcterms:modified xsi:type="dcterms:W3CDTF">2013-12-23T23:15:00Z</dcterms:modified>
  <cp:category/>
</cp:coreProperties>
</file>