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bstract"/>
    <w:p>
      <w:pPr>
        <w:pStyle w:val="MWESpacer"/>
        <w:spacing w:lineRule="exact" w:line="5500" w:before="0" w:after="0"/>
        <w:ind w:firstLine="0"/>
      </w:pPr>
    </w:p>
    <w:p>
      <w:pPr>
        <w:pStyle w:val="MWETitle"/>
      </w:pPr>
      <w:r>
        <w:t>Delegated Execution / Retained Answerability</w:t>
      </w:r>
    </w:p>
    <w:p>
      <w:pPr>
        <w:pStyle w:val="MWESpacer"/>
        <w:spacing w:lineRule="exact" w:line="120" w:before="0" w:after="0"/>
        <w:ind w:firstLine="0"/>
      </w:pPr>
    </w:p>
    <w:p>
      <w:pPr>
        <w:pStyle w:val="MWESubtitle"/>
      </w:pPr>
      <w:r>
        <w:t>Execution Displacement, Judgment Retention, and Downstream Responsibility in AI-Mediated Workflows</w:t>
      </w:r>
    </w:p>
    <w:p>
      <w:pPr>
        <w:pStyle w:val="MWESpacer"/>
        <w:spacing w:lineRule="exact" w:line="360" w:before="0" w:after="0"/>
        <w:ind w:firstLine="0"/>
      </w:pPr>
    </w:p>
    <w:p>
      <w:pPr>
        <w:pStyle w:val="MWEMeta"/>
      </w:pPr>
      <w:r>
        <w:rPr>
          <w:b/>
          <w:i/>
        </w:rPr>
        <w:t xml:space="preserve">Version: </w:t>
      </w:r>
      <w:r>
        <w:rPr>
          <w:b w:val="0"/>
          <w:i/>
        </w:rPr>
        <w:t>0.1</w:t>
      </w:r>
    </w:p>
    <w:p>
      <w:pPr>
        <w:pStyle w:val="MWEMeta"/>
      </w:pPr>
      <w:r>
        <w:rPr>
          <w:b/>
          <w:i/>
        </w:rPr>
        <w:t xml:space="preserve">Date: </w:t>
      </w:r>
      <w:r>
        <w:rPr>
          <w:b w:val="0"/>
          <w:i/>
        </w:rPr>
        <w:t>July 2026</w:t>
      </w:r>
    </w:p>
    <w:p>
      <w:pPr>
        <w:pStyle w:val="MWEMeta"/>
      </w:pPr>
      <w:r>
        <w:rPr>
          <w:b/>
          <w:i/>
        </w:rPr>
        <w:t xml:space="preserve">Status: </w:t>
      </w:r>
      <w:r>
        <w:rPr>
          <w:b w:val="0"/>
          <w:i/>
        </w:rPr>
        <w:t>Preprint / OSF external-facing draft</w:t>
      </w:r>
    </w:p>
    <w:p>
      <w:pPr>
        <w:pStyle w:val="MWEMeta"/>
      </w:pPr>
      <w:r>
        <w:rPr>
          <w:b/>
          <w:i/>
        </w:rPr>
        <w:t xml:space="preserve">Context: </w:t>
      </w:r>
      <w:r>
        <w:rPr>
          <w:b w:val="0"/>
          <w:i/>
        </w:rPr>
        <w:t>Meta-Writing Ecology</w:t>
      </w:r>
    </w:p>
    <w:p>
      <w:pPr>
        <w:pStyle w:val="MWEMeta"/>
      </w:pPr>
      <w:r>
        <w:rPr>
          <w:b/>
          <w:i/>
        </w:rPr>
        <w:t xml:space="preserve">Document Type: </w:t>
      </w:r>
      <w:r>
        <w:rPr>
          <w:b w:val="0"/>
          <w:i/>
        </w:rPr>
        <w:t>Cross-Supporting Boundary Note</w:t>
      </w:r>
    </w:p>
    <w:p>
      <w:pPr>
        <w:pStyle w:val="MWESpacer"/>
        <w:spacing w:lineRule="exact" w:line="2800" w:before="0" w:after="0"/>
        <w:ind w:firstLine="0"/>
      </w:pPr>
    </w:p>
    <w:p>
      <w:pPr>
        <w:pStyle w:val="MWEAuthor"/>
      </w:pPr>
      <w:r>
        <w:t>Huang Tzuyuan</w:t>
      </w:r>
    </w:p>
    <w:p>
      <w:pPr>
        <w:pStyle w:val="MWESpacer"/>
      </w:pPr>
      <w:r>
        <w:br w:type="page"/>
      </w:r>
    </w:p>
    <w:p>
      <w:pPr>
        <w:pStyle w:val="Heading2"/>
      </w:pPr>
      <w:r>
        <w:t xml:space="preserve">Abstract</w:t>
      </w:r>
    </w:p>
    <w:p>
      <w:pPr>
        <w:pStyle w:val="FirstParagraph"/>
      </w:pPr>
      <w:r>
        <w:t xml:space="preserve">This document formalizes</w:t>
      </w:r>
      <w:r>
        <w:t xml:space="preserve"> </w:t>
      </w:r>
      <w:r>
        <w:rPr>
          <w:bCs/>
          <w:b/>
        </w:rPr>
        <w:t xml:space="preserve">Delegated Execution / Retained Answerability</w:t>
      </w:r>
      <w:r>
        <w:t xml:space="preserve"> </w:t>
      </w:r>
      <w:r>
        <w:t xml:space="preserve">as a boundary note for examining systems in which visible task performance is moved to a tool, model, service, workflow, or delegated actor while judgment, verification, and answerability remain attached to another node. The note begins from a central distinction: the transfer of execution does not by itself transfer the obligation to decide whether an output can be trusted, integrated, cited, filed, published, deployed, or defended.</w:t>
      </w:r>
    </w:p>
    <w:p>
      <w:pPr>
        <w:pStyle w:val="BodyText"/>
      </w:pPr>
      <w:r>
        <w:t xml:space="preserve">The condition is increasingly visible in AI-mediated work. A system may draft, retrieve, classify, summarize, transform, recommend, or assemble material at low apparent cost. The receiving node may then appear to perform only a brief review. Yet that review can contain the decisive work: checking sources, identifying omissions, testing fit to context, interpreting uncertainty, preserving scope, and accepting downstream consequences. When this remaining work is hidden by the completed appearance of the output, the system can report execution efficiency while concentrating answerability at a final human or institutional node.</w:t>
      </w:r>
    </w:p>
    <w:p>
      <w:pPr>
        <w:pStyle w:val="BodyText"/>
      </w:pPr>
      <w:r>
        <w:t xml:space="preserve">The note does not argue that delegation is intrinsically irresponsible or that all automated output requires exhaustive review. It provides a structural vocabulary for distinguishing execution, acceptance, judgment, verification, authority, and consequence. It also identifies conditions under which the answerable node lacks the time, visibility, control, or support needed to stand behind the delegated result. The framework is intended for conceptual analysis of AI-assisted research, administrative work, professional review, agentic systems, and other workflows in which production and responsible acceptance occur at different locations.</w:t>
      </w:r>
    </w:p>
    <w:p>
      <w:r>
        <w:pict>
          <v:rect style="width:0;height:1.5pt" o:hralign="center" o:hrstd="t" o:hr="t"/>
        </w:pict>
      </w:r>
    </w:p>
    <w:bookmarkEnd w:id="20"/>
    <w:bookmarkStart w:id="21" w:name="keywords"/>
    <w:p>
      <w:pPr>
        <w:pStyle w:val="Heading2"/>
      </w:pPr>
      <w:r>
        <w:t xml:space="preserve">Keywords</w:t>
      </w:r>
    </w:p>
    <w:p>
      <w:pPr>
        <w:pStyle w:val="FirstParagraph"/>
      </w:pPr>
      <w:r>
        <w:t xml:space="preserve">Delegated Execution; Retained Answerability; Execution–Responsibility Split; Downstream Verification; Judgment Retention; AI-Mediated Workflow; Output Acceptance; Human-in-the-Loop Boundary; Responsibility Alignment; Verification Labor; Task Stewardship; Final-Node Responsibility; Automation Governance; Meta-Writing Ecology.</w:t>
      </w:r>
    </w:p>
    <w:p>
      <w:r>
        <w:pict>
          <v:rect style="width:0;height:1.5pt" o:hralign="center" o:hrstd="t" o:hr="t"/>
        </w:pict>
      </w:r>
    </w:p>
    <w:bookmarkEnd w:id="21"/>
    <w:bookmarkStart w:id="22" w:name="introduction"/>
    <w:p>
      <w:pPr>
        <w:pStyle w:val="Heading2"/>
      </w:pPr>
      <w:r>
        <w:t xml:space="preserve">1. Introduction</w:t>
      </w:r>
    </w:p>
    <w:p>
      <w:pPr>
        <w:pStyle w:val="FirstParagraph"/>
      </w:pPr>
      <w:r>
        <w:t xml:space="preserve">Delegation is often described through the amount of work that visibly moves. A task once performed by a person may be generated by a model, routed through a service, assembled by an automated workflow, or divided across several roles. From the perspective of execution, the transfer may be real. Fewer keystrokes, fewer manual transformations, or fewer locally performed steps may be required.</w:t>
      </w:r>
    </w:p>
    <w:p>
      <w:pPr>
        <w:pStyle w:val="BodyText"/>
      </w:pPr>
      <w:r>
        <w:t xml:space="preserve">The difficulty is that responsible use is not exhausted by visible execution. An output may still need to be interpreted, verified, contextualized, limited, corrected, or rejected. The node that performs this work may not have produced the output, but it remains the node that must decide whether the output enters a consequential system. The apparent reduction of work can therefore coexist with a concentration of judgment and risk.</w:t>
      </w:r>
    </w:p>
    <w:p>
      <w:pPr>
        <w:pStyle w:val="BodyText"/>
      </w:pPr>
      <w:r>
        <w:t xml:space="preserve">This note treats that relation as a boundary problem rather than a general argument for or against automation. It asks where execution occurs, where acceptance occurs, who retains the capacity to inspect the result, and who must answer when the result is challenged. The object of analysis is not tool use alone. It is the alignment between delegated production and retained answerability.</w:t>
      </w:r>
    </w:p>
    <w:p>
      <w:r>
        <w:pict>
          <v:rect style="width:0;height:1.5pt" o:hralign="center" o:hrstd="t" o:hr="t"/>
        </w:pict>
      </w:r>
    </w:p>
    <w:bookmarkEnd w:id="22"/>
    <w:bookmarkStart w:id="23" w:name="core-definition"/>
    <w:p>
      <w:pPr>
        <w:pStyle w:val="Heading2"/>
      </w:pPr>
      <w:r>
        <w:t xml:space="preserve">2. Core Definition</w:t>
      </w:r>
    </w:p>
    <w:p>
      <w:pPr>
        <w:pStyle w:val="FirstParagraph"/>
      </w:pPr>
      <w:r>
        <w:t xml:space="preserve">Delegated Execution / Retained Answerability describes the condition in which a system, tool, process, or external actor performs part of the visible execution of a task while answerability remains attached to another node.</w:t>
      </w:r>
    </w:p>
    <w:p>
      <w:pPr>
        <w:pStyle w:val="BodyText"/>
      </w:pPr>
      <w:r>
        <w:t xml:space="preserve">The delegated node may generate, organize, transform, retrieve, draft, classify, recommend, or assemble an output. However, the responsibility for determining whether that output is usable, valid, appropriate, complete, contextually aligned, or safe to act on remains with the receiving human, institutional role, reviewer, signatory, operator, or downstream user.</w:t>
      </w:r>
    </w:p>
    <w:p>
      <w:pPr>
        <w:pStyle w:val="BodyText"/>
      </w:pPr>
      <w:r>
        <w:t xml:space="preserve">The central structural issue is not that delegation occurs. Delegation may be legitimate, useful, efficient, and intentionally scoped.</w:t>
      </w:r>
    </w:p>
    <w:p>
      <w:pPr>
        <w:pStyle w:val="BodyText"/>
      </w:pPr>
      <w:r>
        <w:t xml:space="preserve">The issue appears when execution is displaced without a corresponding displacement of judgment, verification capacity, authority, visibility, or accountability.</w:t>
      </w:r>
    </w:p>
    <w:p>
      <w:pPr>
        <w:pStyle w:val="BodyText"/>
      </w:pPr>
      <w:r>
        <w:t xml:space="preserve">In this condition, the system may appear to reduce work because visible production becomes faster or easier. But the answerable node still carries the burden of checking, integrating, correcting, accepting, rejecting, contextualizing, or defending the result.</w:t>
      </w:r>
    </w:p>
    <w:p>
      <w:r>
        <w:pict>
          <v:rect style="width:0;height:1.5pt" o:hralign="center" o:hrstd="t" o:hr="t"/>
        </w:pict>
      </w:r>
    </w:p>
    <w:bookmarkEnd w:id="23"/>
    <w:bookmarkStart w:id="24" w:name="classification-and-scope"/>
    <w:p>
      <w:pPr>
        <w:pStyle w:val="Heading2"/>
      </w:pPr>
      <w:r>
        <w:t xml:space="preserve">3. Classification and Scope</w:t>
      </w:r>
    </w:p>
    <w:p>
      <w:pPr>
        <w:pStyle w:val="FirstParagraph"/>
      </w:pPr>
      <w:r>
        <w:t xml:space="preserve">This document presents</w:t>
      </w:r>
      <w:r>
        <w:t xml:space="preserve"> </w:t>
      </w:r>
      <w:r>
        <w:rPr>
          <w:bCs/>
          <w:b/>
        </w:rPr>
        <w:t xml:space="preserve">Delegated Execution / Retained Answerability</w:t>
      </w:r>
      <w:r>
        <w:t xml:space="preserve"> </w:t>
      </w:r>
      <w:r>
        <w:t xml:space="preserve">as an external-facing boundary or diagnostic note. The note isolates a recurring distinction that supports several broader models without claiming an independent universal mechanism in every domain.</w:t>
      </w:r>
    </w:p>
    <w:p>
      <w:pPr>
        <w:pStyle w:val="BodyText"/>
      </w:pPr>
      <w:r>
        <w:t xml:space="preserve">It is not a legal, ethical, clinical, technical, or compliance standard. It does not assign blame, calculate risk, or authorize automated decisions. The public version omits non-public editorial records, private source materials, non-public working materials, and implementation details.</w:t>
      </w:r>
    </w:p>
    <w:p>
      <w:r>
        <w:pict>
          <v:rect style="width:0;height:1.5pt" o:hralign="center" o:hrstd="t" o:hr="t"/>
        </w:pict>
      </w:r>
    </w:p>
    <w:bookmarkEnd w:id="24"/>
    <w:bookmarkStart w:id="25" w:name="central-distinctions"/>
    <w:p>
      <w:pPr>
        <w:pStyle w:val="Heading2"/>
      </w:pPr>
      <w:r>
        <w:t xml:space="preserve">4. Central Distinctions</w:t>
      </w:r>
    </w:p>
    <w:p>
      <w:pPr>
        <w:pStyle w:val="FirstParagraph"/>
      </w:pPr>
      <w:r>
        <w:t xml:space="preserve">execution delegation</w:t>
      </w:r>
      <w:r>
        <w:t xml:space="preserve"> </w:t>
      </w:r>
      <w:r>
        <w:t xml:space="preserve">≠</w:t>
      </w:r>
      <w:r>
        <w:t xml:space="preserve"> </w:t>
      </w:r>
      <w:r>
        <w:t xml:space="preserve">answerability transfer</w:t>
      </w:r>
    </w:p>
    <w:p>
      <w:pPr>
        <w:pStyle w:val="BodyText"/>
      </w:pPr>
      <w:r>
        <w:t xml:space="preserve">A task can be partially performed elsewhere while responsibility for the outcome remains attached to the receiving node.</w:t>
      </w:r>
    </w:p>
    <w:p>
      <w:r>
        <w:pict>
          <v:rect style="width:0;height:1.5pt" o:hralign="center" o:hrstd="t" o:hr="t"/>
        </w:pict>
      </w:r>
    </w:p>
    <w:bookmarkEnd w:id="25"/>
    <w:bookmarkStart w:id="28" w:name="core-mechanism-and-structural-sequence"/>
    <w:p>
      <w:pPr>
        <w:pStyle w:val="Heading2"/>
      </w:pPr>
      <w:r>
        <w:t xml:space="preserve">5. Core Mechanism and Structural Sequence</w:t>
      </w:r>
    </w:p>
    <w:bookmarkStart w:id="26" w:name="core-mechanism"/>
    <w:p>
      <w:pPr>
        <w:pStyle w:val="Heading3"/>
      </w:pPr>
      <w:r>
        <w:t xml:space="preserve">5.1 Core Mechanism</w:t>
      </w:r>
    </w:p>
    <w:p>
      <w:pPr>
        <w:pStyle w:val="FirstParagraph"/>
      </w:pPr>
      <w:r>
        <w:t xml:space="preserve">task execution becomes delegable</w:t>
      </w:r>
      <w:r>
        <w:t xml:space="preserve"> </w:t>
      </w:r>
      <w:r>
        <w:t xml:space="preserve">→ visible production effort decreases</w:t>
      </w:r>
      <w:r>
        <w:t xml:space="preserve"> </w:t>
      </w:r>
      <w:r>
        <w:t xml:space="preserve">→ output appears usable</w:t>
      </w:r>
      <w:r>
        <w:t xml:space="preserve"> </w:t>
      </w:r>
      <w:r>
        <w:t xml:space="preserve">→ receiving node must still evaluate fitness</w:t>
      </w:r>
      <w:r>
        <w:t xml:space="preserve"> </w:t>
      </w:r>
      <w:r>
        <w:t xml:space="preserve">→ verification / integration / correction remain necessary</w:t>
      </w:r>
      <w:r>
        <w:t xml:space="preserve"> </w:t>
      </w:r>
      <w:r>
        <w:t xml:space="preserve">→ responsibility remains attached to the receiver</w:t>
      </w:r>
      <w:r>
        <w:t xml:space="preserve"> </w:t>
      </w:r>
      <w:r>
        <w:t xml:space="preserve">→ work reduction is overstated</w:t>
      </w:r>
      <w:r>
        <w:t xml:space="preserve"> </w:t>
      </w:r>
      <w:r>
        <w:t xml:space="preserve">→ answerability becomes concentrated after execution</w:t>
      </w:r>
    </w:p>
    <w:bookmarkEnd w:id="26"/>
    <w:bookmarkStart w:id="27" w:name="structural-sequence"/>
    <w:p>
      <w:pPr>
        <w:pStyle w:val="Heading3"/>
      </w:pPr>
      <w:r>
        <w:t xml:space="preserve">5.2 Structural Sequence</w:t>
      </w:r>
    </w:p>
    <w:p>
      <w:pPr>
        <w:pStyle w:val="FirstParagraph"/>
      </w:pPr>
      <w:r>
        <w:t xml:space="preserve">Failure Flow</w:t>
      </w:r>
    </w:p>
    <w:p>
      <w:pPr>
        <w:pStyle w:val="BodyText"/>
      </w:pPr>
      <w:r>
        <w:t xml:space="preserve">execution delegated</w:t>
      </w:r>
      <w:r>
        <w:t xml:space="preserve"> </w:t>
      </w:r>
      <w:r>
        <w:t xml:space="preserve">→ output produced</w:t>
      </w:r>
      <w:r>
        <w:t xml:space="preserve"> </w:t>
      </w:r>
      <w:r>
        <w:t xml:space="preserve">→ surface completion appears</w:t>
      </w:r>
      <w:r>
        <w:t xml:space="preserve"> </w:t>
      </w:r>
      <w:r>
        <w:t xml:space="preserve">→ verification need is underestimated</w:t>
      </w:r>
      <w:r>
        <w:t xml:space="preserve"> </w:t>
      </w:r>
      <w:r>
        <w:t xml:space="preserve">→ receiving node accepts or repairs output</w:t>
      </w:r>
      <w:r>
        <w:t xml:space="preserve"> </w:t>
      </w:r>
      <w:r>
        <w:t xml:space="preserve">→ responsibility concentrates downstream</w:t>
      </w:r>
      <w:r>
        <w:t xml:space="preserve"> </w:t>
      </w:r>
      <w:r>
        <w:t xml:space="preserve">→ delegated execution is mistaken for responsibility reduction</w:t>
      </w:r>
    </w:p>
    <w:p>
      <w:pPr>
        <w:pStyle w:val="BodyText"/>
      </w:pPr>
      <w:r>
        <w:t xml:space="preserve">Aligned Flow</w:t>
      </w:r>
    </w:p>
    <w:p>
      <w:pPr>
        <w:pStyle w:val="BodyText"/>
      </w:pPr>
      <w:r>
        <w:t xml:space="preserve">execution delegated</w:t>
      </w:r>
      <w:r>
        <w:t xml:space="preserve"> </w:t>
      </w:r>
      <w:r>
        <w:t xml:space="preserve">→ source and process boundaries remain visible</w:t>
      </w:r>
      <w:r>
        <w:t xml:space="preserve"> </w:t>
      </w:r>
      <w:r>
        <w:t xml:space="preserve">→ receiving node retains judgment authority</w:t>
      </w:r>
      <w:r>
        <w:t xml:space="preserve"> </w:t>
      </w:r>
      <w:r>
        <w:t xml:space="preserve">→ verification burden is scoped and supported</w:t>
      </w:r>
      <w:r>
        <w:t xml:space="preserve"> </w:t>
      </w:r>
      <w:r>
        <w:t xml:space="preserve">→ integration requirements are acknowledged</w:t>
      </w:r>
      <w:r>
        <w:t xml:space="preserve"> </w:t>
      </w:r>
      <w:r>
        <w:t xml:space="preserve">→ answerability remains explicit</w:t>
      </w:r>
      <w:r>
        <w:t xml:space="preserve"> </w:t>
      </w:r>
      <w:r>
        <w:t xml:space="preserve">→ delegation remains bounded</w:t>
      </w:r>
    </w:p>
    <w:p>
      <w:r>
        <w:pict>
          <v:rect style="width:0;height:1.5pt" o:hralign="center" o:hrstd="t" o:hr="t"/>
        </w:pict>
      </w:r>
    </w:p>
    <w:bookmarkEnd w:id="27"/>
    <w:bookmarkEnd w:id="28"/>
    <w:bookmarkStart w:id="29" w:name="structural-components"/>
    <w:p>
      <w:pPr>
        <w:pStyle w:val="Heading2"/>
      </w:pPr>
      <w:r>
        <w:t xml:space="preserve">6. Structural Components</w:t>
      </w:r>
    </w:p>
    <w:p>
      <w:pPr>
        <w:pStyle w:val="FirstParagraph"/>
      </w:pPr>
      <w:r>
        <w:t xml:space="preserve">delegated execution</w:t>
      </w:r>
      <w:r>
        <w:t xml:space="preserve"> </w:t>
      </w:r>
      <w:r>
        <w:t xml:space="preserve">visible production reduction</w:t>
      </w:r>
      <w:r>
        <w:t xml:space="preserve"> </w:t>
      </w:r>
      <w:r>
        <w:t xml:space="preserve">output surface completion</w:t>
      </w:r>
      <w:r>
        <w:t xml:space="preserve"> </w:t>
      </w:r>
      <w:r>
        <w:t xml:space="preserve">receiving node</w:t>
      </w:r>
      <w:r>
        <w:t xml:space="preserve"> </w:t>
      </w:r>
      <w:r>
        <w:t xml:space="preserve">verification burden</w:t>
      </w:r>
      <w:r>
        <w:t xml:space="preserve"> </w:t>
      </w:r>
      <w:r>
        <w:t xml:space="preserve">integration burden</w:t>
      </w:r>
      <w:r>
        <w:t xml:space="preserve"> </w:t>
      </w:r>
      <w:r>
        <w:t xml:space="preserve">judgment authority</w:t>
      </w:r>
      <w:r>
        <w:t xml:space="preserve"> </w:t>
      </w:r>
      <w:r>
        <w:t xml:space="preserve">answerability retention</w:t>
      </w:r>
      <w:r>
        <w:t xml:space="preserve"> </w:t>
      </w:r>
      <w:r>
        <w:t xml:space="preserve">downstream responsibility concentration</w:t>
      </w:r>
      <w:r>
        <w:t xml:space="preserve"> </w:t>
      </w:r>
      <w:r>
        <w:t xml:space="preserve">capacity / authority mismatch</w:t>
      </w:r>
    </w:p>
    <w:p>
      <w:r>
        <w:pict>
          <v:rect style="width:0;height:1.5pt" o:hralign="center" o:hrstd="t" o:hr="t"/>
        </w:pict>
      </w:r>
    </w:p>
    <w:bookmarkEnd w:id="29"/>
    <w:bookmarkStart w:id="30" w:name="primary-failure-patterns"/>
    <w:p>
      <w:pPr>
        <w:pStyle w:val="Heading2"/>
      </w:pPr>
      <w:r>
        <w:t xml:space="preserve">7. Primary Failure Patterns</w:t>
      </w:r>
    </w:p>
    <w:p>
      <w:pPr>
        <w:numPr>
          <w:ilvl w:val="0"/>
          <w:numId w:val="1001"/>
        </w:numPr>
        <w:pStyle w:val="Compact"/>
      </w:pPr>
      <w:r>
        <w:t xml:space="preserve">Execution–Responsibility Split</w:t>
      </w:r>
    </w:p>
    <w:p>
      <w:pPr>
        <w:pStyle w:val="FirstParagraph"/>
      </w:pPr>
      <w:r>
        <w:t xml:space="preserve">system performs task</w:t>
      </w:r>
      <w:r>
        <w:t xml:space="preserve"> </w:t>
      </w:r>
      <w:r>
        <w:t xml:space="preserve">→ human remains answerable</w:t>
      </w:r>
    </w:p>
    <w:p>
      <w:pPr>
        <w:pStyle w:val="BodyText"/>
      </w:pPr>
      <w:r>
        <w:t xml:space="preserve">The visible action moves, but responsibility does not.</w:t>
      </w:r>
    </w:p>
    <w:p>
      <w:pPr>
        <w:numPr>
          <w:ilvl w:val="0"/>
          <w:numId w:val="1002"/>
        </w:numPr>
        <w:pStyle w:val="Compact"/>
      </w:pPr>
      <w:r>
        <w:t xml:space="preserve">Review Becomes Ownership</w:t>
      </w:r>
    </w:p>
    <w:p>
      <w:pPr>
        <w:pStyle w:val="FirstParagraph"/>
      </w:pPr>
      <w:r>
        <w:t xml:space="preserve">human reviews output</w:t>
      </w:r>
      <w:r>
        <w:t xml:space="preserve"> </w:t>
      </w:r>
      <w:r>
        <w:t xml:space="preserve">→ human becomes treated as full owner</w:t>
      </w:r>
    </w:p>
    <w:p>
      <w:pPr>
        <w:pStyle w:val="BodyText"/>
      </w:pPr>
      <w:r>
        <w:t xml:space="preserve">A bounded review role expands into total responsibility.</w:t>
      </w:r>
    </w:p>
    <w:p>
      <w:pPr>
        <w:numPr>
          <w:ilvl w:val="0"/>
          <w:numId w:val="1003"/>
        </w:numPr>
        <w:pStyle w:val="Compact"/>
      </w:pPr>
      <w:r>
        <w:t xml:space="preserve">Surface Completion Suppresses Verification</w:t>
      </w:r>
    </w:p>
    <w:p>
      <w:pPr>
        <w:pStyle w:val="FirstParagraph"/>
      </w:pPr>
      <w:r>
        <w:t xml:space="preserve">output appears complete</w:t>
      </w:r>
      <w:r>
        <w:t xml:space="preserve"> </w:t>
      </w:r>
      <w:r>
        <w:t xml:space="preserve">→ verification appears optional</w:t>
      </w:r>
    </w:p>
    <w:p>
      <w:pPr>
        <w:pStyle w:val="BodyText"/>
      </w:pPr>
      <w:r>
        <w:t xml:space="preserve">The output’s finished appearance weakens awareness of remaining judgment work.</w:t>
      </w:r>
    </w:p>
    <w:p>
      <w:pPr>
        <w:numPr>
          <w:ilvl w:val="0"/>
          <w:numId w:val="1004"/>
        </w:numPr>
        <w:pStyle w:val="Compact"/>
      </w:pPr>
      <w:r>
        <w:t xml:space="preserve">Integration Burden Becomes Invisible</w:t>
      </w:r>
    </w:p>
    <w:p>
      <w:pPr>
        <w:pStyle w:val="FirstParagraph"/>
      </w:pPr>
      <w:r>
        <w:t xml:space="preserve">output produced quickly</w:t>
      </w:r>
      <w:r>
        <w:t xml:space="preserve"> </w:t>
      </w:r>
      <w:r>
        <w:t xml:space="preserve">→ contextual adaptation remains uncounted</w:t>
      </w:r>
    </w:p>
    <w:p>
      <w:pPr>
        <w:pStyle w:val="BodyText"/>
      </w:pPr>
      <w:r>
        <w:t xml:space="preserve">The system counts production efficiency but not the labor required to fit the output into the actual task environment.</w:t>
      </w:r>
    </w:p>
    <w:p>
      <w:pPr>
        <w:numPr>
          <w:ilvl w:val="0"/>
          <w:numId w:val="1005"/>
        </w:numPr>
        <w:pStyle w:val="Compact"/>
      </w:pPr>
      <w:r>
        <w:t xml:space="preserve">Confidence Replaces Inspection</w:t>
      </w:r>
    </w:p>
    <w:p>
      <w:pPr>
        <w:pStyle w:val="FirstParagraph"/>
      </w:pPr>
      <w:r>
        <w:t xml:space="preserve">tool appears reliable</w:t>
      </w:r>
      <w:r>
        <w:t xml:space="preserve"> </w:t>
      </w:r>
      <w:r>
        <w:t xml:space="preserve">→ inspection decreases</w:t>
      </w:r>
    </w:p>
    <w:p>
      <w:pPr>
        <w:pStyle w:val="BodyText"/>
      </w:pPr>
      <w:r>
        <w:t xml:space="preserve">Reliability expectation reduces active checking before the output has been structurally verified.</w:t>
      </w:r>
    </w:p>
    <w:p>
      <w:pPr>
        <w:numPr>
          <w:ilvl w:val="0"/>
          <w:numId w:val="1006"/>
        </w:numPr>
        <w:pStyle w:val="Compact"/>
      </w:pPr>
      <w:r>
        <w:t xml:space="preserve">Stewardship Without Support</w:t>
      </w:r>
    </w:p>
    <w:p>
      <w:pPr>
        <w:pStyle w:val="FirstParagraph"/>
      </w:pPr>
      <w:r>
        <w:t xml:space="preserve">human remains responsible</w:t>
      </w:r>
      <w:r>
        <w:t xml:space="preserve"> </w:t>
      </w:r>
      <w:r>
        <w:t xml:space="preserve">→ human lacks trace / authority / time / domain capacity</w:t>
      </w:r>
    </w:p>
    <w:p>
      <w:pPr>
        <w:pStyle w:val="BodyText"/>
      </w:pPr>
      <w:r>
        <w:t xml:space="preserve">The answerable node is expected to steward an output it cannot adequately inspect or control.</w:t>
      </w:r>
    </w:p>
    <w:p>
      <w:r>
        <w:pict>
          <v:rect style="width:0;height:1.5pt" o:hralign="center" o:hrstd="t" o:hr="t"/>
        </w:pict>
      </w:r>
    </w:p>
    <w:bookmarkEnd w:id="30"/>
    <w:bookmarkStart w:id="31" w:name="operational-evaluation"/>
    <w:p>
      <w:pPr>
        <w:pStyle w:val="Heading2"/>
      </w:pPr>
      <w:r>
        <w:t xml:space="preserve">8. Operational Evaluation</w:t>
      </w:r>
    </w:p>
    <w:p>
      <w:pPr>
        <w:numPr>
          <w:ilvl w:val="0"/>
          <w:numId w:val="1007"/>
        </w:numPr>
      </w:pPr>
      <w:r>
        <w:t xml:space="preserve">What part of the task was delegated?</w:t>
      </w:r>
    </w:p>
    <w:p>
      <w:pPr>
        <w:numPr>
          <w:ilvl w:val="0"/>
          <w:numId w:val="1007"/>
        </w:numPr>
      </w:pPr>
      <w:r>
        <w:t xml:space="preserve">What part of the task remains answerable?</w:t>
      </w:r>
    </w:p>
    <w:p>
      <w:pPr>
        <w:numPr>
          <w:ilvl w:val="0"/>
          <w:numId w:val="1007"/>
        </w:numPr>
      </w:pPr>
      <w:r>
        <w:t xml:space="preserve">Who or what produced the output?</w:t>
      </w:r>
    </w:p>
    <w:p>
      <w:pPr>
        <w:numPr>
          <w:ilvl w:val="0"/>
          <w:numId w:val="1007"/>
        </w:numPr>
      </w:pPr>
      <w:r>
        <w:t xml:space="preserve">Who must decide whether the output can be used?</w:t>
      </w:r>
    </w:p>
    <w:p>
      <w:pPr>
        <w:numPr>
          <w:ilvl w:val="0"/>
          <w:numId w:val="1007"/>
        </w:numPr>
      </w:pPr>
      <w:r>
        <w:t xml:space="preserve">Does the answerable node have access to the production trace?</w:t>
      </w:r>
    </w:p>
    <w:p>
      <w:pPr>
        <w:numPr>
          <w:ilvl w:val="0"/>
          <w:numId w:val="1007"/>
        </w:numPr>
      </w:pPr>
      <w:r>
        <w:t xml:space="preserve">Does the answerable node have enough time, authority, and domain capacity to verify the output?</w:t>
      </w:r>
    </w:p>
    <w:p>
      <w:pPr>
        <w:numPr>
          <w:ilvl w:val="0"/>
          <w:numId w:val="1007"/>
        </w:numPr>
      </w:pPr>
      <w:r>
        <w:t xml:space="preserve">Is the output treated as complete before integration occurs?</w:t>
      </w:r>
    </w:p>
    <w:p>
      <w:pPr>
        <w:numPr>
          <w:ilvl w:val="0"/>
          <w:numId w:val="1007"/>
        </w:numPr>
      </w:pPr>
      <w:r>
        <w:t xml:space="preserve">Has reduced production effort been mistaken for reduced total work?</w:t>
      </w:r>
    </w:p>
    <w:p>
      <w:pPr>
        <w:numPr>
          <w:ilvl w:val="0"/>
          <w:numId w:val="1007"/>
        </w:numPr>
      </w:pPr>
      <w:r>
        <w:t xml:space="preserve">Has review been treated as ownership?</w:t>
      </w:r>
    </w:p>
    <w:p>
      <w:pPr>
        <w:numPr>
          <w:ilvl w:val="0"/>
          <w:numId w:val="1007"/>
        </w:numPr>
      </w:pPr>
      <w:r>
        <w:t xml:space="preserve">Has assistance become responsibility transfer without explicit alignment?</w:t>
      </w:r>
    </w:p>
    <w:p>
      <w:r>
        <w:pict>
          <v:rect style="width:0;height:1.5pt" o:hralign="center" o:hrstd="t" o:hr="t"/>
        </w:pict>
      </w:r>
    </w:p>
    <w:bookmarkEnd w:id="31"/>
    <w:bookmarkStart w:id="37" w:name="application-domains"/>
    <w:p>
      <w:pPr>
        <w:pStyle w:val="Heading2"/>
      </w:pPr>
      <w:r>
        <w:t xml:space="preserve">9. Application Domains</w:t>
      </w:r>
    </w:p>
    <w:bookmarkStart w:id="32" w:name="ai-assisted-knowledge-work"/>
    <w:p>
      <w:pPr>
        <w:pStyle w:val="Heading3"/>
      </w:pPr>
      <w:r>
        <w:t xml:space="preserve">1. AI-assisted knowledge work</w:t>
      </w:r>
    </w:p>
    <w:p>
      <w:pPr>
        <w:pStyle w:val="FirstParagraph"/>
      </w:pPr>
      <w:r>
        <w:t xml:space="preserve">Drafting, synthesis, retrieval, coding, and classification can move to a model while the receiving researcher or professional remains responsible for evidential adequacy and contextual fit.</w:t>
      </w:r>
    </w:p>
    <w:bookmarkEnd w:id="32"/>
    <w:bookmarkStart w:id="33" w:name="X2ab485b180adffca8600f9b80236db7348c89d8"/>
    <w:p>
      <w:pPr>
        <w:pStyle w:val="Heading3"/>
      </w:pPr>
      <w:r>
        <w:t xml:space="preserve">2. Administrative and institutional workflows</w:t>
      </w:r>
    </w:p>
    <w:p>
      <w:pPr>
        <w:pStyle w:val="FirstParagraph"/>
      </w:pPr>
      <w:r>
        <w:t xml:space="preserve">Templates and automated recommendations may reduce preparation time while leaving sign-off, legal exposure, and public answerability at an office that did not control the generation process.</w:t>
      </w:r>
    </w:p>
    <w:bookmarkEnd w:id="33"/>
    <w:bookmarkStart w:id="34" w:name="agentic-systems"/>
    <w:p>
      <w:pPr>
        <w:pStyle w:val="Heading3"/>
      </w:pPr>
      <w:r>
        <w:t xml:space="preserve">3. Agentic systems</w:t>
      </w:r>
    </w:p>
    <w:p>
      <w:pPr>
        <w:pStyle w:val="FirstParagraph"/>
      </w:pPr>
      <w:r>
        <w:t xml:space="preserve">A system that can act through tools introduces a sharper separation between action execution and the human or institutional node expected to justify the action.</w:t>
      </w:r>
    </w:p>
    <w:bookmarkEnd w:id="34"/>
    <w:bookmarkStart w:id="35" w:name="professional-review"/>
    <w:p>
      <w:pPr>
        <w:pStyle w:val="Heading3"/>
      </w:pPr>
      <w:r>
        <w:t xml:space="preserve">4. Professional review</w:t>
      </w:r>
    </w:p>
    <w:p>
      <w:pPr>
        <w:pStyle w:val="FirstParagraph"/>
      </w:pPr>
      <w:r>
        <w:t xml:space="preserve">Editors, auditors, clinicians, engineers, and other reviewers may inherit outputs whose production is accelerated but whose validity still requires domain-specific judgment.</w:t>
      </w:r>
    </w:p>
    <w:bookmarkEnd w:id="35"/>
    <w:bookmarkStart w:id="36" w:name="platform-mediated-services"/>
    <w:p>
      <w:pPr>
        <w:pStyle w:val="Heading3"/>
      </w:pPr>
      <w:r>
        <w:t xml:space="preserve">5. Platform-mediated services</w:t>
      </w:r>
    </w:p>
    <w:p>
      <w:pPr>
        <w:pStyle w:val="FirstParagraph"/>
      </w:pPr>
      <w:r>
        <w:t xml:space="preserve">Platforms may automate routing, moderation, or recommendation while distributing the consequences of acceptance to users, contractors, or downstream institutions.</w:t>
      </w:r>
    </w:p>
    <w:p>
      <w:r>
        <w:pict>
          <v:rect style="width:0;height:1.5pt" o:hralign="center" o:hrstd="t" o:hr="t"/>
        </w:pict>
      </w:r>
    </w:p>
    <w:bookmarkEnd w:id="36"/>
    <w:bookmarkEnd w:id="37"/>
    <w:bookmarkStart w:id="43" w:name="relations-to-adjacent-public-frameworks"/>
    <w:p>
      <w:pPr>
        <w:pStyle w:val="Heading2"/>
      </w:pPr>
      <w:r>
        <w:t xml:space="preserve">10. Relations to Adjacent Public Frameworks</w:t>
      </w:r>
    </w:p>
    <w:bookmarkStart w:id="38" w:name="verification-labor-compression"/>
    <w:p>
      <w:pPr>
        <w:pStyle w:val="Heading3"/>
      </w:pPr>
      <w:r>
        <w:t xml:space="preserve">1. Verification Labor Compression</w:t>
      </w:r>
    </w:p>
    <w:p>
      <w:pPr>
        <w:pStyle w:val="FirstParagraph"/>
      </w:pPr>
      <w:r>
        <w:t xml:space="preserve">Verification Labor Compression describes how accelerated production can move validation work downstream, hide it, or concentrate it at a final review node. The present entry identifies the particular object or boundary that the verification work must preserve.</w:t>
      </w:r>
    </w:p>
    <w:bookmarkEnd w:id="38"/>
    <w:bookmarkStart w:id="39" w:name="responsibility-alignment-model"/>
    <w:p>
      <w:pPr>
        <w:pStyle w:val="Heading3"/>
      </w:pPr>
      <w:r>
        <w:t xml:space="preserve">2. Responsibility Alignment Model</w:t>
      </w:r>
    </w:p>
    <w:p>
      <w:pPr>
        <w:pStyle w:val="FirstParagraph"/>
      </w:pPr>
      <w:r>
        <w:t xml:space="preserve">Responsibility Alignment Model clarifies whether ownership, authority, capacity, visibility, and accountability remain attached to compatible nodes. The present entry specifies one condition under which that alignment can fail or become nominal.</w:t>
      </w:r>
    </w:p>
    <w:bookmarkEnd w:id="39"/>
    <w:bookmarkStart w:id="40" w:name="false-legibility-model"/>
    <w:p>
      <w:pPr>
        <w:pStyle w:val="Heading3"/>
      </w:pPr>
      <w:r>
        <w:t xml:space="preserve">3. False Legibility Model</w:t>
      </w:r>
    </w:p>
    <w:p>
      <w:pPr>
        <w:pStyle w:val="FirstParagraph"/>
      </w:pPr>
      <w:r>
        <w:t xml:space="preserve">False Legibility Model describes how readable surfaces can be accepted before their underlying structure is understood. The present entry identifies a concrete way in which fluency, familiarity, or interface clarity can conceal an unresolved boundary.</w:t>
      </w:r>
    </w:p>
    <w:bookmarkEnd w:id="40"/>
    <w:bookmarkStart w:id="41" w:name="boundary-role-segmentation-model"/>
    <w:p>
      <w:pPr>
        <w:pStyle w:val="Heading3"/>
      </w:pPr>
      <w:r>
        <w:t xml:space="preserve">4. Boundary-Role Segmentation Model</w:t>
      </w:r>
    </w:p>
    <w:p>
      <w:pPr>
        <w:pStyle w:val="FirstParagraph"/>
      </w:pPr>
      <w:r>
        <w:t xml:space="preserve">Boundary-Role Segmentation Model describes local coherence within bounded roles and the contradictions that appear across role interfaces. The present entry clarifies which roles or thresholds must be kept separate.</w:t>
      </w:r>
    </w:p>
    <w:bookmarkEnd w:id="41"/>
    <w:bookmarkStart w:id="42" w:name="benefitburden-allocation-regimes"/>
    <w:p>
      <w:pPr>
        <w:pStyle w:val="Heading3"/>
      </w:pPr>
      <w:r>
        <w:t xml:space="preserve">5. Benefit–Burden Allocation Regimes</w:t>
      </w:r>
    </w:p>
    <w:p>
      <w:pPr>
        <w:pStyle w:val="FirstParagraph"/>
      </w:pPr>
      <w:r>
        <w:t xml:space="preserve">Benefit–Burden Allocation Regimes examines where benefits, burdens, control, risk, and verification work are placed across a system. The present entry specifies a recurring allocation pattern.</w:t>
      </w:r>
    </w:p>
    <w:p>
      <w:r>
        <w:pict>
          <v:rect style="width:0;height:1.5pt" o:hralign="center" o:hrstd="t" o:hr="t"/>
        </w:pict>
      </w:r>
    </w:p>
    <w:bookmarkEnd w:id="42"/>
    <w:bookmarkEnd w:id="43"/>
    <w:bookmarkStart w:id="46" w:name="X673d9de5858afc14d9174904e92e64ad8dc9e49"/>
    <w:p>
      <w:pPr>
        <w:pStyle w:val="Heading2"/>
      </w:pPr>
      <w:r>
        <w:t xml:space="preserve">11. Boundary Conditions and Non-Applicability</w:t>
      </w:r>
    </w:p>
    <w:bookmarkStart w:id="44" w:name="boundary-conditions"/>
    <w:p>
      <w:pPr>
        <w:pStyle w:val="Heading3"/>
      </w:pPr>
      <w:r>
        <w:t xml:space="preserve">11.1 Boundary Conditions</w:t>
      </w:r>
    </w:p>
    <w:p>
      <w:pPr>
        <w:pStyle w:val="FirstParagraph"/>
      </w:pPr>
      <w:r>
        <w:t xml:space="preserve">This note applies when:</w:t>
      </w:r>
    </w:p>
    <w:p>
      <w:pPr>
        <w:pStyle w:val="BodyText"/>
      </w:pPr>
      <w:r>
        <w:t xml:space="preserve">production is displaced</w:t>
      </w:r>
      <w:r>
        <w:t xml:space="preserve"> </w:t>
      </w:r>
      <w:r>
        <w:t xml:space="preserve">but</w:t>
      </w:r>
      <w:r>
        <w:t xml:space="preserve"> </w:t>
      </w:r>
      <w:r>
        <w:t xml:space="preserve">responsibility remains attached</w:t>
      </w:r>
    </w:p>
    <w:p>
      <w:pPr>
        <w:pStyle w:val="BodyText"/>
      </w:pPr>
      <w:r>
        <w:t xml:space="preserve">It does not apply merely because a tool helps complete a task.</w:t>
      </w:r>
    </w:p>
    <w:p>
      <w:pPr>
        <w:pStyle w:val="BodyText"/>
      </w:pPr>
      <w:r>
        <w:t xml:space="preserve">It applies when the receiving node remains answerable for determining whether the delegated result can be trusted, used, cited, filed, published, acted on, or incorporated.</w:t>
      </w:r>
    </w:p>
    <w:bookmarkEnd w:id="44"/>
    <w:bookmarkStart w:id="45" w:name="non-applicability"/>
    <w:p>
      <w:pPr>
        <w:pStyle w:val="Heading3"/>
      </w:pPr>
      <w:r>
        <w:t xml:space="preserve">11.2 Non-Applicability</w:t>
      </w:r>
    </w:p>
    <w:p>
      <w:pPr>
        <w:pStyle w:val="FirstParagraph"/>
      </w:pPr>
      <w:r>
        <w:t xml:space="preserve">This note should not be applied to every case of delegation, automation, assistance, or tool use.</w:t>
      </w:r>
    </w:p>
    <w:p>
      <w:pPr>
        <w:pStyle w:val="BodyText"/>
      </w:pPr>
      <w:r>
        <w:t xml:space="preserve">It does not apply well when:</w:t>
      </w:r>
    </w:p>
    <w:p>
      <w:pPr>
        <w:pStyle w:val="BodyText"/>
      </w:pPr>
      <w:r>
        <w:t xml:space="preserve">delegation is explicitly scoped</w:t>
      </w:r>
    </w:p>
    <w:p>
      <w:pPr>
        <w:pStyle w:val="BodyText"/>
      </w:pPr>
      <w:r>
        <w:t xml:space="preserve">verification requirements are minimal and acknowledged</w:t>
      </w:r>
    </w:p>
    <w:p>
      <w:pPr>
        <w:pStyle w:val="BodyText"/>
      </w:pPr>
      <w:r>
        <w:t xml:space="preserve">the receiving node has adequate visibility, authority, time, and capacity</w:t>
      </w:r>
    </w:p>
    <w:p>
      <w:pPr>
        <w:pStyle w:val="BodyText"/>
      </w:pPr>
      <w:r>
        <w:t xml:space="preserve">output is low-consequence and non-reliant</w:t>
      </w:r>
    </w:p>
    <w:p>
      <w:pPr>
        <w:pStyle w:val="BodyText"/>
      </w:pPr>
      <w:r>
        <w:t xml:space="preserve">responsibility transfer is explicit and institutionally supported</w:t>
      </w:r>
    </w:p>
    <w:p>
      <w:pPr>
        <w:pStyle w:val="BodyText"/>
      </w:pPr>
      <w:r>
        <w:t xml:space="preserve">the delegated system also provides sufficient traceability and verification support</w:t>
      </w:r>
    </w:p>
    <w:p>
      <w:pPr>
        <w:pStyle w:val="BodyText"/>
      </w:pPr>
      <w:r>
        <w:t xml:space="preserve">the output is not used, cited, filed, published, acted on, or relied upon</w:t>
      </w:r>
    </w:p>
    <w:p>
      <w:pPr>
        <w:pStyle w:val="BodyText"/>
      </w:pPr>
      <w:r>
        <w:t xml:space="preserve">This note should not be used to claim that all automation is irresponsible, that all delegation is false, or that human review is always exploited.</w:t>
      </w:r>
    </w:p>
    <w:p>
      <w:pPr>
        <w:pStyle w:val="BodyText"/>
      </w:pPr>
      <w:r>
        <w:t xml:space="preserve">Its narrower domain is:</w:t>
      </w:r>
    </w:p>
    <w:p>
      <w:pPr>
        <w:pStyle w:val="BodyText"/>
      </w:pPr>
      <w:r>
        <w:t xml:space="preserve">situations where visible execution moves elsewhere while judgment, verification, and answerability remain attached to a receiving node.</w:t>
      </w:r>
    </w:p>
    <w:p>
      <w:r>
        <w:pict>
          <v:rect style="width:0;height:1.5pt" o:hralign="center" o:hrstd="t" o:hr="t"/>
        </w:pict>
      </w:r>
    </w:p>
    <w:bookmarkEnd w:id="45"/>
    <w:bookmarkEnd w:id="46"/>
    <w:bookmarkStart w:id="47" w:name="public-orientation-and-method-boundary"/>
    <w:p>
      <w:pPr>
        <w:pStyle w:val="Heading2"/>
      </w:pPr>
      <w:r>
        <w:t xml:space="preserve">12. Public Orientation and Method Boundary</w:t>
      </w:r>
    </w:p>
    <w:p>
      <w:pPr>
        <w:pStyle w:val="FirstParagraph"/>
      </w:pPr>
      <w:r>
        <w:t xml:space="preserve">This document is designed as a public conceptual entry. It provides a definition, mechanism, diagnostic orientation, and limit statement. It omits non-public editorial records, private source materials, non-public working materials, and implementation details.</w:t>
      </w:r>
    </w:p>
    <w:p>
      <w:pPr>
        <w:pStyle w:val="BodyText"/>
      </w:pPr>
      <w:r>
        <w:t xml:space="preserve">The entry is not a substitute for empirical research, legal analysis, professional judgment, technical testing, or domain-specific governance. It should not be used to score people or institutions, automate high-stakes decisions, or infer misconduct from conceptual similarity.</w:t>
      </w:r>
    </w:p>
    <w:p>
      <w:pPr>
        <w:pStyle w:val="BodyText"/>
      </w:pPr>
      <w:r>
        <w:t xml:space="preserve">Examples and application domains are illustrative. A case should be classified under</w:t>
      </w:r>
      <w:r>
        <w:t xml:space="preserve"> </w:t>
      </w:r>
      <w:r>
        <w:rPr>
          <w:bCs/>
          <w:b/>
        </w:rPr>
        <w:t xml:space="preserve">Delegated Execution / Retained Answerability</w:t>
      </w:r>
      <w:r>
        <w:t xml:space="preserve"> </w:t>
      </w:r>
      <w:r>
        <w:t xml:space="preserve">only when the relevant structure can be demonstrated from available evidence.</w:t>
      </w:r>
    </w:p>
    <w:p>
      <w:r>
        <w:pict>
          <v:rect style="width:0;height:1.5pt" o:hralign="center" o:hrstd="t" o:hr="t"/>
        </w:pict>
      </w:r>
    </w:p>
    <w:bookmarkEnd w:id="47"/>
    <w:bookmarkStart w:id="53" w:name="limitations"/>
    <w:p>
      <w:pPr>
        <w:pStyle w:val="Heading2"/>
      </w:pPr>
      <w:r>
        <w:t xml:space="preserve">13. Limitations</w:t>
      </w:r>
    </w:p>
    <w:bookmarkStart w:id="48" w:name="no-universal-review-threshold"/>
    <w:p>
      <w:pPr>
        <w:pStyle w:val="Heading3"/>
      </w:pPr>
      <w:r>
        <w:t xml:space="preserve">1. No universal review threshold</w:t>
      </w:r>
    </w:p>
    <w:p>
      <w:pPr>
        <w:pStyle w:val="FirstParagraph"/>
      </w:pPr>
      <w:r>
        <w:t xml:space="preserve">The note does not determine how much verification is sufficient. Required review depends on consequence, reversibility, domain, evidence quality, and institutional mandate.</w:t>
      </w:r>
    </w:p>
    <w:bookmarkEnd w:id="48"/>
    <w:bookmarkStart w:id="49" w:name="no-assumption-of-human-superiority"/>
    <w:p>
      <w:pPr>
        <w:pStyle w:val="Heading3"/>
      </w:pPr>
      <w:r>
        <w:t xml:space="preserve">2. No assumption of human superiority</w:t>
      </w:r>
    </w:p>
    <w:p>
      <w:pPr>
        <w:pStyle w:val="FirstParagraph"/>
      </w:pPr>
      <w:r>
        <w:t xml:space="preserve">The framework does not presume that a human will always judge better than a technical system. It asks whether the answerable node has adequate standing and capacity.</w:t>
      </w:r>
    </w:p>
    <w:bookmarkEnd w:id="49"/>
    <w:bookmarkStart w:id="50" w:name="no-automatic-responsibility-assignment"/>
    <w:p>
      <w:pPr>
        <w:pStyle w:val="Heading3"/>
      </w:pPr>
      <w:r>
        <w:t xml:space="preserve">3. No automatic responsibility assignment</w:t>
      </w:r>
    </w:p>
    <w:p>
      <w:pPr>
        <w:pStyle w:val="FirstParagraph"/>
      </w:pPr>
      <w:r>
        <w:t xml:space="preserve">The note does not decide legal liability, authorship, employment duty, or professional negligence.</w:t>
      </w:r>
    </w:p>
    <w:bookmarkEnd w:id="50"/>
    <w:bookmarkStart w:id="51" w:name="no-productivity-metric"/>
    <w:p>
      <w:pPr>
        <w:pStyle w:val="Heading3"/>
      </w:pPr>
      <w:r>
        <w:t xml:space="preserve">4. No productivity metric</w:t>
      </w:r>
    </w:p>
    <w:p>
      <w:pPr>
        <w:pStyle w:val="FirstParagraph"/>
      </w:pPr>
      <w:r>
        <w:t xml:space="preserve">It cannot by itself calculate whether delegation reduces total cost. It only makes displaced work and answerability visible.</w:t>
      </w:r>
    </w:p>
    <w:bookmarkEnd w:id="51"/>
    <w:bookmarkStart w:id="52" w:name="context-dependence"/>
    <w:p>
      <w:pPr>
        <w:pStyle w:val="Heading3"/>
      </w:pPr>
      <w:r>
        <w:t xml:space="preserve">5. Context dependence</w:t>
      </w:r>
    </w:p>
    <w:p>
      <w:pPr>
        <w:pStyle w:val="FirstParagraph"/>
      </w:pPr>
      <w:r>
        <w:t xml:space="preserve">Low-consequence, reversible, or purely provisional uses may require little retained answerability, while high-consequence uses may require extensive verification.</w:t>
      </w:r>
    </w:p>
    <w:p>
      <w:r>
        <w:pict>
          <v:rect style="width:0;height:1.5pt" o:hralign="center" o:hrstd="t" o:hr="t"/>
        </w:pict>
      </w:r>
    </w:p>
    <w:bookmarkEnd w:id="52"/>
    <w:bookmarkEnd w:id="53"/>
    <w:bookmarkStart w:id="54" w:name="minimal-formulation"/>
    <w:p>
      <w:pPr>
        <w:pStyle w:val="Heading2"/>
      </w:pPr>
      <w:r>
        <w:t xml:space="preserve">14. Minimal Formulation</w:t>
      </w:r>
    </w:p>
    <w:p>
      <w:pPr>
        <w:pStyle w:val="FirstParagraph"/>
      </w:pPr>
      <w:r>
        <w:t xml:space="preserve">execution delegation ≠ answerability transfer</w:t>
      </w:r>
    </w:p>
    <w:p>
      <w:pPr>
        <w:pStyle w:val="BodyText"/>
      </w:pPr>
      <w:r>
        <w:t xml:space="preserve">assistance ≠ judgment replacement</w:t>
      </w:r>
    </w:p>
    <w:p>
      <w:pPr>
        <w:pStyle w:val="BodyText"/>
      </w:pPr>
      <w:r>
        <w:t xml:space="preserve">output production ≠ output acceptance</w:t>
      </w:r>
    </w:p>
    <w:p>
      <w:pPr>
        <w:pStyle w:val="BodyText"/>
      </w:pPr>
      <w:r>
        <w:t xml:space="preserve">reduced execution effort ≠ reduced responsibility</w:t>
      </w:r>
    </w:p>
    <w:p>
      <w:pPr>
        <w:pStyle w:val="BodyText"/>
      </w:pPr>
      <w:r>
        <w:t xml:space="preserve">faster production ≠ completed verification</w:t>
      </w:r>
    </w:p>
    <w:p>
      <w:pPr>
        <w:pStyle w:val="BodyText"/>
      </w:pPr>
      <w:r>
        <w:t xml:space="preserve">automation of task movement ≠ automation of accountability</w:t>
      </w:r>
    </w:p>
    <w:p>
      <w:pPr>
        <w:pStyle w:val="BodyText"/>
      </w:pPr>
      <w:r>
        <w:t xml:space="preserve">produced output ≠ usable output</w:t>
      </w:r>
    </w:p>
    <w:p>
      <w:pPr>
        <w:pStyle w:val="BodyText"/>
      </w:pPr>
      <w:r>
        <w:t xml:space="preserve">surface completion ≠ responsible acceptance</w:t>
      </w:r>
    </w:p>
    <w:p>
      <w:pPr>
        <w:pStyle w:val="BodyText"/>
      </w:pPr>
      <w:r>
        <w:t xml:space="preserve">delegated generation ≠ delegated judgment</w:t>
      </w:r>
    </w:p>
    <w:p>
      <w:pPr>
        <w:pStyle w:val="BodyText"/>
      </w:pPr>
      <w:r>
        <w:t xml:space="preserve">response integration ≠ answerability resolution</w:t>
      </w:r>
    </w:p>
    <w:p>
      <w:pPr>
        <w:pStyle w:val="BodyText"/>
      </w:pPr>
      <w:r>
        <w:t xml:space="preserve">oversight requirement remains when execution moves elsewhere</w:t>
      </w:r>
    </w:p>
    <w:p>
      <w:pPr>
        <w:pStyle w:val="BodyText"/>
      </w:pPr>
      <w:r>
        <w:t xml:space="preserve">a system may produce the object while another node remains answerable for its use</w:t>
      </w:r>
    </w:p>
    <w:p>
      <w:pPr>
        <w:pStyle w:val="BodyText"/>
      </w:pPr>
      <w:r>
        <w:t xml:space="preserve">Execution can move without answerability moving.</w:t>
      </w:r>
    </w:p>
    <w:p>
      <w:pPr>
        <w:pStyle w:val="BodyText"/>
      </w:pPr>
      <w:r>
        <w:t xml:space="preserve">Expanded:</w:t>
      </w:r>
    </w:p>
    <w:p>
      <w:pPr>
        <w:pStyle w:val="BodyText"/>
      </w:pPr>
      <w:r>
        <w:t xml:space="preserve">A system may delegate the visible work of producing an output while leaving the burden of judgment, verification, and accountability with the receiving node.</w:t>
      </w:r>
    </w:p>
    <w:p>
      <w:r>
        <w:pict>
          <v:rect style="width:0;height:1.5pt" o:hralign="center" o:hrstd="t" o:hr="t"/>
        </w:pict>
      </w:r>
    </w:p>
    <w:bookmarkEnd w:id="54"/>
    <w:bookmarkStart w:id="55" w:name="conclusion"/>
    <w:p>
      <w:pPr>
        <w:pStyle w:val="Heading2"/>
      </w:pPr>
      <w:r>
        <w:t xml:space="preserve">15. Conclusion</w:t>
      </w:r>
    </w:p>
    <w:p>
      <w:pPr>
        <w:pStyle w:val="FirstParagraph"/>
      </w:pPr>
      <w:r>
        <w:t xml:space="preserve">Delegated execution changes where work is performed, but it does not automatically change where responsible acceptance occurs. A system is structurally aligned when the node expected to answer for an output has sufficient visibility, authority, time, verification support, and capacity to correct or refuse it. It is misaligned when execution moves outward while answerability remains concentrated at a node that cannot meaningfully inspect or govern the result.</w:t>
      </w:r>
    </w:p>
    <w:p>
      <w:pPr>
        <w:pStyle w:val="BodyText"/>
      </w:pPr>
      <w:r>
        <w:t xml:space="preserve">The contribution of this note is therefore a separation: execution delegation is one operation; answerability transfer is another. Treating them as equivalent hides the remaining judgment field. Keeping them distinct allows claims of efficiency, automation, and assistance to be evaluated without confusing a completed surface with a responsibly accepted output.</w:t>
      </w:r>
    </w:p>
    <w:p>
      <w:r>
        <w:pict>
          <v:rect style="width:0;height:1.5pt" o:hralign="center" o:hrstd="t" o:hr="t"/>
        </w:pict>
      </w:r>
    </w:p>
    <w:bookmarkEnd w:id="55"/>
    <w:bookmarkStart w:id="56" w:name="naming-declaration"/>
    <w:p>
      <w:pPr>
        <w:pStyle w:val="Heading2"/>
      </w:pPr>
      <w:r>
        <w:t xml:space="preserve">Naming Declaration</w:t>
      </w:r>
    </w:p>
    <w:p>
      <w:pPr>
        <w:pStyle w:val="FirstParagraph"/>
      </w:pPr>
      <w:r>
        <w:t xml:space="preserve">Delegated Execution / Retained Answerability is a Meta-Writing Ecology term for the structural separation between task execution and answerability.</w:t>
      </w:r>
    </w:p>
    <w:p>
      <w:pPr>
        <w:pStyle w:val="BodyText"/>
      </w:pPr>
      <w:r>
        <w:t xml:space="preserve">The term delegated execution refers to the displacement of visible task performance to another system, tool, process, role, or actor. It may include generation, retrieval, drafting, organizing, transforming, classifying, recommending, assembling, or preliminary evaluation.</w:t>
      </w:r>
    </w:p>
    <w:p>
      <w:pPr>
        <w:pStyle w:val="BodyText"/>
      </w:pPr>
      <w:r>
        <w:t xml:space="preserve">The term retained answerability refers to the condition in which another node remains responsible for determining whether the output can be used, trusted, integrated, accepted, rejected, cited, published, filed, deployed, or defended.</w:t>
      </w:r>
    </w:p>
    <w:p>
      <w:pPr>
        <w:pStyle w:val="BodyText"/>
      </w:pPr>
      <w:r>
        <w:t xml:space="preserve">The term does not refer to any specific technology, discipline, workplace, study design, profession, software category, empirical population, or productivity method.</w:t>
      </w:r>
    </w:p>
    <w:p>
      <w:pPr>
        <w:pStyle w:val="BodyText"/>
      </w:pPr>
      <w:r>
        <w:t xml:space="preserve">It does not describe all delegation. It describes the structural condition in which delegated execution does not eliminate the need for judgment-bearing acceptance.</w:t>
      </w:r>
    </w:p>
    <w:p>
      <w:pPr>
        <w:pStyle w:val="BodyText"/>
      </w:pPr>
      <w:r>
        <w:t xml:space="preserve">Within Meta-Writing Ecology, the term functions as a Cross-supporting Note. It clarifies a recurring relation among output acceleration, downstream verification, responsibility alignment, false legibility, and judgment-locus answerability.</w:t>
      </w:r>
    </w:p>
    <w:p>
      <w:pPr>
        <w:pStyle w:val="BodyText"/>
      </w:pPr>
      <w:r>
        <w:t xml:space="preserve">It should be used when a system claims or appears to reduce work by moving execution elsewhere, while the burden of responsible acceptance remains with the receiving human or institutional node.</w:t>
      </w:r>
    </w:p>
    <w:bookmarkEnd w:id="56"/>
    <w:sectPr w:rsidR="00FC693F" w:rsidRPr="0006063C" w:rsidSect="00034616">
      <w:pgSz w:h="16838" w:w="11906"/>
      <w:pgMar w:bottom="1418" w:footer="700" w:gutter="0" w:header="700" w:left="1418" w:right="1418" w:top="1418"/>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0" w:before="0" w:line="540" w:lineRule="exact"/>
      <w:ind w:firstLine="480"/>
      <w:jc w:val="left"/>
    </w:pPr>
    <w:rPr>
      <w:rFonts w:ascii="Gelasio" w:cs="Gelasio" w:eastAsia="Gelasio" w:hAnsi="Gelasio"/>
      <w:b w:val="0"/>
      <w:i w:val="0"/>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widowControl/>
      <w:spacing w:after="240" w:before="360" w:line="240" w:lineRule="auto"/>
      <w:ind w:firstLine="0"/>
      <w:jc w:val="left"/>
      <w:outlineLvl w:val="0"/>
    </w:pPr>
    <w:rPr>
      <w:rFonts w:ascii="Gelasio" w:asciiTheme="majorHAnsi" w:cs="Gelasio" w:cstheme="majorBidi" w:eastAsia="Gelasio" w:eastAsiaTheme="majorEastAsia" w:hAnsi="Gelasio" w:hAnsiTheme="majorHAnsi"/>
      <w:b/>
      <w:bCs/>
      <w:i w:val="0"/>
      <w:color w:val="000000"/>
      <w:sz w:val="32"/>
      <w:szCs w:val="28"/>
    </w:rPr>
  </w:style>
  <w:style w:styleId="Heading2" w:type="paragraph">
    <w:name w:val="heading 2"/>
    <w:basedOn w:val="Normal"/>
    <w:next w:val="Normal"/>
    <w:link w:val="Heading2Char"/>
    <w:uiPriority w:val="9"/>
    <w:unhideWhenUsed/>
    <w:qFormat/>
    <w:rsid w:val="00FC693F"/>
    <w:pPr>
      <w:keepNext/>
      <w:keepLines/>
      <w:widowControl/>
      <w:spacing w:after="240" w:before="360" w:line="240" w:lineRule="auto"/>
      <w:ind w:firstLine="0"/>
      <w:jc w:val="left"/>
      <w:outlineLvl w:val="1"/>
    </w:pPr>
    <w:rPr>
      <w:rFonts w:ascii="Gelasio" w:asciiTheme="majorHAnsi" w:cs="Gelasio" w:cstheme="majorBidi" w:eastAsia="Gelasio" w:eastAsiaTheme="majorEastAsia" w:hAnsi="Gelasio" w:hAnsiTheme="majorHAnsi"/>
      <w:b/>
      <w:bCs/>
      <w:i w:val="0"/>
      <w:color w:val="000000"/>
      <w:sz w:val="32"/>
      <w:szCs w:val="26"/>
    </w:rPr>
  </w:style>
  <w:style w:styleId="Heading3" w:type="paragraph">
    <w:name w:val="heading 3"/>
    <w:basedOn w:val="Normal"/>
    <w:next w:val="Normal"/>
    <w:link w:val="Heading3Char"/>
    <w:uiPriority w:val="9"/>
    <w:unhideWhenUsed/>
    <w:qFormat/>
    <w:rsid w:val="00FC693F"/>
    <w:pPr>
      <w:keepNext/>
      <w:keepLines/>
      <w:widowControl/>
      <w:spacing w:after="120" w:before="240" w:line="240" w:lineRule="auto"/>
      <w:ind w:firstLine="0"/>
      <w:jc w:val="left"/>
      <w:outlineLvl w:val="2"/>
    </w:pPr>
    <w:rPr>
      <w:rFonts w:ascii="Gelasio" w:asciiTheme="majorHAnsi" w:cs="Gelasio" w:cstheme="majorBidi" w:eastAsia="Gelasio" w:eastAsiaTheme="majorEastAsia" w:hAnsi="Gelasio" w:hAnsiTheme="majorHAnsi"/>
      <w:b/>
      <w:bCs/>
      <w:i w:val="0"/>
      <w:color w:val="000000"/>
      <w:sz w:val="28"/>
    </w:rPr>
  </w:style>
  <w:style w:styleId="Heading4" w:type="paragraph">
    <w:name w:val="heading 4"/>
    <w:basedOn w:val="Normal"/>
    <w:next w:val="Normal"/>
    <w:link w:val="Heading4Char"/>
    <w:uiPriority w:val="9"/>
    <w:semiHidden/>
    <w:unhideWhenUsed/>
    <w:qFormat/>
    <w:rsid w:val="00FC693F"/>
    <w:pPr>
      <w:keepNext/>
      <w:keepLines/>
      <w:widowControl/>
      <w:spacing w:after="80" w:before="200" w:line="240" w:lineRule="auto"/>
      <w:ind w:firstLine="0"/>
      <w:jc w:val="left"/>
      <w:outlineLvl w:val="3"/>
    </w:pPr>
    <w:rPr>
      <w:rFonts w:ascii="Gelasio" w:asciiTheme="majorHAnsi" w:cs="Gelasio" w:cstheme="majorBidi" w:eastAsia="Gelasio" w:eastAsiaTheme="majorEastAsia" w:hAnsi="Gelasio" w:hAnsiTheme="majorHAnsi"/>
      <w:b/>
      <w:bCs/>
      <w:i w:val="0"/>
      <w:iCs/>
      <w:color w:val="000000"/>
      <w:sz w:val="25"/>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mpact" w:type="paragraph">
    <w:name w:val="Compact"/>
    <w:basedOn w:val="Normal"/>
    <w:pPr>
      <w:spacing w:after="0" w:before="0" w:line="540" w:lineRule="exact"/>
      <w:ind w:firstLine="0" w:left="0"/>
    </w:pPr>
    <w:rPr>
      <w:rFonts w:ascii="Gelasio" w:cs="Gelasio" w:eastAsia="Gelasio" w:hAnsi="Gelasio"/>
      <w:color w:val="000000"/>
      <w:sz w:val="24"/>
    </w:rPr>
  </w:style>
  <w:style w:customStyle="1" w:styleId="MWETitle" w:type="paragraph">
    <w:name w:val="MWE Title"/>
    <w:basedOn w:val="Normal"/>
    <w:pPr>
      <w:spacing w:after="0" w:before="0" w:line="240" w:lineRule="auto"/>
      <w:ind w:firstLine="0"/>
      <w:jc w:val="left"/>
    </w:pPr>
    <w:rPr>
      <w:rFonts w:ascii="Gelasio" w:cs="Gelasio" w:eastAsia="Gelasio" w:hAnsi="Gelasio"/>
      <w:b/>
      <w:i w:val="0"/>
      <w:color w:val="000000"/>
      <w:sz w:val="44"/>
    </w:rPr>
  </w:style>
  <w:style w:customStyle="1" w:styleId="MWESubtitle" w:type="paragraph">
    <w:name w:val="MWE Subtitle"/>
    <w:basedOn w:val="Normal"/>
    <w:pPr>
      <w:spacing w:after="0" w:before="0" w:line="240" w:lineRule="auto"/>
      <w:ind w:firstLine="0"/>
      <w:jc w:val="left"/>
    </w:pPr>
    <w:rPr>
      <w:rFonts w:ascii="Gelasio" w:cs="Gelasio" w:eastAsia="Gelasio" w:hAnsi="Gelasio"/>
      <w:b/>
      <w:i/>
      <w:color w:val="000000"/>
      <w:sz w:val="32"/>
    </w:rPr>
  </w:style>
  <w:style w:customStyle="1" w:styleId="MWEMeta" w:type="paragraph">
    <w:name w:val="MWE Meta"/>
    <w:basedOn w:val="Normal"/>
    <w:pPr>
      <w:spacing w:after="0" w:before="0" w:line="240" w:lineRule="auto"/>
      <w:ind w:firstLine="0"/>
      <w:jc w:val="left"/>
    </w:pPr>
    <w:rPr>
      <w:rFonts w:ascii="Gelasio" w:cs="Gelasio" w:eastAsia="Gelasio" w:hAnsi="Gelasio"/>
      <w:b/>
      <w:i/>
      <w:color w:val="000000"/>
      <w:sz w:val="24"/>
    </w:rPr>
  </w:style>
  <w:style w:customStyle="1" w:styleId="MWEAuthor" w:type="paragraph">
    <w:name w:val="MWE Author"/>
    <w:basedOn w:val="Normal"/>
    <w:pPr>
      <w:spacing w:after="0" w:before="0" w:line="240" w:lineRule="auto"/>
      <w:ind w:firstLine="0"/>
      <w:jc w:val="left"/>
    </w:pPr>
    <w:rPr>
      <w:rFonts w:ascii="Gelasio" w:cs="Gelasio" w:eastAsia="Gelasio" w:hAnsi="Gelasio"/>
      <w:b/>
      <w:i w:val="0"/>
      <w:color w:val="000000"/>
      <w:sz w:val="24"/>
    </w:rPr>
  </w:style>
  <w:style w:customStyle="1" w:styleId="MWEAffiliation" w:type="paragraph">
    <w:name w:val="MWE Affiliation"/>
    <w:basedOn w:val="Normal"/>
    <w:pPr>
      <w:spacing w:after="0" w:before="0" w:line="240" w:lineRule="auto"/>
      <w:ind w:firstLine="0"/>
      <w:jc w:val="left"/>
    </w:pPr>
    <w:rPr>
      <w:rFonts w:ascii="Gelasio" w:cs="Gelasio" w:eastAsia="Gelasio" w:hAnsi="Gelasio"/>
      <w:b/>
      <w:i w:val="0"/>
      <w:color w:val="000000"/>
      <w:sz w:val="24"/>
    </w:rPr>
  </w:style>
  <w:style w:customStyle="1" w:styleId="MWESpacer" w:type="paragraph">
    <w:name w:val="MWE Spacer"/>
    <w:basedOn w:val="Normal"/>
    <w:pPr>
      <w:spacing w:after="0" w:before="0" w:line="240" w:lineRule="auto"/>
      <w:ind w:firstLine="0"/>
      <w:jc w:val="left"/>
    </w:pPr>
    <w:rPr>
      <w:rFonts w:ascii="Gelasio" w:cs="Gelasio" w:eastAsia="Gelasio" w:hAnsi="Gelasio"/>
      <w:b w:val="0"/>
      <w:i w:val="0"/>
      <w:color w:val="000000"/>
      <w:sz w:val="24"/>
    </w:rPr>
  </w:style>
  <w:style w:customStyle="1" w:styleId="BlockText" w:type="paragraph">
    <w:name w:val="Block Text"/>
    <w:basedOn w:val="Normal"/>
    <w:pPr>
      <w:ind w:firstLine="0" w:left="480"/>
    </w:pPr>
    <w:rPr>
      <w:rFonts w:ascii="Gelasio" w:cs="Gelasio" w:eastAsia="Gelasio" w:hAnsi="Gelasio"/>
      <w:i w:val="0"/>
      <w:color w:val="000000"/>
      <w:sz w:val="24"/>
    </w:rPr>
  </w:style>
  <w:style w:customStyle="1" w:styleId="SourceCode" w:type="paragraph">
    <w:name w:val="Source Code"/>
    <w:basedOn w:val="Normal"/>
    <w:pPr>
      <w:spacing w:line="240" w:lineRule="auto"/>
      <w:ind w:firstLine="0" w:left="240"/>
    </w:pPr>
    <w:rPr>
      <w:rFonts w:ascii="DejaVu Sans Mono" w:cs="DejaVu Sans Mono" w:eastAsia="DejaVu Sans Mono" w:hAnsi="DejaVu Sans Mono"/>
      <w:color w:val="000000"/>
      <w:sz w:val="21"/>
    </w:rPr>
  </w:style>
  <w:style w:customStyle="1" w:styleId="VerbatimChar" w:type="character">
    <w:name w:val="Verbatim Char"/>
    <w:rPr>
      <w:rFonts w:ascii="DejaVu Sans Mono" w:cs="DejaVu Sans Mono" w:eastAsia="DejaVu Sans Mono" w:hAnsi="DejaVu Sans Mono"/>
      <w:color w:val="000000"/>
      <w:sz w:val="21"/>
    </w:rPr>
  </w:style>
  <w:style w:customStyle="1" w:styleId="ImageCaption" w:type="paragraph">
    <w:name w:val="Image Caption"/>
    <w:basedOn w:val="Normal"/>
    <w:pPr>
      <w:ind w:firstLine="0"/>
    </w:pPr>
    <w:rPr>
      <w:rFonts w:ascii="Gelasio" w:cs="Gelasio" w:eastAsia="Gelasio" w:hAnsi="Gelasio"/>
      <w:i/>
      <w:color w:val="000000"/>
      <w:sz w:val="21"/>
    </w:rPr>
  </w:style>
  <w:style w:customStyle="1" w:styleId="MWEReferences" w:type="paragraph">
    <w:name w:val="MWE References"/>
    <w:basedOn w:val="Normal"/>
    <w:pPr>
      <w:spacing w:line="540" w:lineRule="exact"/>
      <w:ind w:hanging="480" w:left="480"/>
    </w:pPr>
    <w:rPr>
      <w:rFonts w:ascii="Gelasio" w:cs="Gelasio" w:eastAsia="Gelasio" w:hAnsi="Gelasio"/>
      <w:color w:val="000000"/>
      <w:sz w:val="2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Delegated Execution / Retained Answerability</dc:title>
  <dc:creator>Huang Tzuyuan</dc:creator>
  <cp:keywords/>
  <dcterms:created xsi:type="dcterms:W3CDTF">2026-07-17T14:37:11Z</dcterms:created>
  <dcterms:modified xsi:type="dcterms:W3CDTF">2026-07-17T14:37:11Z</dcterms:modified>
  <cp:lastModifiedBy/>
  <dc:description/>
  <cp:category/>
  <dc:subject/>
  <dc:identifier/>
  <cp:revision>1</cp:revision>
</cp:coreProperties>
</file>

<file path=docProps/custom.xml><?xml version="1.0" encoding="utf-8"?>
<Properties xmlns="http://schemas.openxmlformats.org/officeDocument/2006/custom-properties" xmlns:vt="http://schemas.openxmlformats.org/officeDocument/2006/docPropsVTypes"/>
</file>