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MWESpacer"/>
        <w:spacing w:lineRule="exact" w:line="5500" w:before="0" w:after="0"/>
        <w:ind w:firstLine="0"/>
      </w:pPr>
    </w:p>
    <w:p>
      <w:pPr>
        <w:pStyle w:val="MWETitle"/>
      </w:pPr>
      <w:r>
        <w:t>Synthetic Representation / Human Grounding Boundary</w:t>
      </w:r>
    </w:p>
    <w:p>
      <w:pPr>
        <w:pStyle w:val="MWESpacer"/>
        <w:spacing w:lineRule="exact" w:line="120" w:before="0" w:after="0"/>
        <w:ind w:firstLine="0"/>
      </w:pPr>
    </w:p>
    <w:p>
      <w:pPr>
        <w:pStyle w:val="MWESubtitle"/>
      </w:pPr>
      <w:r>
        <w:t>Generated Response, Population Reference, and the Limits of Evidential Substitution</w:t>
      </w:r>
    </w:p>
    <w:p>
      <w:pPr>
        <w:pStyle w:val="MWESpacer"/>
        <w:spacing w:lineRule="exact" w:line="360" w:before="0" w:after="0"/>
        <w:ind w:firstLine="0"/>
      </w:pPr>
    </w:p>
    <w:p>
      <w:pPr>
        <w:pStyle w:val="MWEMeta"/>
      </w:pPr>
      <w:r>
        <w:rPr>
          <w:b/>
          <w:i/>
        </w:rPr>
        <w:t xml:space="preserve">Version: </w:t>
      </w:r>
      <w:r>
        <w:rPr>
          <w:b w:val="0"/>
          <w:i/>
        </w:rPr>
        <w:t>0.1</w:t>
      </w:r>
    </w:p>
    <w:p>
      <w:pPr>
        <w:pStyle w:val="MWEMeta"/>
      </w:pPr>
      <w:r>
        <w:rPr>
          <w:b/>
          <w:i/>
        </w:rPr>
        <w:t xml:space="preserve">Date: </w:t>
      </w:r>
      <w:r>
        <w:rPr>
          <w:b w:val="0"/>
          <w:i/>
        </w:rPr>
        <w:t>July 2026</w:t>
      </w:r>
    </w:p>
    <w:p>
      <w:pPr>
        <w:pStyle w:val="MWEMeta"/>
      </w:pPr>
      <w:r>
        <w:rPr>
          <w:b/>
          <w:i/>
        </w:rPr>
        <w:t xml:space="preserve">Status: </w:t>
      </w:r>
      <w:r>
        <w:rPr>
          <w:b w:val="0"/>
          <w:i/>
        </w:rPr>
        <w:t>Preprint / OSF external-facing draft</w:t>
      </w:r>
    </w:p>
    <w:p>
      <w:pPr>
        <w:pStyle w:val="MWEMeta"/>
      </w:pPr>
      <w:r>
        <w:rPr>
          <w:b/>
          <w:i/>
        </w:rPr>
        <w:t xml:space="preserve">Context: </w:t>
      </w:r>
      <w:r>
        <w:rPr>
          <w:b w:val="0"/>
          <w:i/>
        </w:rPr>
        <w:t>Meta-Writing Ecology</w:t>
      </w:r>
    </w:p>
    <w:p>
      <w:pPr>
        <w:pStyle w:val="MWEMeta"/>
      </w:pPr>
      <w:r>
        <w:rPr>
          <w:b/>
          <w:i/>
        </w:rPr>
        <w:t xml:space="preserve">Document Type: </w:t>
      </w:r>
      <w:r>
        <w:rPr>
          <w:b w:val="0"/>
          <w:i/>
        </w:rPr>
        <w:t>Cross-Supporting Boundary Note</w:t>
      </w:r>
    </w:p>
    <w:p>
      <w:pPr>
        <w:pStyle w:val="MWESpacer"/>
        <w:spacing w:lineRule="exact" w:line="2800" w:before="0" w:after="0"/>
        <w:ind w:firstLine="0"/>
      </w:pPr>
    </w:p>
    <w:p>
      <w:pPr>
        <w:pStyle w:val="MWEAuthor"/>
      </w:pPr>
      <w:r>
        <w:t>Huang Tzuyuan</w:t>
      </w:r>
    </w:p>
    <w:p>
      <w:pPr>
        <w:pStyle w:val="MWESpacer"/>
      </w:pPr>
      <w:r>
        <w:br w:type="page"/>
      </w:r>
    </w:p>
    <w:p>
      <w:pPr>
        <w:pStyle w:val="Heading2"/>
      </w:pPr>
      <w:r>
        <w:t xml:space="preserve">Abstract</w:t>
      </w:r>
    </w:p>
    <w:p>
      <w:pPr>
        <w:pStyle w:val="FirstParagraph"/>
      </w:pPr>
      <w:r>
        <w:t xml:space="preserve">This document formalizes the</w:t>
      </w:r>
      <w:r>
        <w:t xml:space="preserve"> </w:t>
      </w:r>
      <w:r>
        <w:rPr>
          <w:bCs/>
          <w:b/>
        </w:rPr>
        <w:t xml:space="preserve">Synthetic Representation / Human Grounding Boundary</w:t>
      </w:r>
      <w:r>
        <w:t xml:space="preserve"> </w:t>
      </w:r>
      <w:r>
        <w:t xml:space="preserve">as a conceptual boundary for the use of generated, simulated, or proxy responses in claims about human populations, communities, experiences, preferences, or social conditions. The central distinction is that a synthetic response may approximate the visible form of human response without carrying the evidential grounding of actual human participation.</w:t>
      </w:r>
    </w:p>
    <w:p>
      <w:pPr>
        <w:pStyle w:val="BodyText"/>
      </w:pPr>
      <w:r>
        <w:t xml:space="preserve">Synthetic representations can support exploration, hypothesis generation, interface rehearsal, scenario testing, and methodological planning. The boundary problem appears when plausibility, scale, aggregate similarity, or apparent human-likeness is treated as sufficient evidence that a represented population is present in the research structure. Human grounding includes more than response shape. It includes relation to actual participants, subgroup variation, disagreement, cultural context, temporal change, affected-community position, embodiment, risk exposure, and the conditions under which a claim will be used.</w:t>
      </w:r>
    </w:p>
    <w:p>
      <w:pPr>
        <w:pStyle w:val="BodyText"/>
      </w:pPr>
      <w:r>
        <w:t xml:space="preserve">The note does not claim that synthetic evidence is false or that simulation has no research value. It asks whether the evidential role assigned to a synthetic representation is proportionate to its validation and grounding. It identifies synthetic substitution, aggregate overreach, persona sufficiency error, validation-scope expansion, human-absence normalization, and decision-use drift.</w:t>
      </w:r>
    </w:p>
    <w:p>
      <w:pPr>
        <w:pStyle w:val="BodyText"/>
      </w:pPr>
      <w:r>
        <w:t xml:space="preserve">The framework is intended for research design, policy analysis, product testing, public consultation, and other settings in which generated responses may begin as exploratory material and later acquire the status of human evidence.</w:t>
      </w:r>
    </w:p>
    <w:p>
      <w:r>
        <w:pict>
          <v:rect style="width:0;height:1.5pt" o:hralign="center" o:hrstd="t" o:hr="t"/>
        </w:pict>
      </w:r>
    </w:p>
    <w:bookmarkEnd w:id="20"/>
    <w:bookmarkStart w:id="21" w:name="keywords"/>
    <w:p>
      <w:pPr>
        <w:pStyle w:val="Heading2"/>
      </w:pPr>
      <w:r>
        <w:t xml:space="preserve">Keywords</w:t>
      </w:r>
    </w:p>
    <w:p>
      <w:pPr>
        <w:pStyle w:val="FirstParagraph"/>
      </w:pPr>
      <w:r>
        <w:t xml:space="preserve">Synthetic Representation; Human Grounding; Synthetic Participants; Population Evidence; Human Participation; Representational Adequacy; Aggregate Overreach; Persona Sufficiency; Validation Scope; Affected Communities; Evidence Substitution; Proxy Substitution; Decision-Use Drift; Meta-Writing Ecology.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A synthetic response can be useful before it is evidentially human. It can make a scenario concrete, reveal a possible answer shape, test an interface, or expose assumptions in a research design. These uses do not require the output to stand in for an actual population.</w:t>
      </w:r>
    </w:p>
    <w:p>
      <w:pPr>
        <w:pStyle w:val="BodyText"/>
      </w:pPr>
      <w:r>
        <w:t xml:space="preserve">The problem begins when the represented human field disappears. A generated persona may be treated as a stakeholder. A set of simulated responses may be treated as public opinion. Aggregate similarity may be interpreted as subgroup adequacy. The convenience of scalable representation can gradually turn supplementation into replacement.</w:t>
      </w:r>
    </w:p>
    <w:p>
      <w:pPr>
        <w:pStyle w:val="BodyText"/>
      </w:pPr>
      <w:r>
        <w:t xml:space="preserve">This note identifies the point at which that substitution occurs. It does not evaluate synthetic systems by human-likeness alone. It asks what population is claimed, what grounding has been performed, which level of variation is preserved, and whether affected people remain present in the evidence structure.</w:t>
      </w:r>
    </w:p>
    <w:p>
      <w:r>
        <w:pict>
          <v:rect style="width:0;height:1.5pt" o:hralign="center" o:hrstd="t" o:hr="t"/>
        </w:pict>
      </w:r>
    </w:p>
    <w:bookmarkEnd w:id="22"/>
    <w:bookmarkStart w:id="23" w:name="core-definition"/>
    <w:p>
      <w:pPr>
        <w:pStyle w:val="Heading2"/>
      </w:pPr>
      <w:r>
        <w:t xml:space="preserve">2. Core Definition</w:t>
      </w:r>
    </w:p>
    <w:p>
      <w:pPr>
        <w:pStyle w:val="FirstParagraph"/>
      </w:pPr>
      <w:r>
        <w:t xml:space="preserve">Synthetic Representation / Human Grounding Boundary describes the condition in which a synthetic, simulated, model-generated, or proxy response is treated as evidence about a human population, human experience, affected community, or real-world social condition before its relation to human grounding has been sufficiently established.</w:t>
      </w:r>
    </w:p>
    <w:p>
      <w:pPr>
        <w:pStyle w:val="BodyText"/>
      </w:pPr>
      <w:r>
        <w:t xml:space="preserve">The issue is not that synthetic representation is always invalid. Synthetic outputs may support exploration, hypothesis generation, early-stage testing, interface rehearsal, scenario comparison, or methodological planning.</w:t>
      </w:r>
    </w:p>
    <w:p>
      <w:pPr>
        <w:pStyle w:val="BodyText"/>
      </w:pPr>
      <w:r>
        <w:t xml:space="preserve">The boundary problem appears when a synthetic response is treated as if it were already equivalent to human evidence, population representation, lived participation, stakeholder presence, or decision-grade empirical support.</w:t>
      </w:r>
    </w:p>
    <w:p>
      <w:pPr>
        <w:pStyle w:val="BodyText"/>
      </w:pPr>
      <w:r>
        <w:t xml:space="preserve">In this condition, the system produces a response that appears human-like, patterned, plausible, scalable, or analytically useful. However, the response may remain weakly grounded in actual human variation, subgroup difference, affected-community position, temporal instability, cultural context, embodiment, risk exposure, or institutional consequence.</w:t>
      </w:r>
    </w:p>
    <w:p>
      <w:pPr>
        <w:pStyle w:val="BodyText"/>
      </w:pPr>
      <w:r>
        <w:t xml:space="preserve">The note identifies the structural separation between:</w:t>
      </w:r>
    </w:p>
    <w:p>
      <w:pPr>
        <w:pStyle w:val="BodyText"/>
      </w:pPr>
      <w:r>
        <w:t xml:space="preserve">synthetic representation</w:t>
      </w:r>
      <w:r>
        <w:t xml:space="preserve"> </w:t>
      </w:r>
      <w:r>
        <w:t xml:space="preserve">and</w:t>
      </w:r>
      <w:r>
        <w:t xml:space="preserve"> </w:t>
      </w:r>
      <w:r>
        <w:t xml:space="preserve">human grounding</w:t>
      </w:r>
    </w:p>
    <w:p>
      <w:pPr>
        <w:pStyle w:val="BodyText"/>
      </w:pPr>
      <w:r>
        <w:t xml:space="preserve">A synthetic output may represent a possible response shape without preserving the evidential status of actual human participation.</w:t>
      </w:r>
    </w:p>
    <w:p>
      <w:r>
        <w:pict>
          <v:rect style="width:0;height:1.5pt" o:hralign="center" o:hrstd="t" o:hr="t"/>
        </w:pict>
      </w:r>
    </w:p>
    <w:bookmarkEnd w:id="23"/>
    <w:bookmarkStart w:id="24" w:name="classification-and-scope"/>
    <w:p>
      <w:pPr>
        <w:pStyle w:val="Heading2"/>
      </w:pPr>
      <w:r>
        <w:t xml:space="preserve">3. Classification and Scope</w:t>
      </w:r>
    </w:p>
    <w:p>
      <w:pPr>
        <w:pStyle w:val="FirstParagraph"/>
      </w:pPr>
      <w:r>
        <w:t xml:space="preserve">This document presents</w:t>
      </w:r>
      <w:r>
        <w:t xml:space="preserve"> </w:t>
      </w:r>
      <w:r>
        <w:rPr>
          <w:bCs/>
          <w:b/>
        </w:rPr>
        <w:t xml:space="preserve">Synthetic Representation / Human Grounding Boundary</w:t>
      </w:r>
      <w:r>
        <w:t xml:space="preserve"> </w:t>
      </w:r>
      <w:r>
        <w:t xml:space="preserve">as an external-facing boundary or diagnostic note. The note isolates a recurring distinction that supports several broader models without claiming an independent universal mechanism in every domain.</w:t>
      </w:r>
    </w:p>
    <w:p>
      <w:pPr>
        <w:pStyle w:val="BodyText"/>
      </w:pPr>
      <w:r>
        <w:t xml:space="preserve">It is not a legal, ethical, clinical, technical, or compliance standard. It does not assign blame, calculate risk, or authorize automated decisions. The public version omits non-public editorial records, private source materials, non-public working materials, and implementation details.</w:t>
      </w:r>
    </w:p>
    <w:p>
      <w:r>
        <w:pict>
          <v:rect style="width:0;height:1.5pt" o:hralign="center" o:hrstd="t" o:hr="t"/>
        </w:pict>
      </w:r>
    </w:p>
    <w:bookmarkEnd w:id="24"/>
    <w:bookmarkStart w:id="25" w:name="central-distinctions"/>
    <w:p>
      <w:pPr>
        <w:pStyle w:val="Heading2"/>
      </w:pPr>
      <w:r>
        <w:t xml:space="preserve">4. Central Distinctions</w:t>
      </w:r>
    </w:p>
    <w:p>
      <w:pPr>
        <w:pStyle w:val="FirstParagraph"/>
      </w:pPr>
      <w:r>
        <w:t xml:space="preserve">synthetic response</w:t>
      </w:r>
      <w:r>
        <w:t xml:space="preserve"> </w:t>
      </w:r>
      <w:r>
        <w:t xml:space="preserve">≠</w:t>
      </w:r>
      <w:r>
        <w:t xml:space="preserve"> </w:t>
      </w:r>
      <w:r>
        <w:t xml:space="preserve">human evidence</w:t>
      </w:r>
    </w:p>
    <w:p>
      <w:pPr>
        <w:pStyle w:val="BodyText"/>
      </w:pPr>
      <w:r>
        <w:t xml:space="preserve">Expanded:</w:t>
      </w:r>
    </w:p>
    <w:p>
      <w:pPr>
        <w:pStyle w:val="BodyText"/>
      </w:pPr>
      <w:r>
        <w:t xml:space="preserve">A system may simulate a human-like response without establishing that the response is grounded in the population, context, variation, or consequence it is taken to represent.</w:t>
      </w:r>
    </w:p>
    <w:p>
      <w:r>
        <w:pict>
          <v:rect style="width:0;height:1.5pt" o:hralign="center" o:hrstd="t" o:hr="t"/>
        </w:pict>
      </w:r>
    </w:p>
    <w:bookmarkEnd w:id="25"/>
    <w:bookmarkStart w:id="28" w:name="core-mechanism-and-structural-sequence"/>
    <w:p>
      <w:pPr>
        <w:pStyle w:val="Heading2"/>
      </w:pPr>
      <w:r>
        <w:t xml:space="preserve">5. Core Mechanism and Structural Sequence</w:t>
      </w:r>
    </w:p>
    <w:bookmarkStart w:id="26" w:name="core-mechanism"/>
    <w:p>
      <w:pPr>
        <w:pStyle w:val="Heading3"/>
      </w:pPr>
      <w:r>
        <w:t xml:space="preserve">5.1 Core Mechanism</w:t>
      </w:r>
    </w:p>
    <w:p>
      <w:pPr>
        <w:pStyle w:val="FirstParagraph"/>
      </w:pPr>
      <w:r>
        <w:t xml:space="preserve">human response becomes costly, slow, limited, unavailable, or inconvenient</w:t>
      </w:r>
      <w:r>
        <w:t xml:space="preserve"> </w:t>
      </w:r>
      <w:r>
        <w:t xml:space="preserve">→ synthetic representation becomes attractive</w:t>
      </w:r>
      <w:r>
        <w:t xml:space="preserve"> </w:t>
      </w:r>
      <w:r>
        <w:t xml:space="preserve">→ system generates plausible human-like responses</w:t>
      </w:r>
      <w:r>
        <w:t xml:space="preserve"> </w:t>
      </w:r>
      <w:r>
        <w:t xml:space="preserve">→ outputs appear scalable and usable</w:t>
      </w:r>
      <w:r>
        <w:t xml:space="preserve"> </w:t>
      </w:r>
      <w:r>
        <w:t xml:space="preserve">→ similarity is inferred from surface plausibility or partial validation</w:t>
      </w:r>
      <w:r>
        <w:t xml:space="preserve"> </w:t>
      </w:r>
      <w:r>
        <w:t xml:space="preserve">→ evidential role expands beyond grounding</w:t>
      </w:r>
      <w:r>
        <w:t xml:space="preserve"> </w:t>
      </w:r>
      <w:r>
        <w:t xml:space="preserve">→ synthetic response begins to substitute for human participation</w:t>
      </w:r>
      <w:r>
        <w:t xml:space="preserve"> </w:t>
      </w:r>
      <w:r>
        <w:t xml:space="preserve">→ human grounding becomes compressed, deferred, or bypassed</w:t>
      </w:r>
    </w:p>
    <w:bookmarkEnd w:id="26"/>
    <w:bookmarkStart w:id="27" w:name="structural-sequence"/>
    <w:p>
      <w:pPr>
        <w:pStyle w:val="Heading3"/>
      </w:pPr>
      <w:r>
        <w:t xml:space="preserve">5.2 Structural Sequence</w:t>
      </w:r>
    </w:p>
    <w:p>
      <w:pPr>
        <w:pStyle w:val="FirstParagraph"/>
      </w:pPr>
      <w:r>
        <w:t xml:space="preserve">Failure Flow</w:t>
      </w:r>
    </w:p>
    <w:p>
      <w:pPr>
        <w:pStyle w:val="BodyText"/>
      </w:pPr>
      <w:r>
        <w:t xml:space="preserve">synthetic response produced</w:t>
      </w:r>
      <w:r>
        <w:t xml:space="preserve"> </w:t>
      </w:r>
      <w:r>
        <w:t xml:space="preserve">→ response appears human-like</w:t>
      </w:r>
      <w:r>
        <w:t xml:space="preserve"> </w:t>
      </w:r>
      <w:r>
        <w:t xml:space="preserve">→ aggregate similarity or plausibility is accepted</w:t>
      </w:r>
      <w:r>
        <w:t xml:space="preserve"> </w:t>
      </w:r>
      <w:r>
        <w:t xml:space="preserve">→ population grounding remains under-specified</w:t>
      </w:r>
      <w:r>
        <w:t xml:space="preserve"> </w:t>
      </w:r>
      <w:r>
        <w:t xml:space="preserve">→ affected human position is treated as represented</w:t>
      </w:r>
      <w:r>
        <w:t xml:space="preserve"> </w:t>
      </w:r>
      <w:r>
        <w:t xml:space="preserve">→ decision or interpretation proceeds</w:t>
      </w:r>
      <w:r>
        <w:t xml:space="preserve"> </w:t>
      </w:r>
      <w:r>
        <w:t xml:space="preserve">→ synthetic representation substitutes for human evidence</w:t>
      </w:r>
    </w:p>
    <w:p>
      <w:pPr>
        <w:pStyle w:val="BodyText"/>
      </w:pPr>
      <w:r>
        <w:t xml:space="preserve">Aligned Flow</w:t>
      </w:r>
    </w:p>
    <w:p>
      <w:pPr>
        <w:pStyle w:val="BodyText"/>
      </w:pPr>
      <w:r>
        <w:t xml:space="preserve">synthetic response produced</w:t>
      </w:r>
      <w:r>
        <w:t xml:space="preserve"> </w:t>
      </w:r>
      <w:r>
        <w:t xml:space="preserve">→ intended purpose is declared</w:t>
      </w:r>
      <w:r>
        <w:t xml:space="preserve"> </w:t>
      </w:r>
      <w:r>
        <w:t xml:space="preserve">→ evidential role is bounded</w:t>
      </w:r>
      <w:r>
        <w:t xml:space="preserve"> </w:t>
      </w:r>
      <w:r>
        <w:t xml:space="preserve">→ validation level is specified</w:t>
      </w:r>
      <w:r>
        <w:t xml:space="preserve"> </w:t>
      </w:r>
      <w:r>
        <w:t xml:space="preserve">→ population grounding is checked</w:t>
      </w:r>
      <w:r>
        <w:t xml:space="preserve"> </w:t>
      </w:r>
      <w:r>
        <w:t xml:space="preserve">→ subgroup and distributional limits remain visible</w:t>
      </w:r>
      <w:r>
        <w:t xml:space="preserve"> </w:t>
      </w:r>
      <w:r>
        <w:t xml:space="preserve">→ synthetic output supplements rather than replaces human participation</w:t>
      </w:r>
      <w:r>
        <w:t xml:space="preserve"> </w:t>
      </w:r>
      <w:r>
        <w:t xml:space="preserve">→ interpretation remains proportionate to grounding</w:t>
      </w:r>
    </w:p>
    <w:p>
      <w:r>
        <w:pict>
          <v:rect style="width:0;height:1.5pt" o:hralign="center" o:hrstd="t" o:hr="t"/>
        </w:pict>
      </w:r>
    </w:p>
    <w:bookmarkEnd w:id="27"/>
    <w:bookmarkEnd w:id="28"/>
    <w:bookmarkStart w:id="29" w:name="structural-components"/>
    <w:p>
      <w:pPr>
        <w:pStyle w:val="Heading2"/>
      </w:pPr>
      <w:r>
        <w:t xml:space="preserve">6. Structural Components</w:t>
      </w:r>
    </w:p>
    <w:p>
      <w:pPr>
        <w:pStyle w:val="FirstParagraph"/>
      </w:pPr>
      <w:r>
        <w:t xml:space="preserve">synthetic response</w:t>
      </w:r>
      <w:r>
        <w:t xml:space="preserve"> </w:t>
      </w:r>
      <w:r>
        <w:t xml:space="preserve">human grounding</w:t>
      </w:r>
      <w:r>
        <w:t xml:space="preserve"> </w:t>
      </w:r>
      <w:r>
        <w:t xml:space="preserve">population reference</w:t>
      </w:r>
      <w:r>
        <w:t xml:space="preserve"> </w:t>
      </w:r>
      <w:r>
        <w:t xml:space="preserve">affected-community position</w:t>
      </w:r>
      <w:r>
        <w:t xml:space="preserve"> </w:t>
      </w:r>
      <w:r>
        <w:t xml:space="preserve">validation scope</w:t>
      </w:r>
      <w:r>
        <w:t xml:space="preserve"> </w:t>
      </w:r>
      <w:r>
        <w:t xml:space="preserve">accuracy metric</w:t>
      </w:r>
      <w:r>
        <w:t xml:space="preserve"> </w:t>
      </w:r>
      <w:r>
        <w:t xml:space="preserve">distributional adequacy</w:t>
      </w:r>
      <w:r>
        <w:t xml:space="preserve"> </w:t>
      </w:r>
      <w:r>
        <w:t xml:space="preserve">subgroup fidelity</w:t>
      </w:r>
      <w:r>
        <w:t xml:space="preserve"> </w:t>
      </w:r>
      <w:r>
        <w:t xml:space="preserve">purpose boundary</w:t>
      </w:r>
      <w:r>
        <w:t xml:space="preserve"> </w:t>
      </w:r>
      <w:r>
        <w:t xml:space="preserve">decision consequence</w:t>
      </w:r>
      <w:r>
        <w:t xml:space="preserve"> </w:t>
      </w:r>
      <w:r>
        <w:t xml:space="preserve">method transparency</w:t>
      </w:r>
      <w:r>
        <w:t xml:space="preserve"> </w:t>
      </w:r>
      <w:r>
        <w:t xml:space="preserve">replacement pressure</w:t>
      </w:r>
      <w:r>
        <w:t xml:space="preserve"> </w:t>
      </w:r>
      <w:r>
        <w:t xml:space="preserve">evidential role expansion</w:t>
      </w:r>
    </w:p>
    <w:p>
      <w:r>
        <w:pict>
          <v:rect style="width:0;height:1.5pt" o:hralign="center" o:hrstd="t" o:hr="t"/>
        </w:pict>
      </w:r>
    </w:p>
    <w:bookmarkEnd w:id="29"/>
    <w:bookmarkStart w:id="30" w:name="primary-failure-patterns"/>
    <w:p>
      <w:pPr>
        <w:pStyle w:val="Heading2"/>
      </w:pPr>
      <w:r>
        <w:t xml:space="preserve">7. Primary Failure Patterns</w:t>
      </w:r>
    </w:p>
    <w:p>
      <w:pPr>
        <w:numPr>
          <w:ilvl w:val="0"/>
          <w:numId w:val="1001"/>
        </w:numPr>
        <w:pStyle w:val="Compact"/>
      </w:pPr>
      <w:r>
        <w:t xml:space="preserve">Synthetic Substitution</w:t>
      </w:r>
    </w:p>
    <w:p>
      <w:pPr>
        <w:pStyle w:val="FirstParagraph"/>
      </w:pPr>
      <w:r>
        <w:t xml:space="preserve">synthetic response appears adequate</w:t>
      </w:r>
      <w:r>
        <w:t xml:space="preserve"> </w:t>
      </w:r>
      <w:r>
        <w:t xml:space="preserve">→ human evidence is skipped</w:t>
      </w:r>
    </w:p>
    <w:p>
      <w:pPr>
        <w:pStyle w:val="BodyText"/>
      </w:pPr>
      <w:r>
        <w:t xml:space="preserve">A simulated response becomes a practical replacement for actual human participation.</w:t>
      </w:r>
    </w:p>
    <w:p>
      <w:pPr>
        <w:numPr>
          <w:ilvl w:val="0"/>
          <w:numId w:val="1002"/>
        </w:numPr>
        <w:pStyle w:val="Compact"/>
      </w:pPr>
      <w:r>
        <w:t xml:space="preserve">Aggregate Overreach</w:t>
      </w:r>
    </w:p>
    <w:p>
      <w:pPr>
        <w:pStyle w:val="FirstParagraph"/>
      </w:pPr>
      <w:r>
        <w:t xml:space="preserve">average similarity observed</w:t>
      </w:r>
      <w:r>
        <w:t xml:space="preserve"> </w:t>
      </w:r>
      <w:r>
        <w:t xml:space="preserve">→ subgroup or individual fidelity assumed</w:t>
      </w:r>
    </w:p>
    <w:p>
      <w:pPr>
        <w:pStyle w:val="BodyText"/>
      </w:pPr>
      <w:r>
        <w:t xml:space="preserve">A system performs adequately at one level of analysis and is overextended to another.</w:t>
      </w:r>
    </w:p>
    <w:p>
      <w:pPr>
        <w:numPr>
          <w:ilvl w:val="0"/>
          <w:numId w:val="1003"/>
        </w:numPr>
        <w:pStyle w:val="Compact"/>
      </w:pPr>
      <w:r>
        <w:t xml:space="preserve">Persona Sufficiency Error</w:t>
      </w:r>
    </w:p>
    <w:p>
      <w:pPr>
        <w:pStyle w:val="FirstParagraph"/>
      </w:pPr>
      <w:r>
        <w:t xml:space="preserve">persona profile generated</w:t>
      </w:r>
      <w:r>
        <w:t xml:space="preserve"> </w:t>
      </w:r>
      <w:r>
        <w:t xml:space="preserve">→ represented human position assumed</w:t>
      </w:r>
    </w:p>
    <w:p>
      <w:pPr>
        <w:pStyle w:val="BodyText"/>
      </w:pPr>
      <w:r>
        <w:t xml:space="preserve">A constructed persona is treated as if it carries the grounding of a real person, group, or community.</w:t>
      </w:r>
    </w:p>
    <w:p>
      <w:pPr>
        <w:numPr>
          <w:ilvl w:val="0"/>
          <w:numId w:val="1004"/>
        </w:numPr>
        <w:pStyle w:val="Compact"/>
      </w:pPr>
      <w:r>
        <w:t xml:space="preserve">Validation Scope Expansion</w:t>
      </w:r>
    </w:p>
    <w:p>
      <w:pPr>
        <w:pStyle w:val="FirstParagraph"/>
      </w:pPr>
      <w:r>
        <w:t xml:space="preserve">narrow validation</w:t>
      </w:r>
      <w:r>
        <w:t xml:space="preserve"> </w:t>
      </w:r>
      <w:r>
        <w:t xml:space="preserve">→ broad evidential claim</w:t>
      </w:r>
    </w:p>
    <w:p>
      <w:pPr>
        <w:pStyle w:val="BodyText"/>
      </w:pPr>
      <w:r>
        <w:t xml:space="preserve">A synthetic system validated under limited conditions is used to support claims outside those conditions.</w:t>
      </w:r>
    </w:p>
    <w:p>
      <w:pPr>
        <w:numPr>
          <w:ilvl w:val="0"/>
          <w:numId w:val="1005"/>
        </w:numPr>
        <w:pStyle w:val="Compact"/>
      </w:pPr>
      <w:r>
        <w:t xml:space="preserve">Human Absence Normalization</w:t>
      </w:r>
    </w:p>
    <w:p>
      <w:pPr>
        <w:pStyle w:val="FirstParagraph"/>
      </w:pPr>
      <w:r>
        <w:t xml:space="preserve">synthetic evidence becomes convenient</w:t>
      </w:r>
      <w:r>
        <w:t xml:space="preserve"> </w:t>
      </w:r>
      <w:r>
        <w:t xml:space="preserve">→ human participation becomes optional</w:t>
      </w:r>
    </w:p>
    <w:p>
      <w:pPr>
        <w:pStyle w:val="BodyText"/>
      </w:pPr>
      <w:r>
        <w:t xml:space="preserve">The system gradually treats human grounding as costly residue rather than evidential necessity.</w:t>
      </w:r>
    </w:p>
    <w:p>
      <w:pPr>
        <w:numPr>
          <w:ilvl w:val="0"/>
          <w:numId w:val="1006"/>
        </w:numPr>
        <w:pStyle w:val="Compact"/>
      </w:pPr>
      <w:r>
        <w:t xml:space="preserve">Decision-Use Drift</w:t>
      </w:r>
    </w:p>
    <w:p>
      <w:pPr>
        <w:pStyle w:val="FirstParagraph"/>
      </w:pPr>
      <w:r>
        <w:t xml:space="preserve">exploratory output</w:t>
      </w:r>
      <w:r>
        <w:t xml:space="preserve"> </w:t>
      </w:r>
      <w:r>
        <w:t xml:space="preserve">→ practical decision support</w:t>
      </w:r>
      <w:r>
        <w:t xml:space="preserve"> </w:t>
      </w:r>
      <w:r>
        <w:t xml:space="preserve">→ policy or institutional action</w:t>
      </w:r>
    </w:p>
    <w:p>
      <w:pPr>
        <w:pStyle w:val="BodyText"/>
      </w:pPr>
      <w:r>
        <w:t xml:space="preserve">The evidential role of the synthetic output expands without a corresponding increase in validation.</w:t>
      </w:r>
    </w:p>
    <w:p>
      <w:r>
        <w:pict>
          <v:rect style="width:0;height:1.5pt" o:hralign="center" o:hrstd="t" o:hr="t"/>
        </w:pict>
      </w:r>
    </w:p>
    <w:bookmarkEnd w:id="30"/>
    <w:bookmarkStart w:id="31" w:name="operational-evaluation"/>
    <w:p>
      <w:pPr>
        <w:pStyle w:val="Heading2"/>
      </w:pPr>
      <w:r>
        <w:t xml:space="preserve">8. Operational Evaluation</w:t>
      </w:r>
    </w:p>
    <w:p>
      <w:pPr>
        <w:numPr>
          <w:ilvl w:val="0"/>
          <w:numId w:val="1007"/>
        </w:numPr>
      </w:pPr>
      <w:r>
        <w:t xml:space="preserve">What human population, group, role, or context is the synthetic output claimed to represent?</w:t>
      </w:r>
    </w:p>
    <w:p>
      <w:pPr>
        <w:numPr>
          <w:ilvl w:val="0"/>
          <w:numId w:val="1007"/>
        </w:numPr>
      </w:pPr>
      <w:r>
        <w:t xml:space="preserve">Is the synthetic output being used for exploration, pre-testing, prediction, decision support, or replacement of human evidence?</w:t>
      </w:r>
    </w:p>
    <w:p>
      <w:pPr>
        <w:numPr>
          <w:ilvl w:val="0"/>
          <w:numId w:val="1007"/>
        </w:numPr>
      </w:pPr>
      <w:r>
        <w:t xml:space="preserve">What level of validation has been performed?</w:t>
      </w:r>
    </w:p>
    <w:p>
      <w:pPr>
        <w:numPr>
          <w:ilvl w:val="0"/>
          <w:numId w:val="1007"/>
        </w:numPr>
      </w:pPr>
      <w:r>
        <w:t xml:space="preserve">Is validation aggregate, distributional, subgroup-level, individual-level, temporal, or contextual?</w:t>
      </w:r>
    </w:p>
    <w:p>
      <w:pPr>
        <w:numPr>
          <w:ilvl w:val="0"/>
          <w:numId w:val="1007"/>
        </w:numPr>
      </w:pPr>
      <w:r>
        <w:t xml:space="preserve">Does the output preserve human variation, disagreement, minority position, and uncertainty?</w:t>
      </w:r>
    </w:p>
    <w:p>
      <w:pPr>
        <w:numPr>
          <w:ilvl w:val="0"/>
          <w:numId w:val="1007"/>
        </w:numPr>
      </w:pPr>
      <w:r>
        <w:t xml:space="preserve">Is the synthetic response being interpreted beyond its validation scope?</w:t>
      </w:r>
    </w:p>
    <w:p>
      <w:pPr>
        <w:numPr>
          <w:ilvl w:val="0"/>
          <w:numId w:val="1007"/>
        </w:numPr>
      </w:pPr>
      <w:r>
        <w:t xml:space="preserve">Are affected communities still present in the evidence structure?</w:t>
      </w:r>
    </w:p>
    <w:p>
      <w:pPr>
        <w:numPr>
          <w:ilvl w:val="0"/>
          <w:numId w:val="1007"/>
        </w:numPr>
      </w:pPr>
      <w:r>
        <w:t xml:space="preserve">Does the synthetic system supplement or replace human participation?</w:t>
      </w:r>
    </w:p>
    <w:p>
      <w:pPr>
        <w:numPr>
          <w:ilvl w:val="0"/>
          <w:numId w:val="1007"/>
        </w:numPr>
      </w:pPr>
      <w:r>
        <w:t xml:space="preserve">Are model, prompt, persona, sampling, and generation conditions transparent enough to inspect?</w:t>
      </w:r>
    </w:p>
    <w:p>
      <w:pPr>
        <w:numPr>
          <w:ilvl w:val="0"/>
          <w:numId w:val="1007"/>
        </w:numPr>
      </w:pPr>
      <w:r>
        <w:t xml:space="preserve">Is the practical decision consequence proportionate to the grounding quality?</w:t>
      </w:r>
    </w:p>
    <w:p>
      <w:r>
        <w:pict>
          <v:rect style="width:0;height:1.5pt" o:hralign="center" o:hrstd="t" o:hr="t"/>
        </w:pict>
      </w:r>
    </w:p>
    <w:bookmarkEnd w:id="31"/>
    <w:bookmarkStart w:id="37" w:name="application-domains"/>
    <w:p>
      <w:pPr>
        <w:pStyle w:val="Heading2"/>
      </w:pPr>
      <w:r>
        <w:t xml:space="preserve">9. Application Domains</w:t>
      </w:r>
    </w:p>
    <w:bookmarkStart w:id="32" w:name="synthetic-participants"/>
    <w:p>
      <w:pPr>
        <w:pStyle w:val="Heading3"/>
      </w:pPr>
      <w:r>
        <w:t xml:space="preserve">1. Synthetic participants</w:t>
      </w:r>
    </w:p>
    <w:p>
      <w:pPr>
        <w:pStyle w:val="FirstParagraph"/>
      </w:pPr>
      <w:r>
        <w:t xml:space="preserve">Generated responses can support pilot work but require human comparison before being used as population evidence.</w:t>
      </w:r>
    </w:p>
    <w:bookmarkEnd w:id="32"/>
    <w:bookmarkStart w:id="33" w:name="policy-and-public-consultation"/>
    <w:p>
      <w:pPr>
        <w:pStyle w:val="Heading3"/>
      </w:pPr>
      <w:r>
        <w:t xml:space="preserve">2. Policy and public consultation</w:t>
      </w:r>
    </w:p>
    <w:p>
      <w:pPr>
        <w:pStyle w:val="FirstParagraph"/>
      </w:pPr>
      <w:r>
        <w:t xml:space="preserve">Simulated stakeholder positions should not replace participation by people affected by the decision.</w:t>
      </w:r>
    </w:p>
    <w:bookmarkEnd w:id="33"/>
    <w:bookmarkStart w:id="34" w:name="product-and-service-design"/>
    <w:p>
      <w:pPr>
        <w:pStyle w:val="Heading3"/>
      </w:pPr>
      <w:r>
        <w:t xml:space="preserve">3. Product and service design</w:t>
      </w:r>
    </w:p>
    <w:p>
      <w:pPr>
        <w:pStyle w:val="FirstParagraph"/>
      </w:pPr>
      <w:r>
        <w:t xml:space="preserve">Personas and generated user feedback may assist ideation while remaining distinct from actual usability evidence.</w:t>
      </w:r>
    </w:p>
    <w:bookmarkEnd w:id="34"/>
    <w:bookmarkStart w:id="35" w:name="social-and-behavioral-research"/>
    <w:p>
      <w:pPr>
        <w:pStyle w:val="Heading3"/>
      </w:pPr>
      <w:r>
        <w:t xml:space="preserve">4. Social and behavioral research</w:t>
      </w:r>
    </w:p>
    <w:p>
      <w:pPr>
        <w:pStyle w:val="FirstParagraph"/>
      </w:pPr>
      <w:r>
        <w:t xml:space="preserve">Aggregate response similarity cannot by itself establish subgroup, contextual, temporal, or individual fidelity.</w:t>
      </w:r>
    </w:p>
    <w:bookmarkEnd w:id="35"/>
    <w:bookmarkStart w:id="36" w:name="training-and-scenario-rehearsal"/>
    <w:p>
      <w:pPr>
        <w:pStyle w:val="Heading3"/>
      </w:pPr>
      <w:r>
        <w:t xml:space="preserve">5. Training and scenario rehearsal</w:t>
      </w:r>
    </w:p>
    <w:p>
      <w:pPr>
        <w:pStyle w:val="FirstParagraph"/>
      </w:pPr>
      <w:r>
        <w:t xml:space="preserve">Synthetic cases can be valuable for preparation when they are clearly marked as constructed and not used as claims about actual communities.</w:t>
      </w:r>
    </w:p>
    <w:p>
      <w:r>
        <w:pict>
          <v:rect style="width:0;height:1.5pt" o:hralign="center" o:hrstd="t" o:hr="t"/>
        </w:pict>
      </w:r>
    </w:p>
    <w:bookmarkEnd w:id="36"/>
    <w:bookmarkEnd w:id="37"/>
    <w:bookmarkStart w:id="43" w:name="relations-to-adjacent-public-frameworks"/>
    <w:p>
      <w:pPr>
        <w:pStyle w:val="Heading2"/>
      </w:pPr>
      <w:r>
        <w:t xml:space="preserve">10. Relations to Adjacent Public Frameworks</w:t>
      </w:r>
    </w:p>
    <w:bookmarkStart w:id="38" w:name="X9e8b2551e75c9abb6859778cd423efa8aafded8"/>
    <w:p>
      <w:pPr>
        <w:pStyle w:val="Heading3"/>
      </w:pPr>
      <w:r>
        <w:t xml:space="preserve">1. Proxy Substitution as a Structural Governance Failure</w:t>
      </w:r>
    </w:p>
    <w:p>
      <w:pPr>
        <w:pStyle w:val="FirstParagraph"/>
      </w:pPr>
      <w:r>
        <w:t xml:space="preserve">Proxy Substitution as a Structural Governance Failure examines how a substitute can become operationally dominant while the original referent, participant, source, or responsibility relation disappears. The present entry specifies the substitution pressure at issue.</w:t>
      </w:r>
    </w:p>
    <w:bookmarkEnd w:id="38"/>
    <w:bookmarkStart w:id="39" w:name="provenancevalidity-separation-model"/>
    <w:p>
      <w:pPr>
        <w:pStyle w:val="Heading3"/>
      </w:pPr>
      <w:r>
        <w:t xml:space="preserve">2. Provenance–Validity Separation Model</w:t>
      </w:r>
    </w:p>
    <w:p>
      <w:pPr>
        <w:pStyle w:val="FirstParagraph"/>
      </w:pPr>
      <w:r>
        <w:t xml:space="preserve">Provenance–Validity Separation Model separates traceable origin from the validity, adequacy, or warranted use of an output. The present entry extends that distinction into a more specific interface, research, or responsibility condition.</w:t>
      </w:r>
    </w:p>
    <w:bookmarkEnd w:id="39"/>
    <w:bookmarkStart w:id="40" w:name="false-legibility-model"/>
    <w:p>
      <w:pPr>
        <w:pStyle w:val="Heading3"/>
      </w:pPr>
      <w:r>
        <w:t xml:space="preserve">3. False Legibility Model</w:t>
      </w:r>
    </w:p>
    <w:p>
      <w:pPr>
        <w:pStyle w:val="FirstParagraph"/>
      </w:pPr>
      <w:r>
        <w:t xml:space="preserve">False Legibility Model describes how readable surfaces can be accepted before their underlying structure is understood. The present entry identifies a concrete way in which fluency, familiarity, or interface clarity can conceal an unresolved boundary.</w:t>
      </w:r>
    </w:p>
    <w:bookmarkEnd w:id="40"/>
    <w:bookmarkStart w:id="41" w:name="observerrepresentation-boundary"/>
    <w:p>
      <w:pPr>
        <w:pStyle w:val="Heading3"/>
      </w:pPr>
      <w:r>
        <w:t xml:space="preserve">4. Observer–Representation Boundary</w:t>
      </w:r>
    </w:p>
    <w:p>
      <w:pPr>
        <w:pStyle w:val="FirstParagraph"/>
      </w:pPr>
      <w:r>
        <w:t xml:space="preserve">Observer–Representation Boundary separates what an observer can read from what a representation can legitimately establish. The present entry specifies the evidential or operational consequences of crossing that boundary.</w:t>
      </w:r>
    </w:p>
    <w:bookmarkEnd w:id="41"/>
    <w:bookmarkStart w:id="42" w:name="responsibility-alignment-model"/>
    <w:p>
      <w:pPr>
        <w:pStyle w:val="Heading3"/>
      </w:pPr>
      <w:r>
        <w:t xml:space="preserve">5. Responsibility Alignment Model</w:t>
      </w:r>
    </w:p>
    <w:p>
      <w:pPr>
        <w:pStyle w:val="FirstParagraph"/>
      </w:pPr>
      <w:r>
        <w:t xml:space="preserve">Responsibility Alignment Model clarifies whether ownership, authority, capacity, visibility, and accountability remain attached to compatible nodes. The present entry specifies one condition under which that alignment can fail or become nominal.</w:t>
      </w:r>
    </w:p>
    <w:p>
      <w:r>
        <w:pict>
          <v:rect style="width:0;height:1.5pt" o:hralign="center" o:hrstd="t" o:hr="t"/>
        </w:pict>
      </w:r>
    </w:p>
    <w:bookmarkEnd w:id="42"/>
    <w:bookmarkEnd w:id="43"/>
    <w:bookmarkStart w:id="46" w:name="X673d9de5858afc14d9174904e92e64ad8dc9e49"/>
    <w:p>
      <w:pPr>
        <w:pStyle w:val="Heading2"/>
      </w:pPr>
      <w:r>
        <w:t xml:space="preserve">11. Boundary Conditions and Non-Applicability</w:t>
      </w:r>
    </w:p>
    <w:bookmarkStart w:id="44" w:name="boundary-conditions"/>
    <w:p>
      <w:pPr>
        <w:pStyle w:val="Heading3"/>
      </w:pPr>
      <w:r>
        <w:t xml:space="preserve">11.1 Boundary Conditions</w:t>
      </w:r>
    </w:p>
    <w:p>
      <w:pPr>
        <w:pStyle w:val="FirstParagraph"/>
      </w:pPr>
      <w:r>
        <w:t xml:space="preserve">This note applies when a synthetic or simulated response is used to stand in for human evidence, human variation, human participation, population representation, stakeholder input, or policy-relevant public response.</w:t>
      </w:r>
    </w:p>
    <w:p>
      <w:pPr>
        <w:pStyle w:val="BodyText"/>
      </w:pPr>
      <w:r>
        <w:t xml:space="preserve">It does not apply merely because a synthetic system is used for brainstorming, early-stage prototyping, rehearsal, testing prompts, or generating hypothetical scenarios.</w:t>
      </w:r>
    </w:p>
    <w:p>
      <w:pPr>
        <w:pStyle w:val="BodyText"/>
      </w:pPr>
      <w:r>
        <w:t xml:space="preserve">The boundary is crossed when:</w:t>
      </w:r>
    </w:p>
    <w:p>
      <w:pPr>
        <w:pStyle w:val="BodyText"/>
      </w:pPr>
      <w:r>
        <w:t xml:space="preserve">synthetic response</w:t>
      </w:r>
      <w:r>
        <w:t xml:space="preserve"> </w:t>
      </w:r>
      <w:r>
        <w:t xml:space="preserve">→ treated as population evidence</w:t>
      </w:r>
    </w:p>
    <w:p>
      <w:pPr>
        <w:pStyle w:val="BodyText"/>
      </w:pPr>
      <w:r>
        <w:t xml:space="preserve">or:</w:t>
      </w:r>
    </w:p>
    <w:p>
      <w:pPr>
        <w:pStyle w:val="BodyText"/>
      </w:pPr>
      <w:r>
        <w:t xml:space="preserve">simulation output</w:t>
      </w:r>
      <w:r>
        <w:t xml:space="preserve"> </w:t>
      </w:r>
      <w:r>
        <w:t xml:space="preserve">→ treated as human participation</w:t>
      </w:r>
    </w:p>
    <w:bookmarkEnd w:id="44"/>
    <w:bookmarkStart w:id="45" w:name="non-applicability"/>
    <w:p>
      <w:pPr>
        <w:pStyle w:val="Heading3"/>
      </w:pPr>
      <w:r>
        <w:t xml:space="preserve">11.2 Non-Applicability</w:t>
      </w:r>
    </w:p>
    <w:p>
      <w:pPr>
        <w:pStyle w:val="FirstParagraph"/>
      </w:pPr>
      <w:r>
        <w:t xml:space="preserve">This note should not be used to reject all synthetic representation.</w:t>
      </w:r>
    </w:p>
    <w:p>
      <w:pPr>
        <w:pStyle w:val="BodyText"/>
      </w:pPr>
      <w:r>
        <w:t xml:space="preserve">It does not apply well when:</w:t>
      </w:r>
    </w:p>
    <w:p>
      <w:pPr>
        <w:pStyle w:val="BodyText"/>
      </w:pPr>
      <w:r>
        <w:t xml:space="preserve">synthetic use is explicitly exploratory</w:t>
      </w:r>
    </w:p>
    <w:p>
      <w:pPr>
        <w:pStyle w:val="BodyText"/>
      </w:pPr>
      <w:r>
        <w:t xml:space="preserve">no claim is made about actual human populations</w:t>
      </w:r>
    </w:p>
    <w:p>
      <w:pPr>
        <w:pStyle w:val="BodyText"/>
      </w:pPr>
      <w:r>
        <w:t xml:space="preserve">human grounding is not required for the task</w:t>
      </w:r>
    </w:p>
    <w:p>
      <w:pPr>
        <w:pStyle w:val="BodyText"/>
      </w:pPr>
      <w:r>
        <w:t xml:space="preserve">the output is used only for internal ideation or interface rehearsal</w:t>
      </w:r>
    </w:p>
    <w:p>
      <w:pPr>
        <w:pStyle w:val="BodyText"/>
      </w:pPr>
      <w:r>
        <w:t xml:space="preserve">validation scope and practical use boundary are clearly stated</w:t>
      </w:r>
    </w:p>
    <w:p>
      <w:pPr>
        <w:pStyle w:val="BodyText"/>
      </w:pPr>
      <w:r>
        <w:t xml:space="preserve">human evidence remains present where consequence, representation, or affected-community participation matters</w:t>
      </w:r>
    </w:p>
    <w:p>
      <w:pPr>
        <w:pStyle w:val="BodyText"/>
      </w:pPr>
      <w:r>
        <w:t xml:space="preserve">It should not be reduced to:</w:t>
      </w:r>
    </w:p>
    <w:p>
      <w:pPr>
        <w:pStyle w:val="BodyText"/>
      </w:pPr>
      <w:r>
        <w:t xml:space="preserve">synthetic data is false</w:t>
      </w:r>
    </w:p>
    <w:p>
      <w:pPr>
        <w:pStyle w:val="BodyText"/>
      </w:pPr>
      <w:r>
        <w:t xml:space="preserve">or:</w:t>
      </w:r>
    </w:p>
    <w:p>
      <w:pPr>
        <w:pStyle w:val="BodyText"/>
      </w:pPr>
      <w:r>
        <w:t xml:space="preserve">AI cannot simulate anything</w:t>
      </w:r>
    </w:p>
    <w:p>
      <w:pPr>
        <w:pStyle w:val="BodyText"/>
      </w:pPr>
      <w:r>
        <w:t xml:space="preserve">The narrower concern is:</w:t>
      </w:r>
    </w:p>
    <w:p>
      <w:pPr>
        <w:pStyle w:val="BodyText"/>
      </w:pPr>
      <w:r>
        <w:t xml:space="preserve">synthetic response becomes evidential substitute before human grounding is adequate.</w:t>
      </w:r>
    </w:p>
    <w:p>
      <w:r>
        <w:pict>
          <v:rect style="width:0;height:1.5pt" o:hralign="center" o:hrstd="t" o:hr="t"/>
        </w:pict>
      </w:r>
    </w:p>
    <w:bookmarkEnd w:id="45"/>
    <w:bookmarkEnd w:id="46"/>
    <w:bookmarkStart w:id="47" w:name="public-orientation-and-method-boundary"/>
    <w:p>
      <w:pPr>
        <w:pStyle w:val="Heading2"/>
      </w:pPr>
      <w:r>
        <w:t xml:space="preserve">12. Public Orientation and Method Boundary</w:t>
      </w:r>
    </w:p>
    <w:p>
      <w:pPr>
        <w:pStyle w:val="FirstParagraph"/>
      </w:pPr>
      <w:r>
        <w:t xml:space="preserve">This document is designed as a public conceptual entry. It provides a definition, mechanism, diagnostic orientation, and limit statement. It omits non-public editorial records, private source materials, non-public working materials, and implementation details.</w:t>
      </w:r>
    </w:p>
    <w:p>
      <w:pPr>
        <w:pStyle w:val="BodyText"/>
      </w:pPr>
      <w:r>
        <w:t xml:space="preserve">The entry is not a substitute for empirical research, legal analysis, professional judgment, technical testing, or domain-specific governance. It should not be used to score people or institutions, automate high-stakes decisions, or infer misconduct from conceptual similarity.</w:t>
      </w:r>
    </w:p>
    <w:p>
      <w:pPr>
        <w:pStyle w:val="BodyText"/>
      </w:pPr>
      <w:r>
        <w:t xml:space="preserve">Examples and application domains are illustrative. A case should be classified under</w:t>
      </w:r>
      <w:r>
        <w:t xml:space="preserve"> </w:t>
      </w:r>
      <w:r>
        <w:rPr>
          <w:bCs/>
          <w:b/>
        </w:rPr>
        <w:t xml:space="preserve">Synthetic Representation / Human Grounding Boundary</w:t>
      </w:r>
      <w:r>
        <w:t xml:space="preserve"> </w:t>
      </w:r>
      <w:r>
        <w:t xml:space="preserve">only when the relevant structure can be demonstrated from available evidence.</w:t>
      </w:r>
    </w:p>
    <w:p>
      <w:r>
        <w:pict>
          <v:rect style="width:0;height:1.5pt" o:hralign="center" o:hrstd="t" o:hr="t"/>
        </w:pict>
      </w:r>
    </w:p>
    <w:bookmarkEnd w:id="47"/>
    <w:bookmarkStart w:id="53" w:name="limitations"/>
    <w:p>
      <w:pPr>
        <w:pStyle w:val="Heading2"/>
      </w:pPr>
      <w:r>
        <w:t xml:space="preserve">13. Limitations</w:t>
      </w:r>
    </w:p>
    <w:bookmarkStart w:id="48" w:name="no-universal-grounding-threshold"/>
    <w:p>
      <w:pPr>
        <w:pStyle w:val="Heading3"/>
      </w:pPr>
      <w:r>
        <w:t xml:space="preserve">1. No universal grounding threshold</w:t>
      </w:r>
    </w:p>
    <w:p>
      <w:pPr>
        <w:pStyle w:val="FirstParagraph"/>
      </w:pPr>
      <w:r>
        <w:t xml:space="preserve">Adequate grounding depends on the claim, population, consequence, and use.</w:t>
      </w:r>
    </w:p>
    <w:bookmarkEnd w:id="48"/>
    <w:bookmarkStart w:id="49" w:name="X23c9252b1de82df3499a7aa6d31fe8e5163e2ba"/>
    <w:p>
      <w:pPr>
        <w:pStyle w:val="Heading3"/>
      </w:pPr>
      <w:r>
        <w:t xml:space="preserve">2. Human data are not automatically complete</w:t>
      </w:r>
    </w:p>
    <w:p>
      <w:pPr>
        <w:pStyle w:val="FirstParagraph"/>
      </w:pPr>
      <w:r>
        <w:t xml:space="preserve">Actual samples can also exclude, distort, or underrepresent.</w:t>
      </w:r>
    </w:p>
    <w:bookmarkEnd w:id="49"/>
    <w:bookmarkStart w:id="50" w:name="similarity-metrics-remain-partial"/>
    <w:p>
      <w:pPr>
        <w:pStyle w:val="Heading3"/>
      </w:pPr>
      <w:r>
        <w:t xml:space="preserve">3. Similarity metrics remain partial</w:t>
      </w:r>
    </w:p>
    <w:p>
      <w:pPr>
        <w:pStyle w:val="FirstParagraph"/>
      </w:pPr>
      <w:r>
        <w:t xml:space="preserve">No single metric captures cultural, contextual, subgroup, and affected-community adequacy.</w:t>
      </w:r>
    </w:p>
    <w:bookmarkEnd w:id="50"/>
    <w:bookmarkStart w:id="51" w:name="exploratory-value-is-preserved"/>
    <w:p>
      <w:pPr>
        <w:pStyle w:val="Heading3"/>
      </w:pPr>
      <w:r>
        <w:t xml:space="preserve">4. Exploratory value is preserved</w:t>
      </w:r>
    </w:p>
    <w:p>
      <w:pPr>
        <w:pStyle w:val="FirstParagraph"/>
      </w:pPr>
      <w:r>
        <w:t xml:space="preserve">The note should not be used to prohibit low-consequence simulation or ideation.</w:t>
      </w:r>
    </w:p>
    <w:bookmarkEnd w:id="51"/>
    <w:bookmarkStart w:id="52" w:name="participation-has-multiple-forms"/>
    <w:p>
      <w:pPr>
        <w:pStyle w:val="Heading3"/>
      </w:pPr>
      <w:r>
        <w:t xml:space="preserve">5. Participation has multiple forms</w:t>
      </w:r>
    </w:p>
    <w:p>
      <w:pPr>
        <w:pStyle w:val="FirstParagraph"/>
      </w:pPr>
      <w:r>
        <w:t xml:space="preserve">Human grounding may involve data, consultation, co-design, review, or direct decision participation; these are not interchangeable.</w:t>
      </w:r>
    </w:p>
    <w:p>
      <w:r>
        <w:pict>
          <v:rect style="width:0;height:1.5pt" o:hralign="center" o:hrstd="t" o:hr="t"/>
        </w:pict>
      </w:r>
    </w:p>
    <w:bookmarkEnd w:id="52"/>
    <w:bookmarkEnd w:id="53"/>
    <w:bookmarkStart w:id="54" w:name="minimal-formulation"/>
    <w:p>
      <w:pPr>
        <w:pStyle w:val="Heading2"/>
      </w:pPr>
      <w:r>
        <w:t xml:space="preserve">14. Minimal Formulation</w:t>
      </w:r>
    </w:p>
    <w:p>
      <w:pPr>
        <w:pStyle w:val="FirstParagraph"/>
      </w:pPr>
      <w:r>
        <w:t xml:space="preserve">synthetic response ≠ human evidence</w:t>
      </w:r>
    </w:p>
    <w:p>
      <w:pPr>
        <w:pStyle w:val="BodyText"/>
      </w:pPr>
      <w:r>
        <w:t xml:space="preserve">simulation ≠ participation</w:t>
      </w:r>
    </w:p>
    <w:p>
      <w:pPr>
        <w:pStyle w:val="BodyText"/>
      </w:pPr>
      <w:r>
        <w:t xml:space="preserve">human-like output ≠ human grounding</w:t>
      </w:r>
    </w:p>
    <w:p>
      <w:pPr>
        <w:pStyle w:val="BodyText"/>
      </w:pPr>
      <w:r>
        <w:t xml:space="preserve">aggregate similarity ≠ representational adequacy</w:t>
      </w:r>
    </w:p>
    <w:p>
      <w:pPr>
        <w:pStyle w:val="BodyText"/>
      </w:pPr>
      <w:r>
        <w:t xml:space="preserve">plausible persona ≠ affected-community presence</w:t>
      </w:r>
    </w:p>
    <w:p>
      <w:pPr>
        <w:pStyle w:val="BodyText"/>
      </w:pPr>
      <w:r>
        <w:t xml:space="preserve">synthetic sample ≠ represented population</w:t>
      </w:r>
    </w:p>
    <w:p>
      <w:pPr>
        <w:pStyle w:val="BodyText"/>
      </w:pPr>
      <w:r>
        <w:t xml:space="preserve">exploratory simulation ≠ decision-grade evidence</w:t>
      </w:r>
    </w:p>
    <w:p>
      <w:pPr>
        <w:pStyle w:val="BodyText"/>
      </w:pPr>
      <w:r>
        <w:t xml:space="preserve">validated average ≠ subgroup fidelity</w:t>
      </w:r>
    </w:p>
    <w:p>
      <w:pPr>
        <w:pStyle w:val="BodyText"/>
      </w:pPr>
      <w:r>
        <w:t xml:space="preserve">response approximation ≠ evidential substitution</w:t>
      </w:r>
    </w:p>
    <w:p>
      <w:pPr>
        <w:pStyle w:val="BodyText"/>
      </w:pPr>
      <w:r>
        <w:t xml:space="preserve">synthetic participation ≠ human participation</w:t>
      </w:r>
    </w:p>
    <w:p>
      <w:pPr>
        <w:pStyle w:val="BodyText"/>
      </w:pPr>
      <w:r>
        <w:t xml:space="preserve">scalable representation ≠ grounded representation</w:t>
      </w:r>
    </w:p>
    <w:p>
      <w:pPr>
        <w:pStyle w:val="BodyText"/>
      </w:pPr>
      <w:r>
        <w:t xml:space="preserve">synthetic evidence requires a declared use boundary</w:t>
      </w:r>
    </w:p>
    <w:p>
      <w:pPr>
        <w:pStyle w:val="BodyText"/>
      </w:pPr>
      <w:r>
        <w:t xml:space="preserve">representation without grounding becomes substitution pressure</w:t>
      </w:r>
    </w:p>
    <w:p>
      <w:pPr>
        <w:pStyle w:val="BodyText"/>
      </w:pPr>
      <w:r>
        <w:t xml:space="preserve">Synthetic representation can resemble human response without carrying human grounding.</w:t>
      </w:r>
    </w:p>
    <w:p>
      <w:pPr>
        <w:pStyle w:val="BodyText"/>
      </w:pPr>
      <w:r>
        <w:t xml:space="preserve">Alternative compressed form:</w:t>
      </w:r>
    </w:p>
    <w:p>
      <w:pPr>
        <w:pStyle w:val="BodyText"/>
      </w:pPr>
      <w:r>
        <w:t xml:space="preserve">A synthetic response may be useful before it is evidentially human.</w:t>
      </w:r>
    </w:p>
    <w:p>
      <w:r>
        <w:pict>
          <v:rect style="width:0;height:1.5pt" o:hralign="center" o:hrstd="t" o:hr="t"/>
        </w:pict>
      </w:r>
    </w:p>
    <w:bookmarkEnd w:id="54"/>
    <w:bookmarkStart w:id="55" w:name="conclusion"/>
    <w:p>
      <w:pPr>
        <w:pStyle w:val="Heading2"/>
      </w:pPr>
      <w:r>
        <w:t xml:space="preserve">15. Conclusion</w:t>
      </w:r>
    </w:p>
    <w:p>
      <w:pPr>
        <w:pStyle w:val="FirstParagraph"/>
      </w:pPr>
      <w:r>
        <w:t xml:space="preserve">Synthetic representation becomes structurally risky when the form of human response is accepted without the evidential relation that makes the response humanly grounded. The relevant boundary is not between natural and artificial text. It is between a generated representation and the population, context, variation, and consequence it is asked to stand for.</w:t>
      </w:r>
    </w:p>
    <w:p>
      <w:pPr>
        <w:pStyle w:val="BodyText"/>
      </w:pPr>
      <w:r>
        <w:t xml:space="preserve">A proportionate use keeps purpose, validation level, replacement pressure, and human presence visible. Where consequence or representation matters, synthetic outputs should supplement rather than silently erase the human field.</w:t>
      </w:r>
    </w:p>
    <w:p>
      <w:r>
        <w:pict>
          <v:rect style="width:0;height:1.5pt" o:hralign="center" o:hrstd="t" o:hr="t"/>
        </w:pict>
      </w:r>
    </w:p>
    <w:bookmarkEnd w:id="55"/>
    <w:bookmarkStart w:id="56" w:name="naming-declaration"/>
    <w:p>
      <w:pPr>
        <w:pStyle w:val="Heading2"/>
      </w:pPr>
      <w:r>
        <w:t xml:space="preserve">Naming Declaration</w:t>
      </w:r>
    </w:p>
    <w:p>
      <w:pPr>
        <w:pStyle w:val="FirstParagraph"/>
      </w:pPr>
      <w:r>
        <w:t xml:space="preserve">Synthetic Representation / Human Grounding Boundary is a Meta-Writing Ecology term for the structural boundary between generated representation and human-grounded evidence.</w:t>
      </w:r>
    </w:p>
    <w:p>
      <w:pPr>
        <w:pStyle w:val="BodyText"/>
      </w:pPr>
      <w:r>
        <w:t xml:space="preserve">The term synthetic representation refers to a response, sample, persona, simulation, profile, opinion, preference, judgment, scenario, or population approximation generated by a non-human system.</w:t>
      </w:r>
    </w:p>
    <w:p>
      <w:pPr>
        <w:pStyle w:val="BodyText"/>
      </w:pPr>
      <w:r>
        <w:t xml:space="preserve">The term human grounding refers to the evidential relation between a representation and actual human participants, populations, communities, contexts, variations, risks, or lived positions.</w:t>
      </w:r>
    </w:p>
    <w:p>
      <w:pPr>
        <w:pStyle w:val="BodyText"/>
      </w:pPr>
      <w:r>
        <w:t xml:space="preserve">This term does not refer to any specific field, policy domain, research method, software system, model provider, survey type, national context, or empirical population.</w:t>
      </w:r>
    </w:p>
    <w:p>
      <w:pPr>
        <w:pStyle w:val="BodyText"/>
      </w:pPr>
      <w:r>
        <w:t xml:space="preserve">Within Meta-Writing Ecology, the term functions as a Cross-supporting Note. It clarifies the relation among synthetic evidence, proxy substitution, provenance-validity separation, verification burden, responsibility alignment, and human judgment boundaries.</w:t>
      </w:r>
    </w:p>
    <w:p>
      <w:pPr>
        <w:pStyle w:val="BodyText"/>
      </w:pPr>
      <w:r>
        <w:t xml:space="preserve">It should be used when a synthetic output becomes attractive because it is scalable, plausible, structured, or decision-ready, while its human grounding remains insufficient, ambiguous, partial, or unverified.</w:t>
      </w:r>
    </w:p>
    <w:bookmarkEnd w:id="56"/>
    <w:sectPr w:rsidR="00FC693F" w:rsidRPr="0006063C" w:rsidSect="00034616">
      <w:pgSz w:h="16838" w:w="11906"/>
      <w:pgMar w:bottom="1418" w:footer="700" w:gutter="0" w:header="700" w:left="1418" w:right="1418" w:top="141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before="0" w:line="540" w:lineRule="exact"/>
      <w:ind w:firstLine="480"/>
      <w:jc w:val="left"/>
    </w:pPr>
    <w:rPr>
      <w:rFonts w:ascii="Gelasio" w:cs="Gelasio" w:eastAsia="Gelasio" w:hAnsi="Gelasio"/>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40" w:before="360" w:line="240" w:lineRule="auto"/>
      <w:ind w:firstLine="0"/>
      <w:jc w:val="left"/>
      <w:outlineLvl w:val="0"/>
    </w:pPr>
    <w:rPr>
      <w:rFonts w:ascii="Gelasio" w:asciiTheme="majorHAnsi" w:cs="Gelasio" w:cstheme="majorBidi" w:eastAsia="Gelasio" w:eastAsiaTheme="majorEastAsia" w:hAnsi="Gelasio"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widowControl/>
      <w:spacing w:after="240" w:before="360" w:line="240" w:lineRule="auto"/>
      <w:ind w:firstLine="0"/>
      <w:jc w:val="left"/>
      <w:outlineLvl w:val="1"/>
    </w:pPr>
    <w:rPr>
      <w:rFonts w:ascii="Gelasio" w:asciiTheme="majorHAnsi" w:cs="Gelasio" w:cstheme="majorBidi" w:eastAsia="Gelasio" w:eastAsiaTheme="majorEastAsia" w:hAnsi="Gelasio" w:hAnsiTheme="majorHAnsi"/>
      <w:b/>
      <w:bCs/>
      <w:i w:val="0"/>
      <w:color w:val="000000"/>
      <w:sz w:val="32"/>
      <w:szCs w:val="26"/>
    </w:rPr>
  </w:style>
  <w:style w:styleId="Heading3" w:type="paragraph">
    <w:name w:val="heading 3"/>
    <w:basedOn w:val="Normal"/>
    <w:next w:val="Normal"/>
    <w:link w:val="Heading3Char"/>
    <w:uiPriority w:val="9"/>
    <w:unhideWhenUsed/>
    <w:qFormat/>
    <w:rsid w:val="00FC693F"/>
    <w:pPr>
      <w:keepNext/>
      <w:keepLines/>
      <w:widowControl/>
      <w:spacing w:after="120" w:before="240" w:line="240" w:lineRule="auto"/>
      <w:ind w:firstLine="0"/>
      <w:jc w:val="left"/>
      <w:outlineLvl w:val="2"/>
    </w:pPr>
    <w:rPr>
      <w:rFonts w:ascii="Gelasio" w:asciiTheme="majorHAnsi" w:cs="Gelasio" w:cstheme="majorBidi" w:eastAsia="Gelasio" w:eastAsiaTheme="majorEastAsia" w:hAnsi="Gelasio"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widowControl/>
      <w:spacing w:after="80" w:before="200" w:line="240" w:lineRule="auto"/>
      <w:ind w:firstLine="0"/>
      <w:jc w:val="left"/>
      <w:outlineLvl w:val="3"/>
    </w:pPr>
    <w:rPr>
      <w:rFonts w:ascii="Gelasio" w:asciiTheme="majorHAnsi" w:cs="Gelasio" w:cstheme="majorBidi" w:eastAsia="Gelasio" w:eastAsiaTheme="majorEastAsia" w:hAnsi="Gelasio" w:hAnsiTheme="majorHAnsi"/>
      <w:b/>
      <w:bCs/>
      <w:i w:val="0"/>
      <w:iCs/>
      <w:color w:val="000000"/>
      <w:sz w:val="25"/>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0" w:before="0" w:line="540" w:lineRule="exact"/>
      <w:ind w:firstLine="0" w:left="0"/>
    </w:pPr>
    <w:rPr>
      <w:rFonts w:ascii="Gelasio" w:cs="Gelasio" w:eastAsia="Gelasio" w:hAnsi="Gelasio"/>
      <w:color w:val="000000"/>
      <w:sz w:val="24"/>
    </w:rPr>
  </w:style>
  <w:style w:customStyle="1" w:styleId="MWETitle" w:type="paragraph">
    <w:name w:val="MWE Title"/>
    <w:basedOn w:val="Normal"/>
    <w:pPr>
      <w:spacing w:after="0" w:before="0" w:line="240" w:lineRule="auto"/>
      <w:ind w:firstLine="0"/>
      <w:jc w:val="left"/>
    </w:pPr>
    <w:rPr>
      <w:rFonts w:ascii="Gelasio" w:cs="Gelasio" w:eastAsia="Gelasio" w:hAnsi="Gelasio"/>
      <w:b/>
      <w:i w:val="0"/>
      <w:color w:val="000000"/>
      <w:sz w:val="44"/>
    </w:rPr>
  </w:style>
  <w:style w:customStyle="1" w:styleId="MWESubtitle" w:type="paragraph">
    <w:name w:val="MWE Subtitle"/>
    <w:basedOn w:val="Normal"/>
    <w:pPr>
      <w:spacing w:after="0" w:before="0" w:line="240" w:lineRule="auto"/>
      <w:ind w:firstLine="0"/>
      <w:jc w:val="left"/>
    </w:pPr>
    <w:rPr>
      <w:rFonts w:ascii="Gelasio" w:cs="Gelasio" w:eastAsia="Gelasio" w:hAnsi="Gelasio"/>
      <w:b/>
      <w:i/>
      <w:color w:val="000000"/>
      <w:sz w:val="32"/>
    </w:rPr>
  </w:style>
  <w:style w:customStyle="1" w:styleId="MWEMeta" w:type="paragraph">
    <w:name w:val="MWE Meta"/>
    <w:basedOn w:val="Normal"/>
    <w:pPr>
      <w:spacing w:after="0" w:before="0" w:line="240" w:lineRule="auto"/>
      <w:ind w:firstLine="0"/>
      <w:jc w:val="left"/>
    </w:pPr>
    <w:rPr>
      <w:rFonts w:ascii="Gelasio" w:cs="Gelasio" w:eastAsia="Gelasio" w:hAnsi="Gelasio"/>
      <w:b/>
      <w:i/>
      <w:color w:val="000000"/>
      <w:sz w:val="24"/>
    </w:rPr>
  </w:style>
  <w:style w:customStyle="1" w:styleId="MWEAuthor" w:type="paragraph">
    <w:name w:val="MWE Author"/>
    <w:basedOn w:val="Normal"/>
    <w:pPr>
      <w:spacing w:after="0" w:before="0" w:line="240" w:lineRule="auto"/>
      <w:ind w:firstLine="0"/>
      <w:jc w:val="left"/>
    </w:pPr>
    <w:rPr>
      <w:rFonts w:ascii="Gelasio" w:cs="Gelasio" w:eastAsia="Gelasio" w:hAnsi="Gelasio"/>
      <w:b/>
      <w:i w:val="0"/>
      <w:color w:val="000000"/>
      <w:sz w:val="24"/>
    </w:rPr>
  </w:style>
  <w:style w:customStyle="1" w:styleId="MWEAffiliation" w:type="paragraph">
    <w:name w:val="MWE Affiliation"/>
    <w:basedOn w:val="Normal"/>
    <w:pPr>
      <w:spacing w:after="0" w:before="0" w:line="240" w:lineRule="auto"/>
      <w:ind w:firstLine="0"/>
      <w:jc w:val="left"/>
    </w:pPr>
    <w:rPr>
      <w:rFonts w:ascii="Gelasio" w:cs="Gelasio" w:eastAsia="Gelasio" w:hAnsi="Gelasio"/>
      <w:b/>
      <w:i w:val="0"/>
      <w:color w:val="000000"/>
      <w:sz w:val="24"/>
    </w:rPr>
  </w:style>
  <w:style w:customStyle="1" w:styleId="MWESpacer" w:type="paragraph">
    <w:name w:val="MWE Spacer"/>
    <w:basedOn w:val="Normal"/>
    <w:pPr>
      <w:spacing w:after="0" w:before="0" w:line="240" w:lineRule="auto"/>
      <w:ind w:firstLine="0"/>
      <w:jc w:val="left"/>
    </w:pPr>
    <w:rPr>
      <w:rFonts w:ascii="Gelasio" w:cs="Gelasio" w:eastAsia="Gelasio" w:hAnsi="Gelasio"/>
      <w:b w:val="0"/>
      <w:i w:val="0"/>
      <w:color w:val="000000"/>
      <w:sz w:val="24"/>
    </w:rPr>
  </w:style>
  <w:style w:customStyle="1" w:styleId="BlockText" w:type="paragraph">
    <w:name w:val="Block Text"/>
    <w:basedOn w:val="Normal"/>
    <w:pPr>
      <w:ind w:firstLine="0" w:left="480"/>
    </w:pPr>
    <w:rPr>
      <w:rFonts w:ascii="Gelasio" w:cs="Gelasio" w:eastAsia="Gelasio" w:hAnsi="Gelasio"/>
      <w:i w:val="0"/>
      <w:color w:val="000000"/>
      <w:sz w:val="24"/>
    </w:rPr>
  </w:style>
  <w:style w:customStyle="1" w:styleId="SourceCode" w:type="paragraph">
    <w:name w:val="Source Code"/>
    <w:basedOn w:val="Normal"/>
    <w:pPr>
      <w:spacing w:line="240" w:lineRule="auto"/>
      <w:ind w:firstLine="0" w:left="240"/>
    </w:pPr>
    <w:rPr>
      <w:rFonts w:ascii="DejaVu Sans Mono" w:cs="DejaVu Sans Mono" w:eastAsia="DejaVu Sans Mono" w:hAnsi="DejaVu Sans Mono"/>
      <w:color w:val="000000"/>
      <w:sz w:val="21"/>
    </w:rPr>
  </w:style>
  <w:style w:customStyle="1" w:styleId="VerbatimChar" w:type="character">
    <w:name w:val="Verbatim Char"/>
    <w:rPr>
      <w:rFonts w:ascii="DejaVu Sans Mono" w:cs="DejaVu Sans Mono" w:eastAsia="DejaVu Sans Mono" w:hAnsi="DejaVu Sans Mono"/>
      <w:color w:val="000000"/>
      <w:sz w:val="21"/>
    </w:rPr>
  </w:style>
  <w:style w:customStyle="1" w:styleId="ImageCaption" w:type="paragraph">
    <w:name w:val="Image Caption"/>
    <w:basedOn w:val="Normal"/>
    <w:pPr>
      <w:ind w:firstLine="0"/>
    </w:pPr>
    <w:rPr>
      <w:rFonts w:ascii="Gelasio" w:cs="Gelasio" w:eastAsia="Gelasio" w:hAnsi="Gelasio"/>
      <w:i/>
      <w:color w:val="000000"/>
      <w:sz w:val="21"/>
    </w:rPr>
  </w:style>
  <w:style w:customStyle="1" w:styleId="MWEReferences" w:type="paragraph">
    <w:name w:val="MWE References"/>
    <w:basedOn w:val="Normal"/>
    <w:pPr>
      <w:spacing w:line="540" w:lineRule="exact"/>
      <w:ind w:hanging="480" w:left="480"/>
    </w:pPr>
    <w:rPr>
      <w:rFonts w:ascii="Gelasio" w:cs="Gelasio" w:eastAsia="Gelasio" w:hAnsi="Gelasio"/>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Representation / Human Grounding Boundary</dc:title>
  <dc:creator>Huang Tzuyuan</dc:creator>
  <cp:keywords/>
  <dcterms:created xsi:type="dcterms:W3CDTF">2026-07-17T14:37:19Z</dcterms:created>
  <dcterms:modified xsi:type="dcterms:W3CDTF">2026-07-17T14:37:19Z</dcterms:modified>
  <cp:lastModifiedBy/>
  <dc:description/>
  <cp:category/>
  <dc:subject/>
  <dc:identifier/>
  <cp:revision>1</cp:revision>
</cp:coreProperties>
</file>

<file path=docProps/custom.xml><?xml version="1.0" encoding="utf-8"?>
<Properties xmlns="http://schemas.openxmlformats.org/officeDocument/2006/custom-properties" xmlns:vt="http://schemas.openxmlformats.org/officeDocument/2006/docPropsVTypes"/>
</file>