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MWESpacer"/>
        <w:spacing w:lineRule="exact" w:line="5500" w:before="0" w:after="0"/>
        <w:ind w:firstLine="0"/>
      </w:pPr>
    </w:p>
    <w:p>
      <w:pPr>
        <w:pStyle w:val="MWETitle"/>
      </w:pPr>
      <w:r>
        <w:t>Judgment-Locus Answerability Alignment</w:t>
      </w:r>
    </w:p>
    <w:p>
      <w:pPr>
        <w:pStyle w:val="MWESpacer"/>
        <w:spacing w:lineRule="exact" w:line="120" w:before="0" w:after="0"/>
        <w:ind w:firstLine="0"/>
      </w:pPr>
    </w:p>
    <w:p>
      <w:pPr>
        <w:pStyle w:val="MWESubtitle"/>
      </w:pPr>
      <w:r>
        <w:t>Visible Attribution, Epistemic Control, and the Location of Answerable Judgment</w:t>
      </w:r>
    </w:p>
    <w:p>
      <w:pPr>
        <w:pStyle w:val="MWESpacer"/>
        <w:spacing w:lineRule="exact" w:line="360" w:before="0" w:after="0"/>
        <w:ind w:firstLine="0"/>
      </w:pPr>
    </w:p>
    <w:p>
      <w:pPr>
        <w:pStyle w:val="MWEMeta"/>
      </w:pPr>
      <w:r>
        <w:rPr>
          <w:b/>
          <w:i/>
        </w:rPr>
        <w:t xml:space="preserve">Version: </w:t>
      </w:r>
      <w:r>
        <w:rPr>
          <w:b w:val="0"/>
          <w:i/>
        </w:rPr>
        <w:t>0.1</w:t>
      </w:r>
    </w:p>
    <w:p>
      <w:pPr>
        <w:pStyle w:val="MWEMeta"/>
      </w:pPr>
      <w:r>
        <w:rPr>
          <w:b/>
          <w:i/>
        </w:rPr>
        <w:t xml:space="preserve">Date: </w:t>
      </w:r>
      <w:r>
        <w:rPr>
          <w:b w:val="0"/>
          <w:i/>
        </w:rPr>
        <w:t>July 2026</w:t>
      </w:r>
    </w:p>
    <w:p>
      <w:pPr>
        <w:pStyle w:val="MWEMeta"/>
      </w:pPr>
      <w:r>
        <w:rPr>
          <w:b/>
          <w:i/>
        </w:rPr>
        <w:t xml:space="preserve">Status: </w:t>
      </w:r>
      <w:r>
        <w:rPr>
          <w:b w:val="0"/>
          <w:i/>
        </w:rPr>
        <w:t>Preprint / OSF external-facing draft</w:t>
      </w:r>
    </w:p>
    <w:p>
      <w:pPr>
        <w:pStyle w:val="MWEMeta"/>
      </w:pPr>
      <w:r>
        <w:rPr>
          <w:b/>
          <w:i/>
        </w:rPr>
        <w:t xml:space="preserve">Context: </w:t>
      </w:r>
      <w:r>
        <w:rPr>
          <w:b w:val="0"/>
          <w:i/>
        </w:rPr>
        <w:t>Meta-Writing Ecology</w:t>
      </w:r>
    </w:p>
    <w:p>
      <w:pPr>
        <w:pStyle w:val="MWEMeta"/>
      </w:pPr>
      <w:r>
        <w:rPr>
          <w:b/>
          <w:i/>
        </w:rPr>
        <w:t xml:space="preserve">Document Type: </w:t>
      </w:r>
      <w:r>
        <w:rPr>
          <w:b w:val="0"/>
          <w:i/>
        </w:rPr>
        <w:t>Diagnostic / Cross-Supporting Note</w:t>
      </w:r>
    </w:p>
    <w:p>
      <w:pPr>
        <w:pStyle w:val="MWESpacer"/>
        <w:spacing w:lineRule="exact" w:line="2800" w:before="0" w:after="0"/>
        <w:ind w:firstLine="0"/>
      </w:pPr>
    </w:p>
    <w:p>
      <w:pPr>
        <w:pStyle w:val="MWEAuthor"/>
      </w:pPr>
      <w:r>
        <w:t>Huang Tzuyuan</w:t>
      </w:r>
    </w:p>
    <w:p>
      <w:pPr>
        <w:pStyle w:val="MWESpacer"/>
      </w:pPr>
      <w:r>
        <w:br w:type="page"/>
      </w:r>
    </w:p>
    <w:p>
      <w:pPr>
        <w:pStyle w:val="Heading2"/>
      </w:pPr>
      <w:r>
        <w:t xml:space="preserve">Abstract</w:t>
      </w:r>
    </w:p>
    <w:p>
      <w:pPr>
        <w:pStyle w:val="FirstParagraph"/>
      </w:pPr>
      <w:r>
        <w:t xml:space="preserve">This document formalizes</w:t>
      </w:r>
      <w:r>
        <w:t xml:space="preserve"> </w:t>
      </w:r>
      <w:r>
        <w:rPr>
          <w:bCs/>
          <w:b/>
        </w:rPr>
        <w:t xml:space="preserve">Judgment-Locus Answerability Alignment</w:t>
      </w:r>
      <w:r>
        <w:t xml:space="preserve"> </w:t>
      </w:r>
      <w:r>
        <w:t xml:space="preserve">as a diagnostic note for determining whether the node visibly associated with an output, claim, certification, or decision also retains the judgment and verification capacity required to answer for it. The central distinction is that production origin, visible attribution, approval, and answerability are not equivalent.</w:t>
      </w:r>
    </w:p>
    <w:p>
      <w:pPr>
        <w:pStyle w:val="BodyText"/>
      </w:pPr>
      <w:r>
        <w:t xml:space="preserve">A person, office, account, reviewer, manager, or institutional unit may be attached to an output. That attachment can create an appearance of responsibility. Yet the named node may not have controlled the problem framing, selected the evidence boundary, understood the method, verified the claim, retained correction authority, or possessed the ability to withdraw the result. In such cases, answerability is nominal: a visible node carries responsibility without the epistemic control needed to respond when the output is challenged.</w:t>
      </w:r>
    </w:p>
    <w:p>
      <w:pPr>
        <w:pStyle w:val="BodyText"/>
      </w:pPr>
      <w:r>
        <w:t xml:space="preserve">The note is especially relevant to AI-assisted production, delegated review, automated decision support, platform certification, and human-in-the-loop systems. It does not decide authorship, legal liability, or moral blame. It provides a structural method for identifying the actual judgment locus and comparing it with the node that signs, submits, certifies, or bears consequence.</w:t>
      </w:r>
    </w:p>
    <w:p>
      <w:pPr>
        <w:pStyle w:val="BodyText"/>
      </w:pPr>
      <w:r>
        <w:t xml:space="preserve">The framework distinguishes aligned, partial, nominal, displaced, and absent answerability. Its purpose is to prevent procedural attachment or human presence from being treated as sufficient evidence that meaningful judgment has been retained.</w:t>
      </w:r>
    </w:p>
    <w:p>
      <w:r>
        <w:pict>
          <v:rect style="width:0;height:1.5pt" o:hralign="center" o:hrstd="t" o:hr="t"/>
        </w:pict>
      </w:r>
    </w:p>
    <w:bookmarkEnd w:id="20"/>
    <w:bookmarkStart w:id="21" w:name="keywords"/>
    <w:p>
      <w:pPr>
        <w:pStyle w:val="Heading2"/>
      </w:pPr>
      <w:r>
        <w:t xml:space="preserve">Keywords</w:t>
      </w:r>
    </w:p>
    <w:p>
      <w:pPr>
        <w:pStyle w:val="FirstParagraph"/>
      </w:pPr>
      <w:r>
        <w:t xml:space="preserve">Judgment Locus; Answerability Alignment; Visible Node; Answerable Node; Epistemic Control; Verification Capacity; Nominal Answerability; Human-in-the-Loop; Responsibility Alignment; Approval–Verification Gap; Claim Control; Automation Governance; Meta-Writing Ecology.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Many systems establish responsibility by attaching a visible node to an output. A name appears on a submission. A reviewer clicks approval. A manager signs a report. A human is recorded as being in the loop. These acts may be institutionally necessary, but they do not by themselves show where judgment occurred.</w:t>
      </w:r>
    </w:p>
    <w:p>
      <w:pPr>
        <w:pStyle w:val="BodyText"/>
      </w:pPr>
      <w:r>
        <w:t xml:space="preserve">Answerability requires more than visibility. The answerable node must be able to explain the claim, inspect its basis, correct it, defend its use, or withdraw it. When those capacities are located elsewhere—or nowhere—the system can display accountability without maintaining an effective answerable position.</w:t>
      </w:r>
    </w:p>
    <w:p>
      <w:pPr>
        <w:pStyle w:val="BodyText"/>
      </w:pPr>
      <w:r>
        <w:t xml:space="preserve">This note turns that gap into a diagnostic relation. It asks who produced, framed, verified, accepted, and can revise the output. It then tests whether the visible responsibility node and the actual judgment locus are sufficiently aligned.</w:t>
      </w:r>
    </w:p>
    <w:p>
      <w:r>
        <w:pict>
          <v:rect style="width:0;height:1.5pt" o:hralign="center" o:hrstd="t" o:hr="t"/>
        </w:pict>
      </w:r>
    </w:p>
    <w:bookmarkEnd w:id="22"/>
    <w:bookmarkStart w:id="23" w:name="core-definition"/>
    <w:p>
      <w:pPr>
        <w:pStyle w:val="Heading2"/>
      </w:pPr>
      <w:r>
        <w:t xml:space="preserve">2. Core Definition</w:t>
      </w:r>
    </w:p>
    <w:p>
      <w:pPr>
        <w:pStyle w:val="FirstParagraph"/>
      </w:pPr>
      <w:r>
        <w:t xml:space="preserve">Judgment-Locus Answerability Alignment Note describes a structural condition in which an output, action, claim, or decision is accepted into a system without confirming whether the node associated with it actually retains judgment, verification capacity, and answerability.</w:t>
      </w:r>
    </w:p>
    <w:p>
      <w:pPr>
        <w:pStyle w:val="BodyText"/>
      </w:pPr>
      <w:r>
        <w:t xml:space="preserve">The issue is not the use of an external tool, assistant, automation layer, production mechanism, or delegated process.</w:t>
      </w:r>
    </w:p>
    <w:p>
      <w:pPr>
        <w:pStyle w:val="BodyText"/>
      </w:pPr>
      <w:r>
        <w:t xml:space="preserve">The issue is whether the locus of judgment remains aligned with the node that signs, submits, approves, certifies, or benefits from the output.</w:t>
      </w:r>
    </w:p>
    <w:p>
      <w:pPr>
        <w:pStyle w:val="BodyText"/>
      </w:pPr>
      <w:r>
        <w:t xml:space="preserve">When the visible node is treated as answerable while judgment has migrated elsewhere, responsibility becomes nominal.</w:t>
      </w:r>
    </w:p>
    <w:p>
      <w:r>
        <w:pict>
          <v:rect style="width:0;height:1.5pt" o:hralign="center" o:hrstd="t" o:hr="t"/>
        </w:pict>
      </w:r>
    </w:p>
    <w:bookmarkEnd w:id="23"/>
    <w:bookmarkStart w:id="24" w:name="classification-and-scope"/>
    <w:p>
      <w:pPr>
        <w:pStyle w:val="Heading2"/>
      </w:pPr>
      <w:r>
        <w:t xml:space="preserve">3. Classification and Scope</w:t>
      </w:r>
    </w:p>
    <w:p>
      <w:pPr>
        <w:pStyle w:val="FirstParagraph"/>
      </w:pPr>
      <w:r>
        <w:t xml:space="preserve">This document presents</w:t>
      </w:r>
      <w:r>
        <w:t xml:space="preserve"> </w:t>
      </w:r>
      <w:r>
        <w:rPr>
          <w:bCs/>
          <w:b/>
        </w:rPr>
        <w:t xml:space="preserve">Judgment-Locus Answerability Alignment</w:t>
      </w:r>
      <w:r>
        <w:t xml:space="preserve"> </w:t>
      </w:r>
      <w:r>
        <w:t xml:space="preserve">as an external-facing boundary or diagnostic note. The note isolates a recurring distinction that supports several broader models without claiming an independent universal mechanism in every domain.</w:t>
      </w:r>
    </w:p>
    <w:p>
      <w:pPr>
        <w:pStyle w:val="BodyText"/>
      </w:pPr>
      <w:r>
        <w:t xml:space="preserve">It is not a legal, ethical, clinical, technical, or compliance standard. It does not assign blame, calculate risk, or authorize automated decisions. The public version omits non-public editorial records, private source materials, non-public working materials, and implementation details.</w:t>
      </w:r>
    </w:p>
    <w:p>
      <w:r>
        <w:pict>
          <v:rect style="width:0;height:1.5pt" o:hralign="center" o:hrstd="t" o:hr="t"/>
        </w:pict>
      </w:r>
    </w:p>
    <w:bookmarkEnd w:id="24"/>
    <w:bookmarkStart w:id="25" w:name="central-distinctions"/>
    <w:p>
      <w:pPr>
        <w:pStyle w:val="Heading2"/>
      </w:pPr>
      <w:r>
        <w:t xml:space="preserve">4. Central Distinctions</w:t>
      </w:r>
    </w:p>
    <w:p>
      <w:pPr>
        <w:pStyle w:val="FirstParagraph"/>
      </w:pPr>
      <w:r>
        <w:t xml:space="preserve">The central distinction is:</w:t>
      </w:r>
    </w:p>
    <w:p>
      <w:pPr>
        <w:pStyle w:val="BodyText"/>
      </w:pPr>
      <w:r>
        <w:t xml:space="preserve">production origin ≠ judgment locus</w:t>
      </w:r>
    </w:p>
    <w:p>
      <w:pPr>
        <w:pStyle w:val="BodyText"/>
      </w:pPr>
      <w:r>
        <w:t xml:space="preserve">A system can know where an output came from without knowing who can answer for it.</w:t>
      </w:r>
    </w:p>
    <w:p>
      <w:pPr>
        <w:pStyle w:val="BodyText"/>
      </w:pPr>
      <w:r>
        <w:t xml:space="preserve">A system can attach a human name to an output without establishing that the human retained judgment.</w:t>
      </w:r>
    </w:p>
    <w:p>
      <w:pPr>
        <w:pStyle w:val="BodyText"/>
      </w:pPr>
      <w:r>
        <w:t xml:space="preserve">A system can preserve procedural disclosure while still failing to establish answerability.</w:t>
      </w:r>
    </w:p>
    <w:p>
      <w:r>
        <w:pict>
          <v:rect style="width:0;height:1.5pt" o:hralign="center" o:hrstd="t" o:hr="t"/>
        </w:pict>
      </w:r>
    </w:p>
    <w:bookmarkEnd w:id="25"/>
    <w:bookmarkStart w:id="28" w:name="core-mechanism-and-structural-sequence"/>
    <w:p>
      <w:pPr>
        <w:pStyle w:val="Heading2"/>
      </w:pPr>
      <w:r>
        <w:t xml:space="preserve">5. Core Mechanism and Structural Sequence</w:t>
      </w:r>
    </w:p>
    <w:bookmarkStart w:id="26" w:name="core-mechanism"/>
    <w:p>
      <w:pPr>
        <w:pStyle w:val="Heading3"/>
      </w:pPr>
      <w:r>
        <w:t xml:space="preserve">5.1 Core Mechanism</w:t>
      </w:r>
    </w:p>
    <w:p>
      <w:pPr>
        <w:pStyle w:val="FirstParagraph"/>
      </w:pPr>
      <w:r>
        <w:t xml:space="preserve">A system receives or produces an output.</w:t>
      </w:r>
    </w:p>
    <w:p>
      <w:pPr>
        <w:pStyle w:val="BodyText"/>
      </w:pPr>
      <w:r>
        <w:t xml:space="preserve">The system identifies a visible node associated with the output.</w:t>
      </w:r>
    </w:p>
    <w:p>
      <w:pPr>
        <w:pStyle w:val="BodyText"/>
      </w:pPr>
      <w:r>
        <w:t xml:space="preserve">That node may be:</w:t>
      </w:r>
    </w:p>
    <w:p>
      <w:pPr>
        <w:pStyle w:val="BodyText"/>
      </w:pPr>
      <w:r>
        <w:t xml:space="preserve">a signer</w:t>
      </w:r>
      <w:r>
        <w:t xml:space="preserve"> </w:t>
      </w:r>
      <w:r>
        <w:t xml:space="preserve">a submitter</w:t>
      </w:r>
      <w:r>
        <w:t xml:space="preserve"> </w:t>
      </w:r>
      <w:r>
        <w:t xml:space="preserve">an approver</w:t>
      </w:r>
      <w:r>
        <w:t xml:space="preserve"> </w:t>
      </w:r>
      <w:r>
        <w:t xml:space="preserve">a reviewer</w:t>
      </w:r>
      <w:r>
        <w:t xml:space="preserve"> </w:t>
      </w:r>
      <w:r>
        <w:t xml:space="preserve">a manager</w:t>
      </w:r>
      <w:r>
        <w:t xml:space="preserve"> </w:t>
      </w:r>
      <w:r>
        <w:t xml:space="preserve">a certifying office</w:t>
      </w:r>
      <w:r>
        <w:t xml:space="preserve"> </w:t>
      </w:r>
      <w:r>
        <w:t xml:space="preserve">a platform account</w:t>
      </w:r>
      <w:r>
        <w:t xml:space="preserve"> </w:t>
      </w:r>
      <w:r>
        <w:t xml:space="preserve">a institutional unit</w:t>
      </w:r>
      <w:r>
        <w:t xml:space="preserve"> </w:t>
      </w:r>
      <w:r>
        <w:t xml:space="preserve">a named contributor</w:t>
      </w:r>
    </w:p>
    <w:p>
      <w:pPr>
        <w:pStyle w:val="BodyText"/>
      </w:pPr>
      <w:r>
        <w:t xml:space="preserve">The system then assumes that this visible node can answer for the output.</w:t>
      </w:r>
    </w:p>
    <w:p>
      <w:pPr>
        <w:pStyle w:val="BodyText"/>
      </w:pPr>
      <w:r>
        <w:t xml:space="preserve">The assumption fails when the node did not retain:</w:t>
      </w:r>
    </w:p>
    <w:p>
      <w:pPr>
        <w:pStyle w:val="BodyText"/>
      </w:pPr>
      <w:r>
        <w:t xml:space="preserve">problem framing</w:t>
      </w:r>
      <w:r>
        <w:t xml:space="preserve"> </w:t>
      </w:r>
      <w:r>
        <w:t xml:space="preserve">standard setting</w:t>
      </w:r>
      <w:r>
        <w:t xml:space="preserve"> </w:t>
      </w:r>
      <w:r>
        <w:t xml:space="preserve">verification capacity</w:t>
      </w:r>
      <w:r>
        <w:t xml:space="preserve"> </w:t>
      </w:r>
      <w:r>
        <w:t xml:space="preserve">claim-level control</w:t>
      </w:r>
      <w:r>
        <w:t xml:space="preserve"> </w:t>
      </w:r>
      <w:r>
        <w:t xml:space="preserve">method-level understanding</w:t>
      </w:r>
      <w:r>
        <w:t xml:space="preserve"> </w:t>
      </w:r>
      <w:r>
        <w:t xml:space="preserve">correction authority</w:t>
      </w:r>
      <w:r>
        <w:t xml:space="preserve"> </w:t>
      </w:r>
      <w:r>
        <w:t xml:space="preserve">withdrawal capacity</w:t>
      </w:r>
      <w:r>
        <w:t xml:space="preserve"> </w:t>
      </w:r>
      <w:r>
        <w:t xml:space="preserve">standing behind consequences</w:t>
      </w:r>
    </w:p>
    <w:p>
      <w:pPr>
        <w:pStyle w:val="BodyText"/>
      </w:pPr>
      <w:r>
        <w:t xml:space="preserve">The result is an answerability gap.</w:t>
      </w:r>
    </w:p>
    <w:bookmarkEnd w:id="26"/>
    <w:bookmarkStart w:id="27" w:name="structural-sequence"/>
    <w:p>
      <w:pPr>
        <w:pStyle w:val="Heading3"/>
      </w:pPr>
      <w:r>
        <w:t xml:space="preserve">5.2 Structural Sequence</w:t>
      </w:r>
    </w:p>
    <w:p>
      <w:pPr>
        <w:pStyle w:val="FirstParagraph"/>
      </w:pPr>
      <w:r>
        <w:t xml:space="preserve">output produced</w:t>
      </w:r>
      <w:r>
        <w:t xml:space="preserve"> </w:t>
      </w:r>
      <w:r>
        <w:t xml:space="preserve">→ visible node attached</w:t>
      </w:r>
      <w:r>
        <w:t xml:space="preserve"> </w:t>
      </w:r>
      <w:r>
        <w:t xml:space="preserve">→ system infers responsibility from attachment</w:t>
      </w:r>
      <w:r>
        <w:t xml:space="preserve"> </w:t>
      </w:r>
      <w:r>
        <w:t xml:space="preserve">→ judgment locus remains untested</w:t>
      </w:r>
      <w:r>
        <w:t xml:space="preserve"> </w:t>
      </w:r>
      <w:r>
        <w:t xml:space="preserve">→ verification capacity is assumed rather than demonstrated</w:t>
      </w:r>
      <w:r>
        <w:t xml:space="preserve"> </w:t>
      </w:r>
      <w:r>
        <w:t xml:space="preserve">→ answerability becomes nominal</w:t>
      </w:r>
    </w:p>
    <w:p>
      <w:pPr>
        <w:pStyle w:val="BodyText"/>
      </w:pPr>
      <w:r>
        <w:t xml:space="preserve">Aligned case:</w:t>
      </w:r>
    </w:p>
    <w:p>
      <w:pPr>
        <w:pStyle w:val="BodyText"/>
      </w:pPr>
      <w:r>
        <w:t xml:space="preserve">visible node</w:t>
      </w:r>
      <w:r>
        <w:t xml:space="preserve"> </w:t>
      </w:r>
      <w:r>
        <w:t xml:space="preserve">+ judgment control</w:t>
      </w:r>
      <w:r>
        <w:t xml:space="preserve"> </w:t>
      </w:r>
      <w:r>
        <w:t xml:space="preserve">+ verification capacity</w:t>
      </w:r>
      <w:r>
        <w:t xml:space="preserve"> </w:t>
      </w:r>
      <w:r>
        <w:t xml:space="preserve">+ correction authority</w:t>
      </w:r>
      <w:r>
        <w:t xml:space="preserve"> </w:t>
      </w:r>
      <w:r>
        <w:t xml:space="preserve">+ willingness to stand behind the claim</w:t>
      </w:r>
      <w:r>
        <w:t xml:space="preserve"> </w:t>
      </w:r>
      <w:r>
        <w:t xml:space="preserve">→ answerability alignment</w:t>
      </w:r>
    </w:p>
    <w:p>
      <w:pPr>
        <w:pStyle w:val="BodyText"/>
      </w:pPr>
      <w:r>
        <w:t xml:space="preserve">Misaligned case:</w:t>
      </w:r>
    </w:p>
    <w:p>
      <w:pPr>
        <w:pStyle w:val="BodyText"/>
      </w:pPr>
      <w:r>
        <w:t xml:space="preserve">visible node</w:t>
      </w:r>
      <w:r>
        <w:t xml:space="preserve"> </w:t>
      </w:r>
      <w:r>
        <w:t xml:space="preserve">+ output attachment</w:t>
      </w:r>
      <w:r>
        <w:t xml:space="preserve"> </w:t>
      </w:r>
      <w:r>
        <w:t xml:space="preserve">- judgment control</w:t>
      </w:r>
      <w:r>
        <w:t xml:space="preserve"> </w:t>
      </w:r>
      <w:r>
        <w:t xml:space="preserve">- verification capacity</w:t>
      </w:r>
      <w:r>
        <w:t xml:space="preserve"> </w:t>
      </w:r>
      <w:r>
        <w:t xml:space="preserve">- correction authority</w:t>
      </w:r>
      <w:r>
        <w:t xml:space="preserve"> </w:t>
      </w:r>
      <w:r>
        <w:t xml:space="preserve">→ nominal answerability</w:t>
      </w:r>
    </w:p>
    <w:p>
      <w:r>
        <w:pict>
          <v:rect style="width:0;height:1.5pt" o:hralign="center" o:hrstd="t" o:hr="t"/>
        </w:pict>
      </w:r>
    </w:p>
    <w:bookmarkEnd w:id="27"/>
    <w:bookmarkEnd w:id="28"/>
    <w:bookmarkStart w:id="29" w:name="structural-components"/>
    <w:p>
      <w:pPr>
        <w:pStyle w:val="Heading2"/>
      </w:pPr>
      <w:r>
        <w:t xml:space="preserve">6. Structural Components</w:t>
      </w:r>
    </w:p>
    <w:p>
      <w:pPr>
        <w:pStyle w:val="FirstParagraph"/>
      </w:pPr>
      <w:r>
        <w:t xml:space="preserve">The diagnostic structure contains five primary components:</w:t>
      </w:r>
    </w:p>
    <w:p>
      <w:pPr>
        <w:numPr>
          <w:ilvl w:val="0"/>
          <w:numId w:val="1001"/>
        </w:numPr>
        <w:pStyle w:val="Compact"/>
      </w:pPr>
      <w:r>
        <w:rPr>
          <w:bCs/>
          <w:b/>
        </w:rPr>
        <w:t xml:space="preserve">Visible node</w:t>
      </w:r>
      <w:r>
        <w:t xml:space="preserve"> </w:t>
      </w:r>
      <w:r>
        <w:t xml:space="preserve">— the person, office, account, or role publicly attached to the output.</w:t>
      </w:r>
    </w:p>
    <w:p>
      <w:pPr>
        <w:numPr>
          <w:ilvl w:val="0"/>
          <w:numId w:val="1001"/>
        </w:numPr>
        <w:pStyle w:val="Compact"/>
      </w:pPr>
      <w:r>
        <w:rPr>
          <w:bCs/>
          <w:b/>
        </w:rPr>
        <w:t xml:space="preserve">Judgment locus</w:t>
      </w:r>
      <w:r>
        <w:t xml:space="preserve"> </w:t>
      </w:r>
      <w:r>
        <w:t xml:space="preserve">— the node that framed the problem, selected standards, interpreted evidence, and decided what the output means.</w:t>
      </w:r>
    </w:p>
    <w:p>
      <w:pPr>
        <w:numPr>
          <w:ilvl w:val="0"/>
          <w:numId w:val="1001"/>
        </w:numPr>
        <w:pStyle w:val="Compact"/>
      </w:pPr>
      <w:r>
        <w:rPr>
          <w:bCs/>
          <w:b/>
        </w:rPr>
        <w:t xml:space="preserve">Verification capacity</w:t>
      </w:r>
      <w:r>
        <w:t xml:space="preserve"> </w:t>
      </w:r>
      <w:r>
        <w:t xml:space="preserve">— the ability to inspect sources, methods, uncertainty, and claim-level adequacy.</w:t>
      </w:r>
    </w:p>
    <w:p>
      <w:pPr>
        <w:numPr>
          <w:ilvl w:val="0"/>
          <w:numId w:val="1001"/>
        </w:numPr>
        <w:pStyle w:val="Compact"/>
      </w:pPr>
      <w:r>
        <w:rPr>
          <w:bCs/>
          <w:b/>
        </w:rPr>
        <w:t xml:space="preserve">Correction authority</w:t>
      </w:r>
      <w:r>
        <w:t xml:space="preserve"> </w:t>
      </w:r>
      <w:r>
        <w:t xml:space="preserve">— the capacity to revise, withdraw, override, or refuse the output.</w:t>
      </w:r>
    </w:p>
    <w:p>
      <w:pPr>
        <w:numPr>
          <w:ilvl w:val="0"/>
          <w:numId w:val="1001"/>
        </w:numPr>
        <w:pStyle w:val="Compact"/>
      </w:pPr>
      <w:r>
        <w:rPr>
          <w:bCs/>
          <w:b/>
        </w:rPr>
        <w:t xml:space="preserve">Consequence carrier</w:t>
      </w:r>
      <w:r>
        <w:t xml:space="preserve"> </w:t>
      </w:r>
      <w:r>
        <w:t xml:space="preserve">— the node that bears institutional, professional, social, or operational consequences after acceptance.</w:t>
      </w:r>
    </w:p>
    <w:p>
      <w:pPr>
        <w:pStyle w:val="FirstParagraph"/>
      </w:pPr>
      <w:r>
        <w:t xml:space="preserve">Alignment is strongest when these functions are deliberately coordinated. Misalignment appears when visibility and consequence remain at one node while judgment and control are located elsewhere or absent.</w:t>
      </w:r>
    </w:p>
    <w:p>
      <w:r>
        <w:pict>
          <v:rect style="width:0;height:1.5pt" o:hralign="center" o:hrstd="t" o:hr="t"/>
        </w:pict>
      </w:r>
    </w:p>
    <w:bookmarkEnd w:id="29"/>
    <w:bookmarkStart w:id="36" w:name="primary-failure-patterns"/>
    <w:p>
      <w:pPr>
        <w:pStyle w:val="Heading2"/>
      </w:pPr>
      <w:r>
        <w:t xml:space="preserve">7. Primary Failure Patterns</w:t>
      </w:r>
    </w:p>
    <w:bookmarkStart w:id="30" w:name="visible-node-substitution"/>
    <w:p>
      <w:pPr>
        <w:pStyle w:val="Heading3"/>
      </w:pPr>
      <w:r>
        <w:t xml:space="preserve">1. Visible-Node Substitution</w:t>
      </w:r>
    </w:p>
    <w:p>
      <w:pPr>
        <w:pStyle w:val="FirstParagraph"/>
      </w:pPr>
      <w:r>
        <w:t xml:space="preserve">A visible signer or approver is treated as the judgment locus without testing whether that node controlled or understood the claim.</w:t>
      </w:r>
    </w:p>
    <w:bookmarkEnd w:id="30"/>
    <w:bookmarkStart w:id="31" w:name="approval-as-verification"/>
    <w:p>
      <w:pPr>
        <w:pStyle w:val="Heading3"/>
      </w:pPr>
      <w:r>
        <w:t xml:space="preserve">2. Approval-as-Verification</w:t>
      </w:r>
    </w:p>
    <w:p>
      <w:pPr>
        <w:pStyle w:val="FirstParagraph"/>
      </w:pPr>
      <w:r>
        <w:t xml:space="preserve">A procedural approval is interpreted as evidence that source, method, and uncertainty were substantively checked.</w:t>
      </w:r>
    </w:p>
    <w:bookmarkEnd w:id="31"/>
    <w:bookmarkStart w:id="32" w:name="human-presence-proxy"/>
    <w:p>
      <w:pPr>
        <w:pStyle w:val="Heading3"/>
      </w:pPr>
      <w:r>
        <w:t xml:space="preserve">3. Human-Presence Proxy</w:t>
      </w:r>
    </w:p>
    <w:p>
      <w:pPr>
        <w:pStyle w:val="FirstParagraph"/>
      </w:pPr>
      <w:r>
        <w:t xml:space="preserve">The mere presence of a human in the workflow is used as a proxy for retained judgment.</w:t>
      </w:r>
    </w:p>
    <w:bookmarkEnd w:id="32"/>
    <w:bookmarkStart w:id="33" w:name="correction-without-authority"/>
    <w:p>
      <w:pPr>
        <w:pStyle w:val="Heading3"/>
      </w:pPr>
      <w:r>
        <w:t xml:space="preserve">4. Correction Without Authority</w:t>
      </w:r>
    </w:p>
    <w:p>
      <w:pPr>
        <w:pStyle w:val="FirstParagraph"/>
      </w:pPr>
      <w:r>
        <w:t xml:space="preserve">The named node is answerable for an output but cannot revise, withdraw, or override it.</w:t>
      </w:r>
    </w:p>
    <w:bookmarkEnd w:id="33"/>
    <w:bookmarkStart w:id="34" w:name="answerability-fragmentation"/>
    <w:p>
      <w:pPr>
        <w:pStyle w:val="Heading3"/>
      </w:pPr>
      <w:r>
        <w:t xml:space="preserve">5. Answerability Fragmentation</w:t>
      </w:r>
    </w:p>
    <w:p>
      <w:pPr>
        <w:pStyle w:val="FirstParagraph"/>
      </w:pPr>
      <w:r>
        <w:t xml:space="preserve">Production, verification, acceptance, and consequence are distributed across nodes without a coordinated answerable position.</w:t>
      </w:r>
    </w:p>
    <w:bookmarkEnd w:id="34"/>
    <w:bookmarkStart w:id="35" w:name="consequence-without-control"/>
    <w:p>
      <w:pPr>
        <w:pStyle w:val="Heading3"/>
      </w:pPr>
      <w:r>
        <w:t xml:space="preserve">6. Consequence Without Control</w:t>
      </w:r>
    </w:p>
    <w:p>
      <w:pPr>
        <w:pStyle w:val="FirstParagraph"/>
      </w:pPr>
      <w:r>
        <w:t xml:space="preserve">A person or office bears the effects of acceptance while lacking the information or authority needed to govern the output.</w:t>
      </w:r>
    </w:p>
    <w:p>
      <w:r>
        <w:pict>
          <v:rect style="width:0;height:1.5pt" o:hralign="center" o:hrstd="t" o:hr="t"/>
        </w:pict>
      </w:r>
    </w:p>
    <w:bookmarkEnd w:id="35"/>
    <w:bookmarkEnd w:id="36"/>
    <w:bookmarkStart w:id="37" w:name="operational-evaluation"/>
    <w:p>
      <w:pPr>
        <w:pStyle w:val="Heading2"/>
      </w:pPr>
      <w:r>
        <w:t xml:space="preserve">8. Operational Evaluation</w:t>
      </w:r>
    </w:p>
    <w:p>
      <w:pPr>
        <w:numPr>
          <w:ilvl w:val="0"/>
          <w:numId w:val="1002"/>
        </w:numPr>
      </w:pPr>
      <w:r>
        <w:t xml:space="preserve">Who or what produced the output?</w:t>
      </w:r>
    </w:p>
    <w:p>
      <w:pPr>
        <w:numPr>
          <w:ilvl w:val="0"/>
          <w:numId w:val="1002"/>
        </w:numPr>
      </w:pPr>
      <w:r>
        <w:t xml:space="preserve">Who set the question, frame, or standard?</w:t>
      </w:r>
    </w:p>
    <w:p>
      <w:pPr>
        <w:numPr>
          <w:ilvl w:val="0"/>
          <w:numId w:val="1002"/>
        </w:numPr>
      </w:pPr>
      <w:r>
        <w:t xml:space="preserve">Who selected the evidence boundary?</w:t>
      </w:r>
    </w:p>
    <w:p>
      <w:pPr>
        <w:numPr>
          <w:ilvl w:val="0"/>
          <w:numId w:val="1002"/>
        </w:numPr>
      </w:pPr>
      <w:r>
        <w:t xml:space="preserve">Who verified the output against the relevant source, method, or context?</w:t>
      </w:r>
    </w:p>
    <w:p>
      <w:pPr>
        <w:numPr>
          <w:ilvl w:val="0"/>
          <w:numId w:val="1002"/>
        </w:numPr>
      </w:pPr>
      <w:r>
        <w:t xml:space="preserve">Who can correct it if challenged?</w:t>
      </w:r>
    </w:p>
    <w:p>
      <w:pPr>
        <w:numPr>
          <w:ilvl w:val="0"/>
          <w:numId w:val="1002"/>
        </w:numPr>
      </w:pPr>
      <w:r>
        <w:t xml:space="preserve">Who can withdraw it if it fails?</w:t>
      </w:r>
    </w:p>
    <w:p>
      <w:pPr>
        <w:numPr>
          <w:ilvl w:val="0"/>
          <w:numId w:val="1002"/>
        </w:numPr>
      </w:pPr>
      <w:r>
        <w:t xml:space="preserve">Who bears consequences if the output is accepted?</w:t>
      </w:r>
    </w:p>
    <w:p>
      <w:pPr>
        <w:numPr>
          <w:ilvl w:val="0"/>
          <w:numId w:val="1002"/>
        </w:numPr>
      </w:pPr>
      <w:r>
        <w:t xml:space="preserve">Does the node bearing consequences also have sufficient control?</w:t>
      </w:r>
    </w:p>
    <w:p>
      <w:pPr>
        <w:numPr>
          <w:ilvl w:val="0"/>
          <w:numId w:val="1002"/>
        </w:numPr>
      </w:pPr>
      <w:r>
        <w:t xml:space="preserve">Is the named node answerable, or only visible?</w:t>
      </w:r>
    </w:p>
    <w:p>
      <w:pPr>
        <w:numPr>
          <w:ilvl w:val="0"/>
          <w:numId w:val="1002"/>
        </w:numPr>
      </w:pPr>
      <w:r>
        <w:t xml:space="preserve">Is the system testing provenance, or testing judgment capacity?</w:t>
      </w:r>
    </w:p>
    <w:p>
      <w:pPr>
        <w:pStyle w:val="FirstParagraph"/>
      </w:pPr>
      <w:r>
        <w:t xml:space="preserve">A Judgment-Locus Answerability Alignment problem may be present when:</w:t>
      </w:r>
    </w:p>
    <w:p>
      <w:pPr>
        <w:pStyle w:val="BodyText"/>
      </w:pPr>
      <w:r>
        <w:t xml:space="preserve">a human signs an output they cannot explain</w:t>
      </w:r>
    </w:p>
    <w:p>
      <w:pPr>
        <w:pStyle w:val="BodyText"/>
      </w:pPr>
      <w:r>
        <w:t xml:space="preserve">a reviewer submits evaluation without retaining judgment</w:t>
      </w:r>
    </w:p>
    <w:p>
      <w:pPr>
        <w:pStyle w:val="BodyText"/>
      </w:pPr>
      <w:r>
        <w:t xml:space="preserve">a manager approves a system-generated conclusion without checking the basis</w:t>
      </w:r>
    </w:p>
    <w:p>
      <w:pPr>
        <w:pStyle w:val="BodyText"/>
      </w:pPr>
      <w:r>
        <w:t xml:space="preserve">a platform certifies a process while outsourcing the judgment condition</w:t>
      </w:r>
    </w:p>
    <w:p>
      <w:pPr>
        <w:pStyle w:val="BodyText"/>
      </w:pPr>
      <w:r>
        <w:t xml:space="preserve">a tool produces a candidate output that becomes final without verification</w:t>
      </w:r>
    </w:p>
    <w:p>
      <w:pPr>
        <w:pStyle w:val="BodyText"/>
      </w:pPr>
      <w:r>
        <w:t xml:space="preserve">a workflow records tool use but not verification labor</w:t>
      </w:r>
    </w:p>
    <w:p>
      <w:pPr>
        <w:pStyle w:val="BodyText"/>
      </w:pPr>
      <w:r>
        <w:t xml:space="preserve">a visible role carries responsibility without authority or knowledge</w:t>
      </w:r>
    </w:p>
    <w:p>
      <w:pPr>
        <w:pStyle w:val="BodyText"/>
      </w:pPr>
      <w:r>
        <w:t xml:space="preserve">an institution asks where the output came from but not who can answer for it</w:t>
      </w:r>
    </w:p>
    <w:p>
      <w:pPr>
        <w:pStyle w:val="BodyText"/>
      </w:pPr>
      <w:r>
        <w:t xml:space="preserve">a system treats presence-in-loop as equivalent to judgment-in-loop</w:t>
      </w:r>
    </w:p>
    <w:p>
      <w:pPr>
        <w:pStyle w:val="BodyText"/>
      </w:pPr>
      <w:r>
        <w:t xml:space="preserve">Step 1:</w:t>
      </w:r>
      <w:r>
        <w:t xml:space="preserve"> </w:t>
      </w:r>
      <w:r>
        <w:t xml:space="preserve">Identify the output, claim, decision, or certification.</w:t>
      </w:r>
    </w:p>
    <w:p>
      <w:pPr>
        <w:pStyle w:val="BodyText"/>
      </w:pPr>
      <w:r>
        <w:t xml:space="preserve">Step 2:</w:t>
      </w:r>
      <w:r>
        <w:t xml:space="preserve"> </w:t>
      </w:r>
      <w:r>
        <w:t xml:space="preserve">Identify the visible node attached to it.</w:t>
      </w:r>
    </w:p>
    <w:p>
      <w:pPr>
        <w:pStyle w:val="BodyText"/>
      </w:pPr>
      <w:r>
        <w:t xml:space="preserve">Step 3:</w:t>
      </w:r>
      <w:r>
        <w:t xml:space="preserve"> </w:t>
      </w:r>
      <w:r>
        <w:t xml:space="preserve">Identify the actual judgment locus.</w:t>
      </w:r>
    </w:p>
    <w:p>
      <w:pPr>
        <w:pStyle w:val="BodyText"/>
      </w:pPr>
      <w:r>
        <w:t xml:space="preserve">Step 4:</w:t>
      </w:r>
      <w:r>
        <w:t xml:space="preserve"> </w:t>
      </w:r>
      <w:r>
        <w:t xml:space="preserve">Test whether the visible node has verification capacity.</w:t>
      </w:r>
    </w:p>
    <w:p>
      <w:pPr>
        <w:pStyle w:val="BodyText"/>
      </w:pPr>
      <w:r>
        <w:t xml:space="preserve">Step 5:</w:t>
      </w:r>
      <w:r>
        <w:t xml:space="preserve"> </w:t>
      </w:r>
      <w:r>
        <w:t xml:space="preserve">Test whether the visible node can correct, defend, or withdraw the output.</w:t>
      </w:r>
    </w:p>
    <w:p>
      <w:pPr>
        <w:pStyle w:val="BodyText"/>
      </w:pPr>
      <w:r>
        <w:t xml:space="preserve">Step 6:</w:t>
      </w:r>
      <w:r>
        <w:t xml:space="preserve"> </w:t>
      </w:r>
      <w:r>
        <w:t xml:space="preserve">Compare responsibility assignment with judgment capacity.</w:t>
      </w:r>
    </w:p>
    <w:p>
      <w:pPr>
        <w:pStyle w:val="BodyText"/>
      </w:pPr>
      <w:r>
        <w:t xml:space="preserve">Step 7:</w:t>
      </w:r>
      <w:r>
        <w:t xml:space="preserve"> </w:t>
      </w:r>
      <w:r>
        <w:t xml:space="preserve">Classify the result:</w:t>
      </w:r>
      <w:r>
        <w:t xml:space="preserve"> </w:t>
      </w:r>
      <w:r>
        <w:t xml:space="preserve">- aligned answerability</w:t>
      </w:r>
      <w:r>
        <w:t xml:space="preserve"> </w:t>
      </w:r>
      <w:r>
        <w:t xml:space="preserve">- partial answerability</w:t>
      </w:r>
      <w:r>
        <w:t xml:space="preserve"> </w:t>
      </w:r>
      <w:r>
        <w:t xml:space="preserve">- nominal answerability</w:t>
      </w:r>
      <w:r>
        <w:t xml:space="preserve"> </w:t>
      </w:r>
      <w:r>
        <w:t xml:space="preserve">- displaced answerability</w:t>
      </w:r>
      <w:r>
        <w:t xml:space="preserve"> </w:t>
      </w:r>
      <w:r>
        <w:t xml:space="preserve">- absent answerability</w:t>
      </w:r>
    </w:p>
    <w:p>
      <w:r>
        <w:pict>
          <v:rect style="width:0;height:1.5pt" o:hralign="center" o:hrstd="t" o:hr="t"/>
        </w:pict>
      </w:r>
    </w:p>
    <w:bookmarkEnd w:id="37"/>
    <w:bookmarkStart w:id="43" w:name="application-domains"/>
    <w:p>
      <w:pPr>
        <w:pStyle w:val="Heading2"/>
      </w:pPr>
      <w:r>
        <w:t xml:space="preserve">9. Application Domains</w:t>
      </w:r>
    </w:p>
    <w:bookmarkStart w:id="38" w:name="ai-assisted-authorship-and-submission"/>
    <w:p>
      <w:pPr>
        <w:pStyle w:val="Heading3"/>
      </w:pPr>
      <w:r>
        <w:t xml:space="preserve">1. AI-assisted authorship and submission</w:t>
      </w:r>
    </w:p>
    <w:p>
      <w:pPr>
        <w:pStyle w:val="FirstParagraph"/>
      </w:pPr>
      <w:r>
        <w:t xml:space="preserve">A named author may remain answerable only if substantive claims and evidence have been reviewed rather than merely attached to a human identity.</w:t>
      </w:r>
    </w:p>
    <w:bookmarkEnd w:id="38"/>
    <w:bookmarkStart w:id="39" w:name="automated-decision-support"/>
    <w:p>
      <w:pPr>
        <w:pStyle w:val="Heading3"/>
      </w:pPr>
      <w:r>
        <w:t xml:space="preserve">2. Automated decision support</w:t>
      </w:r>
    </w:p>
    <w:p>
      <w:pPr>
        <w:pStyle w:val="FirstParagraph"/>
      </w:pPr>
      <w:r>
        <w:t xml:space="preserve">A decision-maker who accepts a recommendation needs access to the basis, uncertainty, and correction pathway of the system.</w:t>
      </w:r>
    </w:p>
    <w:bookmarkEnd w:id="39"/>
    <w:bookmarkStart w:id="40" w:name="institutional-certification"/>
    <w:p>
      <w:pPr>
        <w:pStyle w:val="Heading3"/>
      </w:pPr>
      <w:r>
        <w:t xml:space="preserve">3. Institutional certification</w:t>
      </w:r>
    </w:p>
    <w:p>
      <w:pPr>
        <w:pStyle w:val="FirstParagraph"/>
      </w:pPr>
      <w:r>
        <w:t xml:space="preserve">An office that certifies compliance or quality must retain the authority and knowledge required to answer for the certification.</w:t>
      </w:r>
    </w:p>
    <w:bookmarkEnd w:id="40"/>
    <w:bookmarkStart w:id="41" w:name="peer-review-and-evaluation"/>
    <w:p>
      <w:pPr>
        <w:pStyle w:val="Heading3"/>
      </w:pPr>
      <w:r>
        <w:t xml:space="preserve">4. Peer review and evaluation</w:t>
      </w:r>
    </w:p>
    <w:p>
      <w:pPr>
        <w:pStyle w:val="FirstParagraph"/>
      </w:pPr>
      <w:r>
        <w:t xml:space="preserve">A reviewer may use tools, but the final evaluative judgment must remain locatable and defensible.</w:t>
      </w:r>
    </w:p>
    <w:bookmarkEnd w:id="41"/>
    <w:bookmarkStart w:id="42" w:name="platform-and-workflow-governance"/>
    <w:p>
      <w:pPr>
        <w:pStyle w:val="Heading3"/>
      </w:pPr>
      <w:r>
        <w:t xml:space="preserve">5. Platform and workflow governance</w:t>
      </w:r>
    </w:p>
    <w:p>
      <w:pPr>
        <w:pStyle w:val="FirstParagraph"/>
      </w:pPr>
      <w:r>
        <w:t xml:space="preserve">Logs that show a human action do not establish that the human possessed meaningful control or verification capacity.</w:t>
      </w:r>
    </w:p>
    <w:p>
      <w:r>
        <w:pict>
          <v:rect style="width:0;height:1.5pt" o:hralign="center" o:hrstd="t" o:hr="t"/>
        </w:pict>
      </w:r>
    </w:p>
    <w:bookmarkEnd w:id="42"/>
    <w:bookmarkEnd w:id="43"/>
    <w:bookmarkStart w:id="49" w:name="relations-to-adjacent-public-frameworks"/>
    <w:p>
      <w:pPr>
        <w:pStyle w:val="Heading2"/>
      </w:pPr>
      <w:r>
        <w:t xml:space="preserve">10. Relations to Adjacent Public Frameworks</w:t>
      </w:r>
    </w:p>
    <w:bookmarkStart w:id="44" w:name="responsibility-alignment-model"/>
    <w:p>
      <w:pPr>
        <w:pStyle w:val="Heading3"/>
      </w:pPr>
      <w:r>
        <w:t xml:space="preserve">1. Responsibility Alignment Model</w:t>
      </w:r>
    </w:p>
    <w:p>
      <w:pPr>
        <w:pStyle w:val="FirstParagraph"/>
      </w:pPr>
      <w:r>
        <w:t xml:space="preserve">Responsibility Alignment Model clarifies whether ownership, authority, capacity, visibility, and accountability remain attached to compatible nodes. The present entry specifies one condition under which that alignment can fail or become nominal.</w:t>
      </w:r>
    </w:p>
    <w:bookmarkEnd w:id="44"/>
    <w:bookmarkStart w:id="45" w:name="provenancevalidity-separation-model"/>
    <w:p>
      <w:pPr>
        <w:pStyle w:val="Heading3"/>
      </w:pPr>
      <w:r>
        <w:t xml:space="preserve">2. Provenance–Validity Separation Model</w:t>
      </w:r>
    </w:p>
    <w:p>
      <w:pPr>
        <w:pStyle w:val="FirstParagraph"/>
      </w:pPr>
      <w:r>
        <w:t xml:space="preserve">Provenance–Validity Separation Model separates traceable origin from the validity, adequacy, or warranted use of an output. The present entry extends that distinction into a more specific interface, research, or responsibility condition.</w:t>
      </w:r>
    </w:p>
    <w:bookmarkEnd w:id="45"/>
    <w:bookmarkStart w:id="46" w:name="verification-labor-compression"/>
    <w:p>
      <w:pPr>
        <w:pStyle w:val="Heading3"/>
      </w:pPr>
      <w:r>
        <w:t xml:space="preserve">3. Verification Labor Compression</w:t>
      </w:r>
    </w:p>
    <w:p>
      <w:pPr>
        <w:pStyle w:val="FirstParagraph"/>
      </w:pPr>
      <w:r>
        <w:t xml:space="preserve">Verification Labor Compression describes how accelerated production can move validation work downstream, hide it, or concentrate it at a final review node. The present entry identifies the particular object or boundary that the verification work must preserve.</w:t>
      </w:r>
    </w:p>
    <w:bookmarkEnd w:id="46"/>
    <w:bookmarkStart w:id="47" w:name="boundary-role-segmentation-model"/>
    <w:p>
      <w:pPr>
        <w:pStyle w:val="Heading3"/>
      </w:pPr>
      <w:r>
        <w:t xml:space="preserve">4. Boundary-Role Segmentation Model</w:t>
      </w:r>
    </w:p>
    <w:p>
      <w:pPr>
        <w:pStyle w:val="FirstParagraph"/>
      </w:pPr>
      <w:r>
        <w:t xml:space="preserve">Boundary-Role Segmentation Model describes local coherence within bounded roles and the contradictions that appear across role interfaces. The present entry clarifies which roles or thresholds must be kept separate.</w:t>
      </w:r>
    </w:p>
    <w:bookmarkEnd w:id="47"/>
    <w:bookmarkStart w:id="48" w:name="benefitburden-allocation-regimes"/>
    <w:p>
      <w:pPr>
        <w:pStyle w:val="Heading3"/>
      </w:pPr>
      <w:r>
        <w:t xml:space="preserve">5. Benefit–Burden Allocation Regimes</w:t>
      </w:r>
    </w:p>
    <w:p>
      <w:pPr>
        <w:pStyle w:val="FirstParagraph"/>
      </w:pPr>
      <w:r>
        <w:t xml:space="preserve">Benefit–Burden Allocation Regimes examines where benefits, burdens, control, risk, and verification work are placed across a system. The present entry specifies a recurring allocation pattern.</w:t>
      </w:r>
    </w:p>
    <w:p>
      <w:r>
        <w:pict>
          <v:rect style="width:0;height:1.5pt" o:hralign="center" o:hrstd="t" o:hr="t"/>
        </w:pict>
      </w:r>
    </w:p>
    <w:bookmarkEnd w:id="48"/>
    <w:bookmarkEnd w:id="49"/>
    <w:bookmarkStart w:id="52" w:name="X673d9de5858afc14d9174904e92e64ad8dc9e49"/>
    <w:p>
      <w:pPr>
        <w:pStyle w:val="Heading2"/>
      </w:pPr>
      <w:r>
        <w:t xml:space="preserve">11. Boundary Conditions and Non-Applicability</w:t>
      </w:r>
    </w:p>
    <w:bookmarkStart w:id="50" w:name="boundary-conditions"/>
    <w:p>
      <w:pPr>
        <w:pStyle w:val="Heading3"/>
      </w:pPr>
      <w:r>
        <w:t xml:space="preserve">11.1 Boundary Conditions</w:t>
      </w:r>
    </w:p>
    <w:p>
      <w:pPr>
        <w:pStyle w:val="FirstParagraph"/>
      </w:pPr>
      <w:r>
        <w:t xml:space="preserve">The risk threshold appears when:</w:t>
      </w:r>
    </w:p>
    <w:p>
      <w:pPr>
        <w:pStyle w:val="BodyText"/>
      </w:pPr>
      <w:r>
        <w:t xml:space="preserve">visible responsibility &gt; actual judgment capacity</w:t>
      </w:r>
    </w:p>
    <w:p>
      <w:pPr>
        <w:pStyle w:val="BodyText"/>
      </w:pPr>
      <w:r>
        <w:t xml:space="preserve">or:</w:t>
      </w:r>
    </w:p>
    <w:p>
      <w:pPr>
        <w:pStyle w:val="BodyText"/>
      </w:pPr>
      <w:r>
        <w:t xml:space="preserve">output acceptance &gt; verification capacity</w:t>
      </w:r>
    </w:p>
    <w:p>
      <w:pPr>
        <w:pStyle w:val="BodyText"/>
      </w:pPr>
      <w:r>
        <w:t xml:space="preserve">or:</w:t>
      </w:r>
    </w:p>
    <w:p>
      <w:pPr>
        <w:pStyle w:val="BodyText"/>
      </w:pPr>
      <w:r>
        <w:t xml:space="preserve">role attachment &gt; answerability</w:t>
      </w:r>
    </w:p>
    <w:p>
      <w:pPr>
        <w:pStyle w:val="BodyText"/>
      </w:pPr>
      <w:r>
        <w:t xml:space="preserve">At that point, a system may appear responsible while having no effective answerable node.</w:t>
      </w:r>
    </w:p>
    <w:bookmarkEnd w:id="50"/>
    <w:bookmarkStart w:id="51" w:name="non-applicability"/>
    <w:p>
      <w:pPr>
        <w:pStyle w:val="Heading3"/>
      </w:pPr>
      <w:r>
        <w:t xml:space="preserve">11.2 Non-Applicability</w:t>
      </w:r>
    </w:p>
    <w:p>
      <w:pPr>
        <w:pStyle w:val="FirstParagraph"/>
      </w:pPr>
      <w:r>
        <w:t xml:space="preserve">This note should not be applied when:</w:t>
      </w:r>
    </w:p>
    <w:p>
      <w:pPr>
        <w:pStyle w:val="BodyText"/>
      </w:pPr>
      <w:r>
        <w:t xml:space="preserve">the output is low-stakes and does not require claim-level answerability</w:t>
      </w:r>
    </w:p>
    <w:p>
      <w:pPr>
        <w:pStyle w:val="BodyText"/>
      </w:pPr>
      <w:r>
        <w:t xml:space="preserve">the tool is used only for non-substantive formatting or mechanical transformation</w:t>
      </w:r>
    </w:p>
    <w:p>
      <w:pPr>
        <w:pStyle w:val="BodyText"/>
      </w:pPr>
      <w:r>
        <w:t xml:space="preserve">the responsible node retains full verification capacity</w:t>
      </w:r>
    </w:p>
    <w:p>
      <w:pPr>
        <w:pStyle w:val="BodyText"/>
      </w:pPr>
      <w:r>
        <w:t xml:space="preserve">the system clearly separates suggestion from certification</w:t>
      </w:r>
    </w:p>
    <w:p>
      <w:pPr>
        <w:pStyle w:val="BodyText"/>
      </w:pPr>
      <w:r>
        <w:t xml:space="preserve">the output is explicitly marked as unverified candidate material</w:t>
      </w:r>
    </w:p>
    <w:p>
      <w:pPr>
        <w:pStyle w:val="BodyText"/>
      </w:pPr>
      <w:r>
        <w:t xml:space="preserve">the role responsible for final acceptance has authority, evidence access, and correction capacity</w:t>
      </w:r>
    </w:p>
    <w:p>
      <w:pPr>
        <w:pStyle w:val="BodyText"/>
      </w:pPr>
      <w:r>
        <w:t xml:space="preserve">It should also not be used as a moral accusation.</w:t>
      </w:r>
    </w:p>
    <w:p>
      <w:pPr>
        <w:pStyle w:val="BodyText"/>
      </w:pPr>
      <w:r>
        <w:t xml:space="preserve">The note describes structural alignment, not personal blame.</w:t>
      </w:r>
    </w:p>
    <w:p>
      <w:r>
        <w:pict>
          <v:rect style="width:0;height:1.5pt" o:hralign="center" o:hrstd="t" o:hr="t"/>
        </w:pict>
      </w:r>
    </w:p>
    <w:bookmarkEnd w:id="51"/>
    <w:bookmarkEnd w:id="52"/>
    <w:bookmarkStart w:id="53" w:name="public-orientation-and-method-boundary"/>
    <w:p>
      <w:pPr>
        <w:pStyle w:val="Heading2"/>
      </w:pPr>
      <w:r>
        <w:t xml:space="preserve">12. Public Orientation and Method Boundary</w:t>
      </w:r>
    </w:p>
    <w:p>
      <w:pPr>
        <w:pStyle w:val="FirstParagraph"/>
      </w:pPr>
      <w:r>
        <w:t xml:space="preserve">This document is designed as a public conceptual entry. It provides a definition, mechanism, diagnostic orientation, and limit statement. It omits non-public editorial records, private source materials, non-public working materials, and implementation details.</w:t>
      </w:r>
    </w:p>
    <w:p>
      <w:pPr>
        <w:pStyle w:val="BodyText"/>
      </w:pPr>
      <w:r>
        <w:t xml:space="preserve">The entry is not a substitute for empirical research, legal analysis, professional judgment, technical testing, or domain-specific governance. It should not be used to score people or institutions, automate high-stakes decisions, or infer misconduct from conceptual similarity.</w:t>
      </w:r>
    </w:p>
    <w:p>
      <w:pPr>
        <w:pStyle w:val="BodyText"/>
      </w:pPr>
      <w:r>
        <w:t xml:space="preserve">Examples and application domains are illustrative. A case should be classified under</w:t>
      </w:r>
      <w:r>
        <w:t xml:space="preserve"> </w:t>
      </w:r>
      <w:r>
        <w:rPr>
          <w:bCs/>
          <w:b/>
        </w:rPr>
        <w:t xml:space="preserve">Judgment-Locus Answerability Alignment</w:t>
      </w:r>
      <w:r>
        <w:t xml:space="preserve"> </w:t>
      </w:r>
      <w:r>
        <w:t xml:space="preserve">only when the relevant structure can be demonstrated from available evidence.</w:t>
      </w:r>
    </w:p>
    <w:p>
      <w:r>
        <w:pict>
          <v:rect style="width:0;height:1.5pt" o:hralign="center" o:hrstd="t" o:hr="t"/>
        </w:pict>
      </w:r>
    </w:p>
    <w:bookmarkEnd w:id="53"/>
    <w:bookmarkStart w:id="59" w:name="limitations"/>
    <w:p>
      <w:pPr>
        <w:pStyle w:val="Heading2"/>
      </w:pPr>
      <w:r>
        <w:t xml:space="preserve">13. Limitations</w:t>
      </w:r>
    </w:p>
    <w:bookmarkStart w:id="54" w:name="answerability-is-not-liability"/>
    <w:p>
      <w:pPr>
        <w:pStyle w:val="Heading3"/>
      </w:pPr>
      <w:r>
        <w:t xml:space="preserve">1. Answerability is not liability</w:t>
      </w:r>
    </w:p>
    <w:p>
      <w:pPr>
        <w:pStyle w:val="FirstParagraph"/>
      </w:pPr>
      <w:r>
        <w:t xml:space="preserve">The note does not assign legal responsibility or sanction.</w:t>
      </w:r>
    </w:p>
    <w:bookmarkEnd w:id="54"/>
    <w:bookmarkStart w:id="55" w:name="capacity-can-be-distributed"/>
    <w:p>
      <w:pPr>
        <w:pStyle w:val="Heading3"/>
      </w:pPr>
      <w:r>
        <w:t xml:space="preserve">2. Capacity can be distributed</w:t>
      </w:r>
    </w:p>
    <w:p>
      <w:pPr>
        <w:pStyle w:val="FirstParagraph"/>
      </w:pPr>
      <w:r>
        <w:t xml:space="preserve">Judgment may be legitimately shared across teams, provided the relation is visible and coordinated.</w:t>
      </w:r>
    </w:p>
    <w:bookmarkEnd w:id="55"/>
    <w:bookmarkStart w:id="56" w:name="no-fixed-human-requirement"/>
    <w:p>
      <w:pPr>
        <w:pStyle w:val="Heading3"/>
      </w:pPr>
      <w:r>
        <w:t xml:space="preserve">3. No fixed human requirement</w:t>
      </w:r>
    </w:p>
    <w:p>
      <w:pPr>
        <w:pStyle w:val="FirstParagraph"/>
      </w:pPr>
      <w:r>
        <w:t xml:space="preserve">Some systems may support answerability through institutional or technical arrangements rather than a single person.</w:t>
      </w:r>
    </w:p>
    <w:bookmarkEnd w:id="56"/>
    <w:bookmarkStart w:id="57" w:name="evidence-of-alignment-can-be-incomplete"/>
    <w:p>
      <w:pPr>
        <w:pStyle w:val="Heading3"/>
      </w:pPr>
      <w:r>
        <w:t xml:space="preserve">4. Evidence of alignment can be incomplete</w:t>
      </w:r>
    </w:p>
    <w:p>
      <w:pPr>
        <w:pStyle w:val="FirstParagraph"/>
      </w:pPr>
      <w:r>
        <w:t xml:space="preserve">Organizations may lack records of who framed, checked, or changed an output.</w:t>
      </w:r>
    </w:p>
    <w:bookmarkEnd w:id="57"/>
    <w:bookmarkStart w:id="58" w:name="low-stakes-uses"/>
    <w:p>
      <w:pPr>
        <w:pStyle w:val="Heading3"/>
      </w:pPr>
      <w:r>
        <w:t xml:space="preserve">5. Low-stakes uses</w:t>
      </w:r>
    </w:p>
    <w:p>
      <w:pPr>
        <w:pStyle w:val="FirstParagraph"/>
      </w:pPr>
      <w:r>
        <w:t xml:space="preserve">Not every output requires claim-level answerability.</w:t>
      </w:r>
    </w:p>
    <w:p>
      <w:r>
        <w:pict>
          <v:rect style="width:0;height:1.5pt" o:hralign="center" o:hrstd="t" o:hr="t"/>
        </w:pict>
      </w:r>
    </w:p>
    <w:bookmarkEnd w:id="58"/>
    <w:bookmarkEnd w:id="59"/>
    <w:bookmarkStart w:id="60" w:name="minimal-formulation"/>
    <w:p>
      <w:pPr>
        <w:pStyle w:val="Heading2"/>
      </w:pPr>
      <w:r>
        <w:t xml:space="preserve">14. Minimal Formulation</w:t>
      </w:r>
    </w:p>
    <w:p>
      <w:pPr>
        <w:pStyle w:val="FirstParagraph"/>
      </w:pPr>
      <w:r>
        <w:t xml:space="preserve">production origin ≠ judgment locus</w:t>
      </w:r>
    </w:p>
    <w:p>
      <w:pPr>
        <w:pStyle w:val="BodyText"/>
      </w:pPr>
      <w:r>
        <w:t xml:space="preserve">tool participation ≠ responsibility transfer</w:t>
      </w:r>
    </w:p>
    <w:p>
      <w:pPr>
        <w:pStyle w:val="BodyText"/>
      </w:pPr>
      <w:r>
        <w:t xml:space="preserve">visible node ≠ answerable node</w:t>
      </w:r>
    </w:p>
    <w:p>
      <w:pPr>
        <w:pStyle w:val="BodyText"/>
      </w:pPr>
      <w:r>
        <w:t xml:space="preserve">human name ≠ human judgment</w:t>
      </w:r>
    </w:p>
    <w:p>
      <w:pPr>
        <w:pStyle w:val="BodyText"/>
      </w:pPr>
      <w:r>
        <w:t xml:space="preserve">approval ≠ verification</w:t>
      </w:r>
    </w:p>
    <w:p>
      <w:pPr>
        <w:pStyle w:val="BodyText"/>
      </w:pPr>
      <w:r>
        <w:t xml:space="preserve">review presence ≠ review adequacy</w:t>
      </w:r>
    </w:p>
    <w:p>
      <w:pPr>
        <w:pStyle w:val="BodyText"/>
      </w:pPr>
      <w:r>
        <w:t xml:space="preserve">workflow control ≠ claim control</w:t>
      </w:r>
    </w:p>
    <w:p>
      <w:pPr>
        <w:pStyle w:val="BodyText"/>
      </w:pPr>
      <w:r>
        <w:t xml:space="preserve">disclosure ≠ answerability</w:t>
      </w:r>
    </w:p>
    <w:p>
      <w:pPr>
        <w:pStyle w:val="BodyText"/>
      </w:pPr>
      <w:r>
        <w:t xml:space="preserve">traceability ≠ validity</w:t>
      </w:r>
    </w:p>
    <w:p>
      <w:pPr>
        <w:pStyle w:val="BodyText"/>
      </w:pPr>
      <w:r>
        <w:t xml:space="preserve">certification ≠ epistemic control</w:t>
      </w:r>
    </w:p>
    <w:p>
      <w:pPr>
        <w:pStyle w:val="BodyText"/>
      </w:pPr>
      <w:r>
        <w:t xml:space="preserve">output fluency ≠ claim warrant</w:t>
      </w:r>
    </w:p>
    <w:p>
      <w:pPr>
        <w:pStyle w:val="BodyText"/>
      </w:pPr>
      <w:r>
        <w:t xml:space="preserve">delegated production ≠ delegated responsibility</w:t>
      </w:r>
    </w:p>
    <w:p>
      <w:pPr>
        <w:pStyle w:val="BodyText"/>
      </w:pPr>
      <w:r>
        <w:t xml:space="preserve">standing behind an output requires more than submitting it</w:t>
      </w:r>
    </w:p>
    <w:p>
      <w:r>
        <w:pict>
          <v:rect style="width:0;height:1.5pt" o:hralign="center" o:hrstd="t" o:hr="t"/>
        </w:pict>
      </w:r>
    </w:p>
    <w:bookmarkEnd w:id="60"/>
    <w:bookmarkStart w:id="61" w:name="conclusion"/>
    <w:p>
      <w:pPr>
        <w:pStyle w:val="Heading2"/>
      </w:pPr>
      <w:r>
        <w:t xml:space="preserve">15. Conclusion</w:t>
      </w:r>
    </w:p>
    <w:p>
      <w:pPr>
        <w:pStyle w:val="FirstParagraph"/>
      </w:pPr>
      <w:r>
        <w:t xml:space="preserve">A visible node is not necessarily an answerable node. Answerability becomes structurally real when the node carrying responsibility also has sufficient judgment control, evidence access, verification capacity, correction authority, and standing to respond.</w:t>
      </w:r>
    </w:p>
    <w:p>
      <w:pPr>
        <w:pStyle w:val="BodyText"/>
      </w:pPr>
      <w:r>
        <w:t xml:space="preserve">The diagnostic contribution is to locate these functions rather than infer them from names, approvals, or workflow presence. This makes it possible to distinguish genuine retained judgment from nominal human attachment.</w:t>
      </w:r>
    </w:p>
    <w:p>
      <w:r>
        <w:pict>
          <v:rect style="width:0;height:1.5pt" o:hralign="center" o:hrstd="t" o:hr="t"/>
        </w:pict>
      </w:r>
    </w:p>
    <w:bookmarkEnd w:id="61"/>
    <w:bookmarkStart w:id="62" w:name="naming-declaration"/>
    <w:p>
      <w:pPr>
        <w:pStyle w:val="Heading2"/>
      </w:pPr>
      <w:r>
        <w:t xml:space="preserve">Naming Declaration</w:t>
      </w:r>
    </w:p>
    <w:p>
      <w:pPr>
        <w:pStyle w:val="FirstParagraph"/>
      </w:pPr>
      <w:r>
        <w:t xml:space="preserve">Judgment-Locus Answerability Alignment Note is a Meta-Writing Ecology term for describing whether the node visibly associated with an output, claim, or decision also retains the judgment, verification capacity, and standing required to answer for it.</w:t>
      </w:r>
    </w:p>
    <w:p>
      <w:pPr>
        <w:pStyle w:val="BodyText"/>
      </w:pPr>
      <w:r>
        <w:t xml:space="preserve">The term does not refer to any specific article, platform, author, technology, institution, publication system, or AI policy debate.</w:t>
      </w:r>
    </w:p>
    <w:p>
      <w:pPr>
        <w:pStyle w:val="BodyText"/>
      </w:pPr>
      <w:r>
        <w:t xml:space="preserve">It abstracts a broader structural relation:</w:t>
      </w:r>
    </w:p>
    <w:p>
      <w:pPr>
        <w:pStyle w:val="BodyText"/>
      </w:pPr>
      <w:r>
        <w:t xml:space="preserve">visible attachment</w:t>
      </w:r>
      <w:r>
        <w:t xml:space="preserve"> </w:t>
      </w:r>
      <w:r>
        <w:t xml:space="preserve">judgment location</w:t>
      </w:r>
      <w:r>
        <w:t xml:space="preserve"> </w:t>
      </w:r>
      <w:r>
        <w:t xml:space="preserve">verification capacity</w:t>
      </w:r>
      <w:r>
        <w:t xml:space="preserve"> </w:t>
      </w:r>
      <w:r>
        <w:t xml:space="preserve">answerability</w:t>
      </w:r>
    </w:p>
    <w:p>
      <w:pPr>
        <w:pStyle w:val="BodyText"/>
      </w:pPr>
      <w:r>
        <w:t xml:space="preserve">The term should not be used to determine authorship, assign moral blame, or prohibit tool use.</w:t>
      </w:r>
    </w:p>
    <w:p>
      <w:pPr>
        <w:pStyle w:val="BodyText"/>
      </w:pPr>
      <w:r>
        <w:t xml:space="preserve">It should be used to detect whether a system has mistaken production, approval, or visibility for answerability.</w:t>
      </w:r>
    </w:p>
    <w:p>
      <w:pPr>
        <w:pStyle w:val="BodyText"/>
      </w:pPr>
      <w:r>
        <w:t xml:space="preserve">The term remains a Log / Cross-supporting Note because it stabilizes a diagnostic relation already distributed across existing MWE structures. It does not yet introduce a sufficiently independent mechanism to become a standalone Model.</w:t>
      </w:r>
    </w:p>
    <w:bookmarkEnd w:id="62"/>
    <w:sectPr w:rsidR="00FC693F" w:rsidRPr="0006063C" w:rsidSect="00034616">
      <w:pgSz w:h="16838" w:w="11906"/>
      <w:pgMar w:bottom="1418" w:footer="700" w:gutter="0" w:header="700" w:left="1418" w:right="1418" w:top="141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540" w:lineRule="exact"/>
      <w:ind w:firstLine="480"/>
      <w:jc w:val="left"/>
    </w:pPr>
    <w:rPr>
      <w:rFonts w:ascii="Gelasio" w:cs="Gelasio" w:eastAsia="Gelasio" w:hAnsi="Gelasio"/>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40" w:before="360" w:line="240" w:lineRule="auto"/>
      <w:ind w:firstLine="0"/>
      <w:jc w:val="left"/>
      <w:outlineLvl w:val="0"/>
    </w:pPr>
    <w:rPr>
      <w:rFonts w:ascii="Gelasio" w:asciiTheme="majorHAnsi" w:cs="Gelasio" w:cstheme="majorBidi" w:eastAsia="Gelasio" w:eastAsiaTheme="majorEastAsia" w:hAnsi="Gelasio"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240" w:before="360" w:line="240" w:lineRule="auto"/>
      <w:ind w:firstLine="0"/>
      <w:jc w:val="left"/>
      <w:outlineLvl w:val="1"/>
    </w:pPr>
    <w:rPr>
      <w:rFonts w:ascii="Gelasio" w:asciiTheme="majorHAnsi" w:cs="Gelasio" w:cstheme="majorBidi" w:eastAsia="Gelasio" w:eastAsiaTheme="majorEastAsia" w:hAnsi="Gelasio" w:hAnsiTheme="majorHAnsi"/>
      <w:b/>
      <w:bCs/>
      <w:i w:val="0"/>
      <w:color w:val="000000"/>
      <w:sz w:val="32"/>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240" w:lineRule="auto"/>
      <w:ind w:firstLine="0"/>
      <w:jc w:val="left"/>
      <w:outlineLvl w:val="2"/>
    </w:pPr>
    <w:rPr>
      <w:rFonts w:ascii="Gelasio" w:asciiTheme="majorHAnsi" w:cs="Gelasio" w:cstheme="majorBidi" w:eastAsia="Gelasio" w:eastAsiaTheme="majorEastAsia" w:hAnsi="Gelasio"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widowControl/>
      <w:spacing w:after="80" w:before="200" w:line="240" w:lineRule="auto"/>
      <w:ind w:firstLine="0"/>
      <w:jc w:val="left"/>
      <w:outlineLvl w:val="3"/>
    </w:pPr>
    <w:rPr>
      <w:rFonts w:ascii="Gelasio" w:asciiTheme="majorHAnsi" w:cs="Gelasio" w:cstheme="majorBidi" w:eastAsia="Gelasio" w:eastAsiaTheme="majorEastAsia" w:hAnsi="Gelasio" w:hAnsiTheme="majorHAnsi"/>
      <w:b/>
      <w:bCs/>
      <w:i w:val="0"/>
      <w:iCs/>
      <w:color w:val="000000"/>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540" w:lineRule="exact"/>
      <w:ind w:firstLine="0" w:left="0"/>
    </w:pPr>
    <w:rPr>
      <w:rFonts w:ascii="Gelasio" w:cs="Gelasio" w:eastAsia="Gelasio" w:hAnsi="Gelasio"/>
      <w:color w:val="000000"/>
      <w:sz w:val="24"/>
    </w:rPr>
  </w:style>
  <w:style w:customStyle="1" w:styleId="MWETitle" w:type="paragraph">
    <w:name w:val="MWE Title"/>
    <w:basedOn w:val="Normal"/>
    <w:pPr>
      <w:spacing w:after="0" w:before="0" w:line="240" w:lineRule="auto"/>
      <w:ind w:firstLine="0"/>
      <w:jc w:val="left"/>
    </w:pPr>
    <w:rPr>
      <w:rFonts w:ascii="Gelasio" w:cs="Gelasio" w:eastAsia="Gelasio" w:hAnsi="Gelasio"/>
      <w:b/>
      <w:i w:val="0"/>
      <w:color w:val="000000"/>
      <w:sz w:val="44"/>
    </w:rPr>
  </w:style>
  <w:style w:customStyle="1" w:styleId="MWESubtitle" w:type="paragraph">
    <w:name w:val="MWE Subtitle"/>
    <w:basedOn w:val="Normal"/>
    <w:pPr>
      <w:spacing w:after="0" w:before="0" w:line="240" w:lineRule="auto"/>
      <w:ind w:firstLine="0"/>
      <w:jc w:val="left"/>
    </w:pPr>
    <w:rPr>
      <w:rFonts w:ascii="Gelasio" w:cs="Gelasio" w:eastAsia="Gelasio" w:hAnsi="Gelasio"/>
      <w:b/>
      <w:i/>
      <w:color w:val="000000"/>
      <w:sz w:val="32"/>
    </w:rPr>
  </w:style>
  <w:style w:customStyle="1" w:styleId="MWEMeta" w:type="paragraph">
    <w:name w:val="MWE Meta"/>
    <w:basedOn w:val="Normal"/>
    <w:pPr>
      <w:spacing w:after="0" w:before="0" w:line="240" w:lineRule="auto"/>
      <w:ind w:firstLine="0"/>
      <w:jc w:val="left"/>
    </w:pPr>
    <w:rPr>
      <w:rFonts w:ascii="Gelasio" w:cs="Gelasio" w:eastAsia="Gelasio" w:hAnsi="Gelasio"/>
      <w:b/>
      <w:i/>
      <w:color w:val="000000"/>
      <w:sz w:val="24"/>
    </w:rPr>
  </w:style>
  <w:style w:customStyle="1" w:styleId="MWEAuthor" w:type="paragraph">
    <w:name w:val="MWE Author"/>
    <w:basedOn w:val="Normal"/>
    <w:pPr>
      <w:spacing w:after="0" w:before="0" w:line="240" w:lineRule="auto"/>
      <w:ind w:firstLine="0"/>
      <w:jc w:val="left"/>
    </w:pPr>
    <w:rPr>
      <w:rFonts w:ascii="Gelasio" w:cs="Gelasio" w:eastAsia="Gelasio" w:hAnsi="Gelasio"/>
      <w:b/>
      <w:i w:val="0"/>
      <w:color w:val="000000"/>
      <w:sz w:val="24"/>
    </w:rPr>
  </w:style>
  <w:style w:customStyle="1" w:styleId="MWEAffiliation" w:type="paragraph">
    <w:name w:val="MWE Affiliation"/>
    <w:basedOn w:val="Normal"/>
    <w:pPr>
      <w:spacing w:after="0" w:before="0" w:line="240" w:lineRule="auto"/>
      <w:ind w:firstLine="0"/>
      <w:jc w:val="left"/>
    </w:pPr>
    <w:rPr>
      <w:rFonts w:ascii="Gelasio" w:cs="Gelasio" w:eastAsia="Gelasio" w:hAnsi="Gelasio"/>
      <w:b/>
      <w:i w:val="0"/>
      <w:color w:val="000000"/>
      <w:sz w:val="24"/>
    </w:rPr>
  </w:style>
  <w:style w:customStyle="1" w:styleId="MWESpacer" w:type="paragraph">
    <w:name w:val="MWE Spacer"/>
    <w:basedOn w:val="Normal"/>
    <w:pPr>
      <w:spacing w:after="0" w:before="0" w:line="240" w:lineRule="auto"/>
      <w:ind w:firstLine="0"/>
      <w:jc w:val="left"/>
    </w:pPr>
    <w:rPr>
      <w:rFonts w:ascii="Gelasio" w:cs="Gelasio" w:eastAsia="Gelasio" w:hAnsi="Gelasio"/>
      <w:b w:val="0"/>
      <w:i w:val="0"/>
      <w:color w:val="000000"/>
      <w:sz w:val="24"/>
    </w:rPr>
  </w:style>
  <w:style w:customStyle="1" w:styleId="BlockText" w:type="paragraph">
    <w:name w:val="Block Text"/>
    <w:basedOn w:val="Normal"/>
    <w:pPr>
      <w:ind w:firstLine="0" w:left="480"/>
    </w:pPr>
    <w:rPr>
      <w:rFonts w:ascii="Gelasio" w:cs="Gelasio" w:eastAsia="Gelasio" w:hAnsi="Gelasio"/>
      <w:i w:val="0"/>
      <w:color w:val="000000"/>
      <w:sz w:val="24"/>
    </w:rPr>
  </w:style>
  <w:style w:customStyle="1" w:styleId="SourceCode" w:type="paragraph">
    <w:name w:val="Source Code"/>
    <w:basedOn w:val="Normal"/>
    <w:pPr>
      <w:spacing w:line="240" w:lineRule="auto"/>
      <w:ind w:firstLine="0" w:left="240"/>
    </w:pPr>
    <w:rPr>
      <w:rFonts w:ascii="DejaVu Sans Mono" w:cs="DejaVu Sans Mono" w:eastAsia="DejaVu Sans Mono" w:hAnsi="DejaVu Sans Mono"/>
      <w:color w:val="000000"/>
      <w:sz w:val="21"/>
    </w:rPr>
  </w:style>
  <w:style w:customStyle="1" w:styleId="VerbatimChar" w:type="character">
    <w:name w:val="Verbatim Char"/>
    <w:rPr>
      <w:rFonts w:ascii="DejaVu Sans Mono" w:cs="DejaVu Sans Mono" w:eastAsia="DejaVu Sans Mono" w:hAnsi="DejaVu Sans Mono"/>
      <w:color w:val="000000"/>
      <w:sz w:val="21"/>
    </w:rPr>
  </w:style>
  <w:style w:customStyle="1" w:styleId="ImageCaption" w:type="paragraph">
    <w:name w:val="Image Caption"/>
    <w:basedOn w:val="Normal"/>
    <w:pPr>
      <w:ind w:firstLine="0"/>
    </w:pPr>
    <w:rPr>
      <w:rFonts w:ascii="Gelasio" w:cs="Gelasio" w:eastAsia="Gelasio" w:hAnsi="Gelasio"/>
      <w:i/>
      <w:color w:val="000000"/>
      <w:sz w:val="21"/>
    </w:rPr>
  </w:style>
  <w:style w:customStyle="1" w:styleId="MWEReferences" w:type="paragraph">
    <w:name w:val="MWE References"/>
    <w:basedOn w:val="Normal"/>
    <w:pPr>
      <w:spacing w:line="540" w:lineRule="exact"/>
      <w:ind w:hanging="480" w:left="480"/>
    </w:pPr>
    <w:rPr>
      <w:rFonts w:ascii="Gelasio" w:cs="Gelasio" w:eastAsia="Gelasio" w:hAnsi="Gelasio"/>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Judgment-Locus Answerability Alignment</dc:title>
  <dc:creator>Huang Tzuyuan</dc:creator>
  <cp:keywords/>
  <dcterms:created xsi:type="dcterms:W3CDTF">2026-07-17T14:37:21Z</dcterms:created>
  <dcterms:modified xsi:type="dcterms:W3CDTF">2026-07-17T14:37:21Z</dcterms:modified>
  <cp:lastModifiedBy/>
  <dc:description/>
  <cp:category/>
  <dc:subject/>
  <dc:identifier/>
  <cp:revision>1</cp:revision>
</cp:coreProperties>
</file>

<file path=docProps/custom.xml><?xml version="1.0" encoding="utf-8"?>
<Properties xmlns="http://schemas.openxmlformats.org/officeDocument/2006/custom-properties" xmlns:vt="http://schemas.openxmlformats.org/officeDocument/2006/docPropsVTypes"/>
</file>