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MWESpacer"/>
        <w:spacing w:lineRule="exact" w:line="5500" w:before="0" w:after="0"/>
        <w:ind w:firstLine="0"/>
      </w:pPr>
    </w:p>
    <w:p>
      <w:pPr>
        <w:pStyle w:val="MWETitle"/>
      </w:pPr>
      <w:r>
        <w:t>Correct Summary Source Displacement Model</w:t>
      </w:r>
    </w:p>
    <w:p>
      <w:pPr>
        <w:pStyle w:val="MWESpacer"/>
        <w:spacing w:lineRule="exact" w:line="120" w:before="0" w:after="0"/>
        <w:ind w:firstLine="0"/>
      </w:pPr>
    </w:p>
    <w:p>
      <w:pPr>
        <w:pStyle w:val="MWESubtitle"/>
      </w:pPr>
      <w:r>
        <w:t>Accurate Compression, Operational Replacement, and the Loss of Source Function</w:t>
      </w:r>
    </w:p>
    <w:p>
      <w:pPr>
        <w:pStyle w:val="MWESpacer"/>
        <w:spacing w:lineRule="exact" w:line="360" w:before="0" w:after="0"/>
        <w:ind w:firstLine="0"/>
      </w:pPr>
    </w:p>
    <w:p>
      <w:pPr>
        <w:pStyle w:val="MWEMeta"/>
      </w:pPr>
      <w:r>
        <w:rPr>
          <w:b/>
          <w:i/>
        </w:rPr>
        <w:t xml:space="preserve">Version: </w:t>
      </w:r>
      <w:r>
        <w:rPr>
          <w:b w:val="0"/>
          <w:i/>
        </w:rPr>
        <w:t>0.1</w:t>
      </w:r>
    </w:p>
    <w:p>
      <w:pPr>
        <w:pStyle w:val="MWEMeta"/>
      </w:pPr>
      <w:r>
        <w:rPr>
          <w:b/>
          <w:i/>
        </w:rPr>
        <w:t xml:space="preserve">Date: </w:t>
      </w:r>
      <w:r>
        <w:rPr>
          <w:b w:val="0"/>
          <w:i/>
        </w:rPr>
        <w:t>July 2026</w:t>
      </w:r>
    </w:p>
    <w:p>
      <w:pPr>
        <w:pStyle w:val="MWEMeta"/>
      </w:pPr>
      <w:r>
        <w:rPr>
          <w:b/>
          <w:i/>
        </w:rPr>
        <w:t xml:space="preserve">Status: </w:t>
      </w:r>
      <w:r>
        <w:rPr>
          <w:b w:val="0"/>
          <w:i/>
        </w:rPr>
        <w:t>Preprint / OSF external-facing version</w:t>
      </w:r>
    </w:p>
    <w:p>
      <w:pPr>
        <w:pStyle w:val="MWEMeta"/>
      </w:pPr>
      <w:r>
        <w:rPr>
          <w:b/>
          <w:i/>
        </w:rPr>
        <w:t xml:space="preserve">Context: </w:t>
      </w:r>
      <w:r>
        <w:rPr>
          <w:b w:val="0"/>
          <w:i/>
        </w:rPr>
        <w:t>Meta-Writing Ecology</w:t>
      </w:r>
    </w:p>
    <w:p>
      <w:pPr>
        <w:pStyle w:val="MWEMeta"/>
      </w:pPr>
      <w:r>
        <w:rPr>
          <w:b/>
          <w:i/>
        </w:rPr>
        <w:t xml:space="preserve">Document Type: </w:t>
      </w:r>
      <w:r>
        <w:rPr>
          <w:b w:val="0"/>
          <w:i/>
        </w:rPr>
        <w:t>Conceptual Model</w:t>
      </w:r>
    </w:p>
    <w:p>
      <w:pPr>
        <w:pStyle w:val="MWESpacer"/>
        <w:spacing w:lineRule="exact" w:line="2800" w:before="0" w:after="0"/>
        <w:ind w:firstLine="0"/>
      </w:pPr>
    </w:p>
    <w:p>
      <w:pPr>
        <w:pStyle w:val="MWEAuthor"/>
      </w:pPr>
      <w:r>
        <w:t>Huang Tzuyuan</w:t>
      </w:r>
    </w:p>
    <w:p>
      <w:pPr>
        <w:pStyle w:val="MWESpacer"/>
      </w:pPr>
      <w:r>
        <w:br w:type="page"/>
      </w:r>
    </w:p>
    <w:p>
      <w:pPr>
        <w:pStyle w:val="Heading2"/>
      </w:pPr>
      <w:r>
        <w:t xml:space="preserve">Abstract</w:t>
      </w:r>
    </w:p>
    <w:p>
      <w:pPr>
        <w:pStyle w:val="FirstParagraph"/>
      </w:pPr>
      <w:r>
        <w:t xml:space="preserve">This document formalizes the</w:t>
      </w:r>
      <w:r>
        <w:t xml:space="preserve"> </w:t>
      </w:r>
      <w:r>
        <w:rPr>
          <w:bCs/>
          <w:b/>
        </w:rPr>
        <w:t xml:space="preserve">Correct Summary Source Displacement Model</w:t>
      </w:r>
      <w:r>
        <w:t xml:space="preserve"> </w:t>
      </w:r>
      <w:r>
        <w:t xml:space="preserve">as a structural framework for describing how an accurate summary can begin to replace the source it summarizes. The model addresses a condition that cannot be reduced to factual error. A summary may be correct within its stated scope and still displace the source’s contextual, evidential, procedural, interpretive, or archival function.</w:t>
      </w:r>
    </w:p>
    <w:p>
      <w:pPr>
        <w:pStyle w:val="BodyText"/>
      </w:pPr>
      <w:r>
        <w:t xml:space="preserve">Because the summary does not obviously contradict the source, users have little reason to return to the original. Accuracy lowers verification pressure. The summary becomes easier to cite, search, circulate, classify, and operationalize. Over time, the source can become practically absent even while remaining technically available. Qualifications, examples, argumentative sequence, uncertainty, provenance, and limits may evaporate without a visible mismatch.</w:t>
      </w:r>
    </w:p>
    <w:p>
      <w:pPr>
        <w:pStyle w:val="BodyText"/>
      </w:pPr>
      <w:r>
        <w:t xml:space="preserve">The model distinguishes compression from replacement, accuracy from source adequacy, and access from source contact. It identifies accuracy-based displacement, non-mismatch confidence, operational replacement, context evaporation, citation drift, and availability illusion.</w:t>
      </w:r>
    </w:p>
    <w:p>
      <w:pPr>
        <w:pStyle w:val="BodyText"/>
      </w:pPr>
      <w:r>
        <w:t xml:space="preserve">The framework is relevant to AI-generated summaries, search interfaces, policy briefs, dashboards, abstracts, review systems, and institutional knowledge bases. It does not claim that summaries are inherently harmful. It provides a method for determining when a summary is being used outside the function it can safely perform and when the original source must remain structurally active.</w:t>
      </w:r>
    </w:p>
    <w:p>
      <w:r>
        <w:pict>
          <v:rect style="width:0;height:1.5pt" o:hralign="center" o:hrstd="t" o:hr="t"/>
        </w:pict>
      </w:r>
    </w:p>
    <w:bookmarkEnd w:id="20"/>
    <w:bookmarkStart w:id="21" w:name="keywords"/>
    <w:p>
      <w:pPr>
        <w:pStyle w:val="Heading2"/>
      </w:pPr>
      <w:r>
        <w:t xml:space="preserve">Keywords</w:t>
      </w:r>
    </w:p>
    <w:p>
      <w:pPr>
        <w:pStyle w:val="FirstParagraph"/>
      </w:pPr>
      <w:r>
        <w:t xml:space="preserve">Correct Summary; Source Displacement; Accurate Compression; Operational Replacement; Context Evaporation; Citation Drift; Source Function; AI Summaries; Search Interfaces; Provenance; Verification; False Legibility; Knowledge Architecture; Meta-Writing Ecology.</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Most summary risks are described as omissions, distortions, or inaccuracies. These are important, but they leave another mechanism underexamined: the summary can be correct and still become the wrong object for the task.</w:t>
      </w:r>
    </w:p>
    <w:p>
      <w:pPr>
        <w:pStyle w:val="BodyText"/>
      </w:pPr>
      <w:r>
        <w:t xml:space="preserve">A concise representation reduces effort. It may expose the main claim, key result, or actionable point more efficiently than the source. That efficiency creates replacement pressure. Readers stop consulting the full text; systems index the summary more prominently; citations point to the compressed form; later summaries summarize earlier summaries. No single step requires a false statement.</w:t>
      </w:r>
    </w:p>
    <w:p>
      <w:pPr>
        <w:pStyle w:val="BodyText"/>
      </w:pPr>
      <w:r>
        <w:t xml:space="preserve">The resulting loss is functional. The source no longer performs the work of showing how a claim was established, bounded, qualified, or situated. This model makes that displacement visible without treating all compression as failure.</w:t>
      </w:r>
    </w:p>
    <w:p>
      <w:r>
        <w:pict>
          <v:rect style="width:0;height:1.5pt" o:hralign="center" o:hrstd="t" o:hr="t"/>
        </w:pict>
      </w:r>
    </w:p>
    <w:bookmarkEnd w:id="22"/>
    <w:bookmarkStart w:id="23" w:name="core-definition"/>
    <w:p>
      <w:pPr>
        <w:pStyle w:val="Heading2"/>
      </w:pPr>
      <w:r>
        <w:t xml:space="preserve">2. Core Definition</w:t>
      </w:r>
    </w:p>
    <w:p>
      <w:pPr>
        <w:pStyle w:val="FirstParagraph"/>
      </w:pPr>
      <w:r>
        <w:rPr>
          <w:bCs/>
          <w:b/>
        </w:rPr>
        <w:t xml:space="preserve">Correct Summary Source Displacement Model</w:t>
      </w:r>
      <w:r>
        <w:t xml:space="preserve"> </w:t>
      </w:r>
      <w:r>
        <w:t xml:space="preserve">describes a structural condition in which an accurate or sufficiently correct summary displaces the full source precisely because it does not produce an obvious mismatch signal.</w:t>
      </w:r>
    </w:p>
    <w:p>
      <w:pPr>
        <w:pStyle w:val="BodyText"/>
      </w:pPr>
      <w:r>
        <w:t xml:space="preserve">The model does not describe error, hallucination, distortion, or hostile simplification.</w:t>
      </w:r>
    </w:p>
    <w:p>
      <w:pPr>
        <w:pStyle w:val="BodyText"/>
      </w:pPr>
      <w:r>
        <w:t xml:space="preserve">It describes a more subtle failure:</w:t>
      </w:r>
    </w:p>
    <w:p>
      <w:pPr>
        <w:pStyle w:val="SourceCode"/>
      </w:pPr>
      <w:r>
        <w:rPr>
          <w:rStyle w:val="VerbatimChar"/>
        </w:rPr>
        <w:t xml:space="preserve">summary accuracy</w:t>
      </w:r>
      <w:r>
        <w:br/>
      </w:r>
      <w:r>
        <w:rPr>
          <w:rStyle w:val="VerbatimChar"/>
        </w:rPr>
        <w:t xml:space="preserve">→ mismatch field absent</w:t>
      </w:r>
      <w:r>
        <w:br/>
      </w:r>
      <w:r>
        <w:rPr>
          <w:rStyle w:val="VerbatimChar"/>
        </w:rPr>
        <w:t xml:space="preserve">→ reader confidence increases</w:t>
      </w:r>
      <w:r>
        <w:br/>
      </w:r>
      <w:r>
        <w:rPr>
          <w:rStyle w:val="VerbatimChar"/>
        </w:rPr>
        <w:t xml:space="preserve">→ source consultation becomes unnecessary</w:t>
      </w:r>
      <w:r>
        <w:br/>
      </w:r>
      <w:r>
        <w:rPr>
          <w:rStyle w:val="VerbatimChar"/>
        </w:rPr>
        <w:t xml:space="preserve">→ summary replaces the source as operational object</w:t>
      </w:r>
    </w:p>
    <w:p>
      <w:pPr>
        <w:pStyle w:val="FirstParagraph"/>
      </w:pPr>
      <w:r>
        <w:t xml:space="preserve">The central problem is that correctness lowers the pressure to return to the source.</w:t>
      </w:r>
    </w:p>
    <w:p>
      <w:pPr>
        <w:pStyle w:val="BodyText"/>
      </w:pPr>
      <w:r>
        <w:t xml:space="preserve">A bad summary may trigger doubt.</w:t>
      </w:r>
      <w:r>
        <w:br/>
      </w:r>
      <w:r>
        <w:t xml:space="preserve">A visibly incomplete summary may trigger verification.</w:t>
      </w:r>
      <w:r>
        <w:br/>
      </w:r>
      <w:r>
        <w:t xml:space="preserve">A misleading summary may eventually be challenged.</w:t>
      </w:r>
    </w:p>
    <w:p>
      <w:pPr>
        <w:pStyle w:val="BodyText"/>
      </w:pPr>
      <w:r>
        <w:t xml:space="preserve">A correct summary, however, can become structurally dangerous when its correctness allows it to function as a substitute for source encounter.</w:t>
      </w:r>
    </w:p>
    <w:p>
      <w:pPr>
        <w:pStyle w:val="BodyText"/>
      </w:pPr>
      <w:r>
        <w:t xml:space="preserve">The model applies when a summary is treated not as a navigational surface, but as a sufficient replacement for the source object, source field, provenance layer, interpretive sequence, or full evidentiary context.</w:t>
      </w:r>
    </w:p>
    <w:p>
      <w:r>
        <w:pict>
          <v:rect style="width:0;height:1.5pt" o:hralign="center" o:hrstd="t" o:hr="t"/>
        </w:pict>
      </w:r>
    </w:p>
    <w:bookmarkEnd w:id="23"/>
    <w:bookmarkStart w:id="24" w:name="classification-and-scope"/>
    <w:p>
      <w:pPr>
        <w:pStyle w:val="Heading2"/>
      </w:pPr>
      <w:r>
        <w:t xml:space="preserve">3. Classification and Scope</w:t>
      </w:r>
    </w:p>
    <w:p>
      <w:pPr>
        <w:pStyle w:val="FirstParagraph"/>
      </w:pPr>
      <w:r>
        <w:t xml:space="preserve">This document presents</w:t>
      </w:r>
      <w:r>
        <w:t xml:space="preserve"> </w:t>
      </w:r>
      <w:r>
        <w:rPr>
          <w:bCs/>
          <w:b/>
        </w:rPr>
        <w:t xml:space="preserve">Correct Summary Source Displacement Model</w:t>
      </w:r>
      <w:r>
        <w:t xml:space="preserve"> </w:t>
      </w:r>
      <w:r>
        <w:t xml:space="preserve">as an external-facing conceptual model. A model in this context identifies a repeatable structural mechanism, its components, sequence, failure patterns, and limits. It is not an empirical law, a predictive score, a software specification, or a compliance standard.</w:t>
      </w:r>
    </w:p>
    <w:p>
      <w:pPr>
        <w:pStyle w:val="BodyText"/>
      </w:pPr>
      <w:r>
        <w:t xml:space="preserve">The model is intended to support description, comparison, and diagnostic inquiry across domains. Application to a specific case requires domain evidence and should not be inferred from conceptual resemblance alone. The public version omits non-public editorial records, private source materials, non-public working materials, and implementation details.</w:t>
      </w:r>
    </w:p>
    <w:p>
      <w:r>
        <w:pict>
          <v:rect style="width:0;height:1.5pt" o:hralign="center" o:hrstd="t" o:hr="t"/>
        </w:pict>
      </w:r>
    </w:p>
    <w:bookmarkEnd w:id="24"/>
    <w:bookmarkStart w:id="25" w:name="central-distinctions"/>
    <w:p>
      <w:pPr>
        <w:pStyle w:val="Heading2"/>
      </w:pPr>
      <w:r>
        <w:t xml:space="preserve">4. Central Distinctions</w:t>
      </w:r>
    </w:p>
    <w:p>
      <w:pPr>
        <w:pStyle w:val="FirstParagraph"/>
      </w:pPr>
      <w:r>
        <w:t xml:space="preserve">This model distinguishes:</w:t>
      </w:r>
    </w:p>
    <w:p>
      <w:pPr>
        <w:pStyle w:val="SourceCode"/>
      </w:pPr>
      <w:r>
        <w:rPr>
          <w:rStyle w:val="VerbatimChar"/>
        </w:rPr>
        <w:t xml:space="preserve">incorrect summary</w:t>
      </w:r>
      <w:r>
        <w:br/>
      </w:r>
      <w:r>
        <w:rPr>
          <w:rStyle w:val="VerbatimChar"/>
        </w:rPr>
        <w:t xml:space="preserve">from</w:t>
      </w:r>
      <w:r>
        <w:br/>
      </w:r>
      <w:r>
        <w:rPr>
          <w:rStyle w:val="VerbatimChar"/>
        </w:rPr>
        <w:t xml:space="preserve">source-displacing correct summary</w:t>
      </w:r>
    </w:p>
    <w:p>
      <w:pPr>
        <w:pStyle w:val="FirstParagraph"/>
      </w:pPr>
      <w:r>
        <w:t xml:space="preserve">An incorrect summary fails because it misrepresents the source.</w:t>
      </w:r>
    </w:p>
    <w:p>
      <w:pPr>
        <w:pStyle w:val="BodyText"/>
      </w:pPr>
      <w:r>
        <w:t xml:space="preserve">A source-displacing correct summary fails because it becomes sufficient enough to replace source encounter.</w:t>
      </w:r>
    </w:p>
    <w:p>
      <w:pPr>
        <w:pStyle w:val="BodyText"/>
      </w:pPr>
      <w:r>
        <w:t xml:space="preserve">It also distinguishes:</w:t>
      </w:r>
    </w:p>
    <w:p>
      <w:pPr>
        <w:pStyle w:val="SourceCode"/>
      </w:pPr>
      <w:r>
        <w:rPr>
          <w:rStyle w:val="VerbatimChar"/>
        </w:rPr>
        <w:t xml:space="preserve">summary as guide</w:t>
      </w:r>
      <w:r>
        <w:br/>
      </w:r>
      <w:r>
        <w:rPr>
          <w:rStyle w:val="VerbatimChar"/>
        </w:rPr>
        <w:t xml:space="preserve">from</w:t>
      </w:r>
      <w:r>
        <w:br/>
      </w:r>
      <w:r>
        <w:rPr>
          <w:rStyle w:val="VerbatimChar"/>
        </w:rPr>
        <w:t xml:space="preserve">summary as substitute</w:t>
      </w:r>
    </w:p>
    <w:p>
      <w:pPr>
        <w:pStyle w:val="FirstParagraph"/>
      </w:pPr>
      <w:r>
        <w:t xml:space="preserve">A guide points back to the source.</w:t>
      </w:r>
      <w:r>
        <w:br/>
      </w:r>
      <w:r>
        <w:t xml:space="preserve">A substitute makes return unnecessary.</w:t>
      </w:r>
    </w:p>
    <w:p>
      <w:r>
        <w:pict>
          <v:rect style="width:0;height:1.5pt" o:hralign="center" o:hrstd="t" o:hr="t"/>
        </w:pict>
      </w:r>
    </w:p>
    <w:bookmarkEnd w:id="25"/>
    <w:bookmarkStart w:id="28" w:name="core-mechanism-and-structural-sequence"/>
    <w:p>
      <w:pPr>
        <w:pStyle w:val="Heading2"/>
      </w:pPr>
      <w:r>
        <w:t xml:space="preserve">5. Core Mechanism and Structural Sequence</w:t>
      </w:r>
    </w:p>
    <w:bookmarkStart w:id="26" w:name="core-mechanism"/>
    <w:p>
      <w:pPr>
        <w:pStyle w:val="Heading3"/>
      </w:pPr>
      <w:r>
        <w:t xml:space="preserve">5.1 Core Mechanism</w:t>
      </w:r>
    </w:p>
    <w:p>
      <w:pPr>
        <w:pStyle w:val="FirstParagraph"/>
      </w:pPr>
      <w:r>
        <w:t xml:space="preserve">The model operates through</w:t>
      </w:r>
      <w:r>
        <w:t xml:space="preserve"> </w:t>
      </w:r>
      <w:r>
        <w:rPr>
          <w:bCs/>
          <w:b/>
        </w:rPr>
        <w:t xml:space="preserve">non-mismatch displacement</w:t>
      </w:r>
      <w:r>
        <w:t xml:space="preserve">.</w:t>
      </w:r>
    </w:p>
    <w:p>
      <w:pPr>
        <w:pStyle w:val="BodyText"/>
      </w:pPr>
      <w:r>
        <w:t xml:space="preserve">A source object exists:</w:t>
      </w:r>
    </w:p>
    <w:p>
      <w:pPr>
        <w:pStyle w:val="SourceCode"/>
      </w:pPr>
      <w:r>
        <w:rPr>
          <w:rStyle w:val="VerbatimChar"/>
        </w:rPr>
        <w:t xml:space="preserve">text</w:t>
      </w:r>
      <w:r>
        <w:br/>
      </w:r>
      <w:r>
        <w:rPr>
          <w:rStyle w:val="VerbatimChar"/>
        </w:rPr>
        <w:t xml:space="preserve">archive</w:t>
      </w:r>
      <w:r>
        <w:br/>
      </w:r>
      <w:r>
        <w:rPr>
          <w:rStyle w:val="VerbatimChar"/>
        </w:rPr>
        <w:t xml:space="preserve">book</w:t>
      </w:r>
      <w:r>
        <w:br/>
      </w:r>
      <w:r>
        <w:rPr>
          <w:rStyle w:val="VerbatimChar"/>
        </w:rPr>
        <w:t xml:space="preserve">case</w:t>
      </w:r>
      <w:r>
        <w:br/>
      </w:r>
      <w:r>
        <w:rPr>
          <w:rStyle w:val="VerbatimChar"/>
        </w:rPr>
        <w:t xml:space="preserve">document</w:t>
      </w:r>
      <w:r>
        <w:br/>
      </w:r>
      <w:r>
        <w:rPr>
          <w:rStyle w:val="VerbatimChar"/>
        </w:rPr>
        <w:t xml:space="preserve">dataset</w:t>
      </w:r>
      <w:r>
        <w:br/>
      </w:r>
      <w:r>
        <w:rPr>
          <w:rStyle w:val="VerbatimChar"/>
        </w:rPr>
        <w:t xml:space="preserve">record</w:t>
      </w:r>
      <w:r>
        <w:br/>
      </w:r>
      <w:r>
        <w:rPr>
          <w:rStyle w:val="VerbatimChar"/>
        </w:rPr>
        <w:t xml:space="preserve">testimony</w:t>
      </w:r>
      <w:r>
        <w:br/>
      </w:r>
      <w:r>
        <w:rPr>
          <w:rStyle w:val="VerbatimChar"/>
        </w:rPr>
        <w:t xml:space="preserve">publication</w:t>
      </w:r>
      <w:r>
        <w:br/>
      </w:r>
      <w:r>
        <w:rPr>
          <w:rStyle w:val="VerbatimChar"/>
        </w:rPr>
        <w:t xml:space="preserve">catalogue entry</w:t>
      </w:r>
    </w:p>
    <w:p>
      <w:pPr>
        <w:pStyle w:val="FirstParagraph"/>
      </w:pPr>
      <w:r>
        <w:t xml:space="preserve">A summary is generated from or around the source.</w:t>
      </w:r>
    </w:p>
    <w:p>
      <w:pPr>
        <w:pStyle w:val="BodyText"/>
      </w:pPr>
      <w:r>
        <w:t xml:space="preserve">The summary is accurate enough to pass local evaluation.</w:t>
      </w:r>
      <w:r>
        <w:br/>
      </w:r>
      <w:r>
        <w:t xml:space="preserve">Because the summary is accurate, no visible failure appears.</w:t>
      </w:r>
      <w:r>
        <w:br/>
      </w:r>
      <w:r>
        <w:t xml:space="preserve">Because no failure appears, the reader does not experience verification pressure.</w:t>
      </w:r>
      <w:r>
        <w:br/>
      </w:r>
      <w:r>
        <w:t xml:space="preserve">Because no verification pressure appears, the full source is not consulted.</w:t>
      </w:r>
      <w:r>
        <w:br/>
      </w:r>
      <w:r>
        <w:t xml:space="preserve">Because the source is not consulted, the summary begins to function as the usable object.</w:t>
      </w:r>
    </w:p>
    <w:p>
      <w:pPr>
        <w:pStyle w:val="BodyText"/>
      </w:pPr>
      <w:r>
        <w:t xml:space="preserve">The source remains technically available, but operationally displaced.</w:t>
      </w:r>
    </w:p>
    <w:bookmarkEnd w:id="26"/>
    <w:bookmarkStart w:id="27" w:name="structural-sequence"/>
    <w:p>
      <w:pPr>
        <w:pStyle w:val="Heading3"/>
      </w:pPr>
      <w:r>
        <w:t xml:space="preserve">5.2 Structural Sequence</w:t>
      </w:r>
    </w:p>
    <w:p>
      <w:pPr>
        <w:pStyle w:val="SourceCode"/>
      </w:pPr>
      <w:r>
        <w:rPr>
          <w:rStyle w:val="VerbatimChar"/>
        </w:rPr>
        <w:t xml:space="preserve">1. A source exists with internal sequence, context, provenance, density, or structural placement.</w:t>
      </w:r>
      <w:r>
        <w:br/>
      </w:r>
      <w:r>
        <w:rPr>
          <w:rStyle w:val="VerbatimChar"/>
        </w:rPr>
        <w:t xml:space="preserve">2. A summary is generated.</w:t>
      </w:r>
      <w:r>
        <w:br/>
      </w:r>
      <w:r>
        <w:rPr>
          <w:rStyle w:val="VerbatimChar"/>
        </w:rPr>
        <w:t xml:space="preserve">3. The summary correctly captures enough surface content to be trusted.</w:t>
      </w:r>
      <w:r>
        <w:br/>
      </w:r>
      <w:r>
        <w:rPr>
          <w:rStyle w:val="VerbatimChar"/>
        </w:rPr>
        <w:t xml:space="preserve">4. No contradiction or visible error appears.</w:t>
      </w:r>
      <w:r>
        <w:br/>
      </w:r>
      <w:r>
        <w:rPr>
          <w:rStyle w:val="VerbatimChar"/>
        </w:rPr>
        <w:t xml:space="preserve">5. The reader, system, institution, or interface marks the summary as sufficient.</w:t>
      </w:r>
      <w:r>
        <w:br/>
      </w:r>
      <w:r>
        <w:rPr>
          <w:rStyle w:val="VerbatimChar"/>
        </w:rPr>
        <w:t xml:space="preserve">6. The source is no longer consulted.</w:t>
      </w:r>
      <w:r>
        <w:br/>
      </w:r>
      <w:r>
        <w:rPr>
          <w:rStyle w:val="VerbatimChar"/>
        </w:rPr>
        <w:t xml:space="preserve">7. The summary becomes the object that circulates, is cited, compared, stored, or acted upon.</w:t>
      </w:r>
      <w:r>
        <w:br/>
      </w:r>
      <w:r>
        <w:rPr>
          <w:rStyle w:val="VerbatimChar"/>
        </w:rPr>
        <w:t xml:space="preserve">8. The original source remains available in principle but absent in operation.</w:t>
      </w:r>
      <w:r>
        <w:br/>
      </w:r>
      <w:r>
        <w:rPr>
          <w:rStyle w:val="VerbatimChar"/>
        </w:rPr>
        <w:t xml:space="preserve">9. Source displacement occurs without appearing as distortion.</w:t>
      </w:r>
    </w:p>
    <w:p>
      <w:r>
        <w:pict>
          <v:rect style="width:0;height:1.5pt" o:hralign="center" o:hrstd="t" o:hr="t"/>
        </w:pict>
      </w:r>
    </w:p>
    <w:bookmarkEnd w:id="27"/>
    <w:bookmarkEnd w:id="28"/>
    <w:bookmarkStart w:id="29" w:name="structural-components"/>
    <w:p>
      <w:pPr>
        <w:pStyle w:val="Heading2"/>
      </w:pPr>
      <w:r>
        <w:t xml:space="preserve">6. Structural Components</w:t>
      </w:r>
    </w:p>
    <w:p>
      <w:pPr>
        <w:pStyle w:val="FirstParagraph"/>
      </w:pPr>
      <w:r>
        <w:t xml:space="preserve">The model contains six primary components:</w:t>
      </w:r>
    </w:p>
    <w:p>
      <w:pPr>
        <w:numPr>
          <w:ilvl w:val="0"/>
          <w:numId w:val="1001"/>
        </w:numPr>
        <w:pStyle w:val="Compact"/>
      </w:pPr>
      <w:r>
        <w:rPr>
          <w:bCs/>
          <w:b/>
        </w:rPr>
        <w:t xml:space="preserve">Source object</w:t>
      </w:r>
      <w:r>
        <w:t xml:space="preserve"> </w:t>
      </w:r>
      <w:r>
        <w:t xml:space="preserve">— the original text, dataset, record, argument, or evidence base.</w:t>
      </w:r>
    </w:p>
    <w:p>
      <w:pPr>
        <w:numPr>
          <w:ilvl w:val="0"/>
          <w:numId w:val="1001"/>
        </w:numPr>
        <w:pStyle w:val="Compact"/>
      </w:pPr>
      <w:r>
        <w:rPr>
          <w:bCs/>
          <w:b/>
        </w:rPr>
        <w:t xml:space="preserve">Summary surface</w:t>
      </w:r>
      <w:r>
        <w:t xml:space="preserve"> </w:t>
      </w:r>
      <w:r>
        <w:t xml:space="preserve">— the compressed representation presented for orientation or use.</w:t>
      </w:r>
    </w:p>
    <w:p>
      <w:pPr>
        <w:numPr>
          <w:ilvl w:val="0"/>
          <w:numId w:val="1001"/>
        </w:numPr>
        <w:pStyle w:val="Compact"/>
      </w:pPr>
      <w:r>
        <w:rPr>
          <w:bCs/>
          <w:b/>
        </w:rPr>
        <w:t xml:space="preserve">Source function</w:t>
      </w:r>
      <w:r>
        <w:t xml:space="preserve"> </w:t>
      </w:r>
      <w:r>
        <w:t xml:space="preserve">— the contextual, evidential, procedural, or archival work that only the source can perform.</w:t>
      </w:r>
    </w:p>
    <w:p>
      <w:pPr>
        <w:numPr>
          <w:ilvl w:val="0"/>
          <w:numId w:val="1001"/>
        </w:numPr>
        <w:pStyle w:val="Compact"/>
      </w:pPr>
      <w:r>
        <w:rPr>
          <w:bCs/>
          <w:b/>
        </w:rPr>
        <w:t xml:space="preserve">Replacement pressure</w:t>
      </w:r>
      <w:r>
        <w:t xml:space="preserve"> </w:t>
      </w:r>
      <w:r>
        <w:t xml:space="preserve">— the convenience, visibility, and circulation advantage that favors the summary.</w:t>
      </w:r>
    </w:p>
    <w:p>
      <w:pPr>
        <w:numPr>
          <w:ilvl w:val="0"/>
          <w:numId w:val="1001"/>
        </w:numPr>
        <w:pStyle w:val="Compact"/>
      </w:pPr>
      <w:r>
        <w:rPr>
          <w:bCs/>
          <w:b/>
        </w:rPr>
        <w:t xml:space="preserve">Return path</w:t>
      </w:r>
      <w:r>
        <w:t xml:space="preserve"> </w:t>
      </w:r>
      <w:r>
        <w:t xml:space="preserve">— the practical ability to reach and inspect the source from the summary.</w:t>
      </w:r>
    </w:p>
    <w:p>
      <w:pPr>
        <w:numPr>
          <w:ilvl w:val="0"/>
          <w:numId w:val="1001"/>
        </w:numPr>
        <w:pStyle w:val="Compact"/>
      </w:pPr>
      <w:r>
        <w:rPr>
          <w:bCs/>
          <w:b/>
        </w:rPr>
        <w:t xml:space="preserve">Use boundary</w:t>
      </w:r>
      <w:r>
        <w:t xml:space="preserve"> </w:t>
      </w:r>
      <w:r>
        <w:t xml:space="preserve">— the point beyond which summary adequacy no longer supports the task.</w:t>
      </w:r>
    </w:p>
    <w:p>
      <w:pPr>
        <w:pStyle w:val="FirstParagraph"/>
      </w:pPr>
      <w:r>
        <w:t xml:space="preserve">Displacement occurs when the summary becomes operationally sufficient in appearance while the source functions required by the task remain inactive.</w:t>
      </w:r>
    </w:p>
    <w:p>
      <w:r>
        <w:pict>
          <v:rect style="width:0;height:1.5pt" o:hralign="center" o:hrstd="t" o:hr="t"/>
        </w:pict>
      </w:r>
    </w:p>
    <w:bookmarkEnd w:id="29"/>
    <w:bookmarkStart w:id="36" w:name="primary-failure-patterns"/>
    <w:p>
      <w:pPr>
        <w:pStyle w:val="Heading2"/>
      </w:pPr>
      <w:r>
        <w:t xml:space="preserve">7. Primary Failure Patterns</w:t>
      </w:r>
    </w:p>
    <w:bookmarkStart w:id="30" w:name="accuracy-based-displacement"/>
    <w:p>
      <w:pPr>
        <w:pStyle w:val="Heading4"/>
      </w:pPr>
      <w:r>
        <w:t xml:space="preserve">1. Accuracy-Based Displacement</w:t>
      </w:r>
    </w:p>
    <w:p>
      <w:pPr>
        <w:pStyle w:val="SourceCode"/>
      </w:pPr>
      <w:r>
        <w:rPr>
          <w:rStyle w:val="VerbatimChar"/>
        </w:rPr>
        <w:t xml:space="preserve">summary is accurate</w:t>
      </w:r>
      <w:r>
        <w:br/>
      </w:r>
      <w:r>
        <w:rPr>
          <w:rStyle w:val="VerbatimChar"/>
        </w:rPr>
        <w:t xml:space="preserve">→ no verification pressure appears</w:t>
      </w:r>
      <w:r>
        <w:br/>
      </w:r>
      <w:r>
        <w:rPr>
          <w:rStyle w:val="VerbatimChar"/>
        </w:rPr>
        <w:t xml:space="preserve">→ source consultation declines</w:t>
      </w:r>
    </w:p>
    <w:p>
      <w:pPr>
        <w:pStyle w:val="FirstParagraph"/>
      </w:pPr>
      <w:r>
        <w:t xml:space="preserve">The summary’s reliability enables displacement.</w:t>
      </w:r>
    </w:p>
    <w:bookmarkEnd w:id="30"/>
    <w:bookmarkStart w:id="31" w:name="non-mismatch-confidence"/>
    <w:p>
      <w:pPr>
        <w:pStyle w:val="Heading4"/>
      </w:pPr>
      <w:r>
        <w:t xml:space="preserve">2. Non-Mismatch Confidence</w:t>
      </w:r>
    </w:p>
    <w:p>
      <w:pPr>
        <w:pStyle w:val="SourceCode"/>
      </w:pPr>
      <w:r>
        <w:rPr>
          <w:rStyle w:val="VerbatimChar"/>
        </w:rPr>
        <w:t xml:space="preserve">summary matches expected content</w:t>
      </w:r>
      <w:r>
        <w:br/>
      </w:r>
      <w:r>
        <w:rPr>
          <w:rStyle w:val="VerbatimChar"/>
        </w:rPr>
        <w:t xml:space="preserve">→ reader confidence rises</w:t>
      </w:r>
      <w:r>
        <w:br/>
      </w:r>
      <w:r>
        <w:rPr>
          <w:rStyle w:val="VerbatimChar"/>
        </w:rPr>
        <w:t xml:space="preserve">→ source return is treated as redundant</w:t>
      </w:r>
    </w:p>
    <w:p>
      <w:pPr>
        <w:pStyle w:val="FirstParagraph"/>
      </w:pPr>
      <w:r>
        <w:t xml:space="preserve">Confidence is produced not by source encounter, but by absence of mismatch.</w:t>
      </w:r>
    </w:p>
    <w:bookmarkEnd w:id="31"/>
    <w:bookmarkStart w:id="32" w:name="operational-replacement"/>
    <w:p>
      <w:pPr>
        <w:pStyle w:val="Heading4"/>
      </w:pPr>
      <w:r>
        <w:t xml:space="preserve">3. Operational Replacement</w:t>
      </w:r>
    </w:p>
    <w:p>
      <w:pPr>
        <w:pStyle w:val="SourceCode"/>
      </w:pPr>
      <w:r>
        <w:rPr>
          <w:rStyle w:val="VerbatimChar"/>
        </w:rPr>
        <w:t xml:space="preserve">summary becomes quotable / searchable / reusable</w:t>
      </w:r>
      <w:r>
        <w:br/>
      </w:r>
      <w:r>
        <w:rPr>
          <w:rStyle w:val="VerbatimChar"/>
        </w:rPr>
        <w:t xml:space="preserve">→ source becomes background object</w:t>
      </w:r>
      <w:r>
        <w:br/>
      </w:r>
      <w:r>
        <w:rPr>
          <w:rStyle w:val="VerbatimChar"/>
        </w:rPr>
        <w:t xml:space="preserve">→ later users interact with the summary layer only</w:t>
      </w:r>
    </w:p>
    <w:p>
      <w:pPr>
        <w:pStyle w:val="FirstParagraph"/>
      </w:pPr>
      <w:r>
        <w:t xml:space="preserve">The summary becomes the operational text.</w:t>
      </w:r>
    </w:p>
    <w:bookmarkEnd w:id="32"/>
    <w:bookmarkStart w:id="33" w:name="context-evaporation"/>
    <w:p>
      <w:pPr>
        <w:pStyle w:val="Heading4"/>
      </w:pPr>
      <w:r>
        <w:t xml:space="preserve">4. Context Evaporation</w:t>
      </w:r>
    </w:p>
    <w:p>
      <w:pPr>
        <w:pStyle w:val="SourceCode"/>
      </w:pPr>
      <w:r>
        <w:rPr>
          <w:rStyle w:val="VerbatimChar"/>
        </w:rPr>
        <w:t xml:space="preserve">summary preserves content</w:t>
      </w:r>
      <w:r>
        <w:br/>
      </w:r>
      <w:r>
        <w:rPr>
          <w:rStyle w:val="VerbatimChar"/>
        </w:rPr>
        <w:t xml:space="preserve">→ source sequence, density, tone, boundary, or provenance disappears</w:t>
      </w:r>
      <w:r>
        <w:br/>
      </w:r>
      <w:r>
        <w:rPr>
          <w:rStyle w:val="VerbatimChar"/>
        </w:rPr>
        <w:t xml:space="preserve">→ interpretation loses structural context</w:t>
      </w:r>
    </w:p>
    <w:p>
      <w:pPr>
        <w:pStyle w:val="FirstParagraph"/>
      </w:pPr>
      <w:r>
        <w:t xml:space="preserve">Content survives while source-field conditions vanish.</w:t>
      </w:r>
    </w:p>
    <w:bookmarkEnd w:id="33"/>
    <w:bookmarkStart w:id="34" w:name="citation-drift"/>
    <w:p>
      <w:pPr>
        <w:pStyle w:val="Heading4"/>
      </w:pPr>
      <w:r>
        <w:t xml:space="preserve">5. Citation Drift</w:t>
      </w:r>
    </w:p>
    <w:p>
      <w:pPr>
        <w:pStyle w:val="SourceCode"/>
      </w:pPr>
      <w:r>
        <w:rPr>
          <w:rStyle w:val="VerbatimChar"/>
        </w:rPr>
        <w:t xml:space="preserve">summary circulates</w:t>
      </w:r>
      <w:r>
        <w:br/>
      </w:r>
      <w:r>
        <w:rPr>
          <w:rStyle w:val="VerbatimChar"/>
        </w:rPr>
        <w:t xml:space="preserve">→ users cite or reference based on summary knowledge</w:t>
      </w:r>
      <w:r>
        <w:br/>
      </w:r>
      <w:r>
        <w:rPr>
          <w:rStyle w:val="VerbatimChar"/>
        </w:rPr>
        <w:t xml:space="preserve">→ citation appears source-based while reading remains summary-based</w:t>
      </w:r>
    </w:p>
    <w:p>
      <w:pPr>
        <w:pStyle w:val="FirstParagraph"/>
      </w:pPr>
      <w:r>
        <w:t xml:space="preserve">The citation points to a source that has not structurally been encountered.</w:t>
      </w:r>
    </w:p>
    <w:bookmarkEnd w:id="34"/>
    <w:bookmarkStart w:id="35" w:name="availability-illusion"/>
    <w:p>
      <w:pPr>
        <w:pStyle w:val="Heading4"/>
      </w:pPr>
      <w:r>
        <w:t xml:space="preserve">6. Availability Illusion</w:t>
      </w:r>
    </w:p>
    <w:p>
      <w:pPr>
        <w:pStyle w:val="SourceCode"/>
      </w:pPr>
      <w:r>
        <w:rPr>
          <w:rStyle w:val="VerbatimChar"/>
        </w:rPr>
        <w:t xml:space="preserve">source remains available</w:t>
      </w:r>
      <w:r>
        <w:br/>
      </w:r>
      <w:r>
        <w:rPr>
          <w:rStyle w:val="VerbatimChar"/>
        </w:rPr>
        <w:t xml:space="preserve">→ summary is treated as sufficient evidence of source access</w:t>
      </w:r>
      <w:r>
        <w:br/>
      </w:r>
      <w:r>
        <w:rPr>
          <w:rStyle w:val="VerbatimChar"/>
        </w:rPr>
        <w:t xml:space="preserve">→ availability is confused with consultation</w:t>
      </w:r>
    </w:p>
    <w:p>
      <w:pPr>
        <w:pStyle w:val="FirstParagraph"/>
      </w:pPr>
      <w:r>
        <w:t xml:space="preserve">The existence of the source is mistaken for source use.</w:t>
      </w:r>
    </w:p>
    <w:p>
      <w:r>
        <w:pict>
          <v:rect style="width:0;height:1.5pt" o:hralign="center" o:hrstd="t" o:hr="t"/>
        </w:pict>
      </w:r>
    </w:p>
    <w:bookmarkEnd w:id="35"/>
    <w:bookmarkEnd w:id="36"/>
    <w:bookmarkStart w:id="37" w:name="operational-evaluation"/>
    <w:p>
      <w:pPr>
        <w:pStyle w:val="Heading2"/>
      </w:pPr>
      <w:r>
        <w:t xml:space="preserve">8. Operational Evaluation</w:t>
      </w:r>
    </w:p>
    <w:p>
      <w:pPr>
        <w:numPr>
          <w:ilvl w:val="0"/>
          <w:numId w:val="1002"/>
        </w:numPr>
        <w:pStyle w:val="Compact"/>
      </w:pPr>
      <w:r>
        <w:t xml:space="preserve">What function is the summary expected to perform: orientation, evidence, citation, decision, or implementation?</w:t>
      </w:r>
    </w:p>
    <w:p>
      <w:pPr>
        <w:numPr>
          <w:ilvl w:val="0"/>
          <w:numId w:val="1002"/>
        </w:numPr>
        <w:pStyle w:val="Compact"/>
      </w:pPr>
      <w:r>
        <w:t xml:space="preserve">Which source functions are lost in compression?</w:t>
      </w:r>
    </w:p>
    <w:p>
      <w:pPr>
        <w:numPr>
          <w:ilvl w:val="0"/>
          <w:numId w:val="1002"/>
        </w:numPr>
        <w:pStyle w:val="Compact"/>
      </w:pPr>
      <w:r>
        <w:t xml:space="preserve">Can the user easily return from the summary to the source?</w:t>
      </w:r>
    </w:p>
    <w:p>
      <w:pPr>
        <w:numPr>
          <w:ilvl w:val="0"/>
          <w:numId w:val="1002"/>
        </w:numPr>
        <w:pStyle w:val="Compact"/>
      </w:pPr>
      <w:r>
        <w:t xml:space="preserve">Is the summary being cited or acted upon as if it were the source?</w:t>
      </w:r>
    </w:p>
    <w:p>
      <w:pPr>
        <w:numPr>
          <w:ilvl w:val="0"/>
          <w:numId w:val="1002"/>
        </w:numPr>
        <w:pStyle w:val="Compact"/>
      </w:pPr>
      <w:r>
        <w:t xml:space="preserve">Do later summaries rely on the compressed form rather than the original?</w:t>
      </w:r>
    </w:p>
    <w:p>
      <w:pPr>
        <w:numPr>
          <w:ilvl w:val="0"/>
          <w:numId w:val="1002"/>
        </w:numPr>
        <w:pStyle w:val="Compact"/>
      </w:pPr>
      <w:r>
        <w:t xml:space="preserve">Are qualifications, uncertainty, sequence, and provenance still visible?</w:t>
      </w:r>
    </w:p>
    <w:p>
      <w:pPr>
        <w:numPr>
          <w:ilvl w:val="0"/>
          <w:numId w:val="1002"/>
        </w:numPr>
        <w:pStyle w:val="Compact"/>
      </w:pPr>
      <w:r>
        <w:t xml:space="preserve">Does technical source availability conceal practical source absence?</w:t>
      </w:r>
    </w:p>
    <w:p>
      <w:pPr>
        <w:numPr>
          <w:ilvl w:val="0"/>
          <w:numId w:val="1002"/>
        </w:numPr>
        <w:pStyle w:val="Compact"/>
      </w:pPr>
      <w:r>
        <w:t xml:space="preserve">What would require direct source contact in this context?</w:t>
      </w:r>
    </w:p>
    <w:p>
      <w:r>
        <w:pict>
          <v:rect style="width:0;height:1.5pt" o:hralign="center" o:hrstd="t" o:hr="t"/>
        </w:pict>
      </w:r>
    </w:p>
    <w:bookmarkEnd w:id="37"/>
    <w:bookmarkStart w:id="43" w:name="application-domains"/>
    <w:p>
      <w:pPr>
        <w:pStyle w:val="Heading2"/>
      </w:pPr>
      <w:r>
        <w:t xml:space="preserve">9. Application Domains</w:t>
      </w:r>
    </w:p>
    <w:bookmarkStart w:id="38" w:name="ai-and-search-summaries"/>
    <w:p>
      <w:pPr>
        <w:pStyle w:val="Heading3"/>
      </w:pPr>
      <w:r>
        <w:t xml:space="preserve">1. AI and search summaries</w:t>
      </w:r>
    </w:p>
    <w:p>
      <w:pPr>
        <w:pStyle w:val="FirstParagraph"/>
      </w:pPr>
      <w:r>
        <w:t xml:space="preserve">Generated answers can become the practical endpoint of inquiry even when the linked source remains available.</w:t>
      </w:r>
    </w:p>
    <w:bookmarkEnd w:id="38"/>
    <w:bookmarkStart w:id="39" w:name="policy-and-executive-briefs"/>
    <w:p>
      <w:pPr>
        <w:pStyle w:val="Heading3"/>
      </w:pPr>
      <w:r>
        <w:t xml:space="preserve">2. Policy and executive briefs</w:t>
      </w:r>
    </w:p>
    <w:p>
      <w:pPr>
        <w:pStyle w:val="FirstParagraph"/>
      </w:pPr>
      <w:r>
        <w:t xml:space="preserve">A decision summary may preserve recommendations while losing evidence limits, implementation conditions, or disagreement.</w:t>
      </w:r>
    </w:p>
    <w:bookmarkEnd w:id="39"/>
    <w:bookmarkStart w:id="40" w:name="academic-abstracts-and-reviews"/>
    <w:p>
      <w:pPr>
        <w:pStyle w:val="Heading3"/>
      </w:pPr>
      <w:r>
        <w:t xml:space="preserve">3. Academic abstracts and reviews</w:t>
      </w:r>
    </w:p>
    <w:p>
      <w:pPr>
        <w:pStyle w:val="FirstParagraph"/>
      </w:pPr>
      <w:r>
        <w:t xml:space="preserve">Compressed accounts can become citation substitutes for works that were not directly consulted.</w:t>
      </w:r>
    </w:p>
    <w:bookmarkEnd w:id="40"/>
    <w:bookmarkStart w:id="41" w:name="dashboards-and-indicators"/>
    <w:p>
      <w:pPr>
        <w:pStyle w:val="Heading3"/>
      </w:pPr>
      <w:r>
        <w:t xml:space="preserve">4. Dashboards and indicators</w:t>
      </w:r>
    </w:p>
    <w:p>
      <w:pPr>
        <w:pStyle w:val="FirstParagraph"/>
      </w:pPr>
      <w:r>
        <w:t xml:space="preserve">A metric summary may replace the underlying dataset, method, and contextual explanation.</w:t>
      </w:r>
    </w:p>
    <w:bookmarkEnd w:id="41"/>
    <w:bookmarkStart w:id="42" w:name="institutional-knowledge-systems"/>
    <w:p>
      <w:pPr>
        <w:pStyle w:val="Heading3"/>
      </w:pPr>
      <w:r>
        <w:t xml:space="preserve">5. Institutional knowledge systems</w:t>
      </w:r>
    </w:p>
    <w:p>
      <w:pPr>
        <w:pStyle w:val="FirstParagraph"/>
      </w:pPr>
      <w:r>
        <w:t xml:space="preserve">Frequently reused summaries can become canonical while the source version, revision history, and boundary conditions recede.</w:t>
      </w:r>
    </w:p>
    <w:p>
      <w:r>
        <w:pict>
          <v:rect style="width:0;height:1.5pt" o:hralign="center" o:hrstd="t" o:hr="t"/>
        </w:pict>
      </w:r>
    </w:p>
    <w:bookmarkEnd w:id="42"/>
    <w:bookmarkEnd w:id="43"/>
    <w:bookmarkStart w:id="49" w:name="relations-to-adjacent-public-frameworks"/>
    <w:p>
      <w:pPr>
        <w:pStyle w:val="Heading2"/>
      </w:pPr>
      <w:r>
        <w:t xml:space="preserve">10. Relations to Adjacent Public Frameworks</w:t>
      </w:r>
    </w:p>
    <w:bookmarkStart w:id="44" w:name="provenancevalidity-separation-model"/>
    <w:p>
      <w:pPr>
        <w:pStyle w:val="Heading3"/>
      </w:pPr>
      <w:r>
        <w:t xml:space="preserve">1. Provenance–Validity Separation Model</w:t>
      </w:r>
    </w:p>
    <w:p>
      <w:pPr>
        <w:pStyle w:val="FirstParagraph"/>
      </w:pPr>
      <w:r>
        <w:t xml:space="preserve">Provenance–Validity Separation Model separates traceable origin from the validity, adequacy, or warranted use of an output. The present entry extends that distinction into a more specific interface, research, or responsibility condition.</w:t>
      </w:r>
    </w:p>
    <w:bookmarkEnd w:id="44"/>
    <w:bookmarkStart w:id="45" w:name="false-legibility-model"/>
    <w:p>
      <w:pPr>
        <w:pStyle w:val="Heading3"/>
      </w:pPr>
      <w:r>
        <w:t xml:space="preserve">2. False Legibility Model</w:t>
      </w:r>
    </w:p>
    <w:p>
      <w:pPr>
        <w:pStyle w:val="FirstParagraph"/>
      </w:pPr>
      <w:r>
        <w:t xml:space="preserve">False Legibility Model describes how readable surfaces can be accepted before their underlying structure is understood. The present entry identifies a concrete way in which fluency, familiarity, or interface clarity can conceal an unresolved boundary.</w:t>
      </w:r>
    </w:p>
    <w:bookmarkEnd w:id="45"/>
    <w:bookmarkStart w:id="46" w:name="premature-circulation-model"/>
    <w:p>
      <w:pPr>
        <w:pStyle w:val="Heading3"/>
      </w:pPr>
      <w:r>
        <w:t xml:space="preserve">3. Premature Circulation Model</w:t>
      </w:r>
    </w:p>
    <w:p>
      <w:pPr>
        <w:pStyle w:val="FirstParagraph"/>
      </w:pPr>
      <w:r>
        <w:t xml:space="preserve">Premature Circulation Model describes movement before adequate recognition, verification, or accountability has formed. The present entry identifies what is lost when the object begins to circulate under incomplete conditions.</w:t>
      </w:r>
    </w:p>
    <w:bookmarkEnd w:id="46"/>
    <w:bookmarkStart w:id="47" w:name="ai-readable-knowledge-architecture"/>
    <w:p>
      <w:pPr>
        <w:pStyle w:val="Heading3"/>
      </w:pPr>
      <w:r>
        <w:t xml:space="preserve">4. AI-Readable Knowledge Architecture</w:t>
      </w:r>
    </w:p>
    <w:p>
      <w:pPr>
        <w:pStyle w:val="FirstParagraph"/>
      </w:pPr>
      <w:r>
        <w:t xml:space="preserve">AI-Readable Knowledge Architecture concerns the structuring of public knowledge so that machine-mediated reading does not erase provenance, limits, or relation status. The present entry supplies a boundary that such architecture should keep visible.</w:t>
      </w:r>
    </w:p>
    <w:bookmarkEnd w:id="47"/>
    <w:bookmarkStart w:id="48" w:name="verification-labor-compression"/>
    <w:p>
      <w:pPr>
        <w:pStyle w:val="Heading3"/>
      </w:pPr>
      <w:r>
        <w:t xml:space="preserve">5. Verification Labor Compression</w:t>
      </w:r>
    </w:p>
    <w:p>
      <w:pPr>
        <w:pStyle w:val="FirstParagraph"/>
      </w:pPr>
      <w:r>
        <w:t xml:space="preserve">Verification Labor Compression describes how accelerated production can move validation work downstream, hide it, or concentrate it at a final review node. The present entry identifies the particular object or boundary that the verification work must preserve.</w:t>
      </w:r>
    </w:p>
    <w:p>
      <w:r>
        <w:pict>
          <v:rect style="width:0;height:1.5pt" o:hralign="center" o:hrstd="t" o:hr="t"/>
        </w:pict>
      </w:r>
    </w:p>
    <w:bookmarkEnd w:id="48"/>
    <w:bookmarkEnd w:id="49"/>
    <w:bookmarkStart w:id="52" w:name="X673d9de5858afc14d9174904e92e64ad8dc9e49"/>
    <w:p>
      <w:pPr>
        <w:pStyle w:val="Heading2"/>
      </w:pPr>
      <w:r>
        <w:t xml:space="preserve">11. Boundary Conditions and Non-Applicability</w:t>
      </w:r>
    </w:p>
    <w:bookmarkStart w:id="50" w:name="boundary-conditions"/>
    <w:p>
      <w:pPr>
        <w:pStyle w:val="Heading3"/>
      </w:pPr>
      <w:r>
        <w:t xml:space="preserve">11.1 Boundary Conditions</w:t>
      </w:r>
    </w:p>
    <w:p>
      <w:pPr>
        <w:pStyle w:val="FirstParagraph"/>
      </w:pPr>
      <w:r>
        <w:t xml:space="preserve">This model applies when:</w:t>
      </w:r>
    </w:p>
    <w:p>
      <w:pPr>
        <w:pStyle w:val="SourceCode"/>
      </w:pPr>
      <w:r>
        <w:rPr>
          <w:rStyle w:val="VerbatimChar"/>
        </w:rPr>
        <w:t xml:space="preserve">1. A source object exists.</w:t>
      </w:r>
      <w:r>
        <w:br/>
      </w:r>
      <w:r>
        <w:rPr>
          <w:rStyle w:val="VerbatimChar"/>
        </w:rPr>
        <w:t xml:space="preserve">2. A summary or compressed representation is produced.</w:t>
      </w:r>
      <w:r>
        <w:br/>
      </w:r>
      <w:r>
        <w:rPr>
          <w:rStyle w:val="VerbatimChar"/>
        </w:rPr>
        <w:t xml:space="preserve">3. The summary is sufficiently correct to avoid mismatch detection.</w:t>
      </w:r>
      <w:r>
        <w:br/>
      </w:r>
      <w:r>
        <w:rPr>
          <w:rStyle w:val="VerbatimChar"/>
        </w:rPr>
        <w:t xml:space="preserve">4. The summary becomes usable for later citation, decision, classification, memory, or interpretation.</w:t>
      </w:r>
      <w:r>
        <w:br/>
      </w:r>
      <w:r>
        <w:rPr>
          <w:rStyle w:val="VerbatimChar"/>
        </w:rPr>
        <w:t xml:space="preserve">5. Source consultation becomes unnecessary or unlikely.</w:t>
      </w:r>
      <w:r>
        <w:br/>
      </w:r>
      <w:r>
        <w:rPr>
          <w:rStyle w:val="VerbatimChar"/>
        </w:rPr>
        <w:t xml:space="preserve">6. The source remains present as nominal origin but absent as operational reference.</w:t>
      </w:r>
    </w:p>
    <w:p>
      <w:pPr>
        <w:pStyle w:val="FirstParagraph"/>
      </w:pPr>
      <w:r>
        <w:t xml:space="preserve">This model is weak or absent when:</w:t>
      </w:r>
    </w:p>
    <w:p>
      <w:pPr>
        <w:pStyle w:val="SourceCode"/>
      </w:pPr>
      <w:r>
        <w:rPr>
          <w:rStyle w:val="VerbatimChar"/>
        </w:rPr>
        <w:t xml:space="preserve">1. The summary is explicitly marked as incomplete.</w:t>
      </w:r>
      <w:r>
        <w:br/>
      </w:r>
      <w:r>
        <w:rPr>
          <w:rStyle w:val="VerbatimChar"/>
        </w:rPr>
        <w:t xml:space="preserve">2. The summary is only used as an index or navigation aid.</w:t>
      </w:r>
      <w:r>
        <w:br/>
      </w:r>
      <w:r>
        <w:rPr>
          <w:rStyle w:val="VerbatimChar"/>
        </w:rPr>
        <w:t xml:space="preserve">3. Source consultation remains required.</w:t>
      </w:r>
      <w:r>
        <w:br/>
      </w:r>
      <w:r>
        <w:rPr>
          <w:rStyle w:val="VerbatimChar"/>
        </w:rPr>
        <w:t xml:space="preserve">4. The summary includes strong provenance and return signals.</w:t>
      </w:r>
      <w:r>
        <w:br/>
      </w:r>
      <w:r>
        <w:rPr>
          <w:rStyle w:val="VerbatimChar"/>
        </w:rPr>
        <w:t xml:space="preserve">5. The source has no additional relevant density beyond the summary.</w:t>
      </w:r>
      <w:r>
        <w:br/>
      </w:r>
      <w:r>
        <w:rPr>
          <w:rStyle w:val="VerbatimChar"/>
        </w:rPr>
        <w:t xml:space="preserve">6. Later use does not depend on source-level interpretation.</w:t>
      </w:r>
    </w:p>
    <w:bookmarkEnd w:id="50"/>
    <w:bookmarkStart w:id="51" w:name="non-applicability"/>
    <w:p>
      <w:pPr>
        <w:pStyle w:val="Heading3"/>
      </w:pPr>
      <w:r>
        <w:t xml:space="preserve">11.2 Non-Applicability</w:t>
      </w:r>
    </w:p>
    <w:p>
      <w:pPr>
        <w:pStyle w:val="FirstParagraph"/>
      </w:pPr>
      <w:r>
        <w:t xml:space="preserve">This model should not be reduced to:</w:t>
      </w:r>
    </w:p>
    <w:p>
      <w:pPr>
        <w:pStyle w:val="SourceCode"/>
      </w:pPr>
      <w:r>
        <w:rPr>
          <w:rStyle w:val="VerbatimChar"/>
        </w:rPr>
        <w:t xml:space="preserve">bad summary</w:t>
      </w:r>
      <w:r>
        <w:br/>
      </w:r>
      <w:r>
        <w:rPr>
          <w:rStyle w:val="VerbatimChar"/>
        </w:rPr>
        <w:t xml:space="preserve">misinformation</w:t>
      </w:r>
      <w:r>
        <w:br/>
      </w:r>
      <w:r>
        <w:rPr>
          <w:rStyle w:val="VerbatimChar"/>
        </w:rPr>
        <w:t xml:space="preserve">hallucination</w:t>
      </w:r>
      <w:r>
        <w:br/>
      </w:r>
      <w:r>
        <w:rPr>
          <w:rStyle w:val="VerbatimChar"/>
        </w:rPr>
        <w:t xml:space="preserve">low-quality compression</w:t>
      </w:r>
      <w:r>
        <w:br/>
      </w:r>
      <w:r>
        <w:rPr>
          <w:rStyle w:val="VerbatimChar"/>
        </w:rPr>
        <w:t xml:space="preserve">ordinary abstraction</w:t>
      </w:r>
      <w:r>
        <w:br/>
      </w:r>
      <w:r>
        <w:rPr>
          <w:rStyle w:val="VerbatimChar"/>
        </w:rPr>
        <w:t xml:space="preserve">study notes</w:t>
      </w:r>
      <w:r>
        <w:br/>
      </w:r>
      <w:r>
        <w:rPr>
          <w:rStyle w:val="VerbatimChar"/>
        </w:rPr>
        <w:t xml:space="preserve">executive summary</w:t>
      </w:r>
      <w:r>
        <w:br/>
      </w:r>
      <w:r>
        <w:rPr>
          <w:rStyle w:val="VerbatimChar"/>
        </w:rPr>
        <w:t xml:space="preserve">book review</w:t>
      </w:r>
      <w:r>
        <w:br/>
      </w:r>
      <w:r>
        <w:rPr>
          <w:rStyle w:val="VerbatimChar"/>
        </w:rPr>
        <w:t xml:space="preserve">citation error</w:t>
      </w:r>
    </w:p>
    <w:p>
      <w:pPr>
        <w:pStyle w:val="FirstParagraph"/>
      </w:pPr>
      <w:r>
        <w:t xml:space="preserve">These may be adjacent surfaces.</w:t>
      </w:r>
    </w:p>
    <w:p>
      <w:pPr>
        <w:pStyle w:val="BodyText"/>
      </w:pPr>
      <w:r>
        <w:t xml:space="preserve">They are not the source ontology of the model.</w:t>
      </w:r>
    </w:p>
    <w:p>
      <w:pPr>
        <w:pStyle w:val="BodyText"/>
      </w:pPr>
      <w:r>
        <w:t xml:space="preserve">The model concerns a specific structural failure in which sufficient correctness allows a summary to replace the source without triggering resistance.</w:t>
      </w:r>
    </w:p>
    <w:p>
      <w:r>
        <w:pict>
          <v:rect style="width:0;height:1.5pt" o:hralign="center" o:hrstd="t" o:hr="t"/>
        </w:pict>
      </w:r>
    </w:p>
    <w:bookmarkEnd w:id="51"/>
    <w:bookmarkEnd w:id="52"/>
    <w:bookmarkStart w:id="53" w:name="public-orientation-and-method-boundary"/>
    <w:p>
      <w:pPr>
        <w:pStyle w:val="Heading2"/>
      </w:pPr>
      <w:r>
        <w:t xml:space="preserve">12. Public Orientation and Method Boundary</w:t>
      </w:r>
    </w:p>
    <w:p>
      <w:pPr>
        <w:pStyle w:val="FirstParagraph"/>
      </w:pPr>
      <w:r>
        <w:t xml:space="preserve">This document is designed as a public conceptual entry. It provides a definition, mechanism, diagnostic orientation, and limit statement. It omits non-public editorial records, private source materials, non-public working materials, and implementation details.</w:t>
      </w:r>
    </w:p>
    <w:p>
      <w:pPr>
        <w:pStyle w:val="BodyText"/>
      </w:pPr>
      <w:r>
        <w:t xml:space="preserve">The entry is not a substitute for empirical research, legal analysis, professional judgment, technical testing, or domain-specific governance. It should not be used to score people or institutions, automate high-stakes decisions, or infer misconduct from conceptual similarity.</w:t>
      </w:r>
    </w:p>
    <w:p>
      <w:pPr>
        <w:pStyle w:val="BodyText"/>
      </w:pPr>
      <w:r>
        <w:t xml:space="preserve">Examples and application domains are illustrative. A case should be classified under</w:t>
      </w:r>
      <w:r>
        <w:t xml:space="preserve"> </w:t>
      </w:r>
      <w:r>
        <w:rPr>
          <w:bCs/>
          <w:b/>
        </w:rPr>
        <w:t xml:space="preserve">Correct Summary Source Displacement Model</w:t>
      </w:r>
      <w:r>
        <w:t xml:space="preserve"> </w:t>
      </w:r>
      <w:r>
        <w:t xml:space="preserve">only when the relevant structure can be demonstrated from available evidence.</w:t>
      </w:r>
    </w:p>
    <w:p>
      <w:r>
        <w:pict>
          <v:rect style="width:0;height:1.5pt" o:hralign="center" o:hrstd="t" o:hr="t"/>
        </w:pict>
      </w:r>
    </w:p>
    <w:bookmarkEnd w:id="53"/>
    <w:bookmarkStart w:id="59" w:name="limitations"/>
    <w:p>
      <w:pPr>
        <w:pStyle w:val="Heading2"/>
      </w:pPr>
      <w:r>
        <w:t xml:space="preserve">13. Limitations</w:t>
      </w:r>
    </w:p>
    <w:bookmarkStart w:id="54" w:name="no-claim-against-summarization"/>
    <w:p>
      <w:pPr>
        <w:pStyle w:val="Heading3"/>
      </w:pPr>
      <w:r>
        <w:t xml:space="preserve">1. No claim against summarization</w:t>
      </w:r>
    </w:p>
    <w:p>
      <w:pPr>
        <w:pStyle w:val="FirstParagraph"/>
      </w:pPr>
      <w:r>
        <w:t xml:space="preserve">Summaries are necessary and often appropriate.</w:t>
      </w:r>
    </w:p>
    <w:bookmarkEnd w:id="54"/>
    <w:bookmarkStart w:id="55" w:name="displacement-depends-on-function"/>
    <w:p>
      <w:pPr>
        <w:pStyle w:val="Heading3"/>
      </w:pPr>
      <w:r>
        <w:t xml:space="preserve">2. Displacement depends on function</w:t>
      </w:r>
    </w:p>
    <w:p>
      <w:pPr>
        <w:pStyle w:val="FirstParagraph"/>
      </w:pPr>
      <w:r>
        <w:t xml:space="preserve">A summary may be sufficient for orientation but insufficient for evidence, adjudication, or detailed implementation.</w:t>
      </w:r>
    </w:p>
    <w:bookmarkEnd w:id="55"/>
    <w:bookmarkStart w:id="56" w:name="source-access-can-be-costly"/>
    <w:p>
      <w:pPr>
        <w:pStyle w:val="Heading3"/>
      </w:pPr>
      <w:r>
        <w:t xml:space="preserve">3. Source access can be costly</w:t>
      </w:r>
    </w:p>
    <w:p>
      <w:pPr>
        <w:pStyle w:val="FirstParagraph"/>
      </w:pPr>
      <w:r>
        <w:t xml:space="preserve">The model does not assume that every user can always consult every source.</w:t>
      </w:r>
    </w:p>
    <w:bookmarkEnd w:id="56"/>
    <w:bookmarkStart w:id="57" w:name="accuracy-is-contextual"/>
    <w:p>
      <w:pPr>
        <w:pStyle w:val="Heading3"/>
      </w:pPr>
      <w:r>
        <w:t xml:space="preserve">4. Accuracy is contextual</w:t>
      </w:r>
    </w:p>
    <w:p>
      <w:pPr>
        <w:pStyle w:val="FirstParagraph"/>
      </w:pPr>
      <w:r>
        <w:t xml:space="preserve">A summary judged correct for one question may be inadequate for another.</w:t>
      </w:r>
    </w:p>
    <w:bookmarkEnd w:id="57"/>
    <w:bookmarkStart w:id="58" w:name="no-automated-detection-rule"/>
    <w:p>
      <w:pPr>
        <w:pStyle w:val="Heading3"/>
      </w:pPr>
      <w:r>
        <w:t xml:space="preserve">5. No automated detection rule</w:t>
      </w:r>
    </w:p>
    <w:p>
      <w:pPr>
        <w:pStyle w:val="FirstParagraph"/>
      </w:pPr>
      <w:r>
        <w:t xml:space="preserve">The model identifies indicators but does not calculate when displacement has occurred.</w:t>
      </w:r>
    </w:p>
    <w:p>
      <w:r>
        <w:pict>
          <v:rect style="width:0;height:1.5pt" o:hralign="center" o:hrstd="t" o:hr="t"/>
        </w:pict>
      </w:r>
    </w:p>
    <w:bookmarkEnd w:id="58"/>
    <w:bookmarkEnd w:id="59"/>
    <w:bookmarkStart w:id="60" w:name="minimal-formulation"/>
    <w:p>
      <w:pPr>
        <w:pStyle w:val="Heading2"/>
      </w:pPr>
      <w:r>
        <w:t xml:space="preserve">14. Minimal Formulation</w:t>
      </w:r>
    </w:p>
    <w:p>
      <w:pPr>
        <w:pStyle w:val="SourceCode"/>
      </w:pPr>
      <w:r>
        <w:rPr>
          <w:rStyle w:val="VerbatimChar"/>
        </w:rPr>
        <w:t xml:space="preserve">A correct summary can displace the source because it does not announce the need for source return.</w:t>
      </w:r>
    </w:p>
    <w:p>
      <w:pPr>
        <w:pStyle w:val="FirstParagraph"/>
      </w:pPr>
      <w:r>
        <w:t xml:space="preserve">Compressed form:</w:t>
      </w:r>
    </w:p>
    <w:p>
      <w:pPr>
        <w:pStyle w:val="SourceCode"/>
      </w:pPr>
      <w:r>
        <w:rPr>
          <w:rStyle w:val="VerbatimChar"/>
        </w:rPr>
        <w:t xml:space="preserve">Accuracy can remove the pressure to verify origin.</w:t>
      </w:r>
    </w:p>
    <w:p>
      <w:r>
        <w:pict>
          <v:rect style="width:0;height:1.5pt" o:hralign="center" o:hrstd="t" o:hr="t"/>
        </w:pict>
      </w:r>
    </w:p>
    <w:bookmarkEnd w:id="60"/>
    <w:bookmarkStart w:id="61" w:name="conclusion"/>
    <w:p>
      <w:pPr>
        <w:pStyle w:val="Heading2"/>
      </w:pPr>
      <w:r>
        <w:t xml:space="preserve">15. Conclusion</w:t>
      </w:r>
    </w:p>
    <w:p>
      <w:pPr>
        <w:pStyle w:val="FirstParagraph"/>
      </w:pPr>
      <w:r>
        <w:t xml:space="preserve">A correct summary can become structurally misleading when its accuracy is used to justify source replacement. The key question is not only whether the summary matches the source, but whether the task still requires functions that only the source can perform.</w:t>
      </w:r>
    </w:p>
    <w:p>
      <w:pPr>
        <w:pStyle w:val="BodyText"/>
      </w:pPr>
      <w:r>
        <w:t xml:space="preserve">The model therefore preserves a three-part distinction: summary for orientation, source for evidential and contextual depth, and explicit marking when operational use exceeds the summary’s validated scope.</w:t>
      </w:r>
    </w:p>
    <w:p>
      <w:r>
        <w:pict>
          <v:rect style="width:0;height:1.5pt" o:hralign="center" o:hrstd="t" o:hr="t"/>
        </w:pict>
      </w:r>
    </w:p>
    <w:bookmarkEnd w:id="61"/>
    <w:bookmarkStart w:id="62" w:name="naming-declaration"/>
    <w:p>
      <w:pPr>
        <w:pStyle w:val="Heading2"/>
      </w:pPr>
      <w:r>
        <w:t xml:space="preserve">Naming Declaration</w:t>
      </w:r>
    </w:p>
    <w:p>
      <w:pPr>
        <w:pStyle w:val="FirstParagraph"/>
      </w:pPr>
      <w:r>
        <w:rPr>
          <w:bCs/>
          <w:b/>
        </w:rPr>
        <w:t xml:space="preserve">Correct Summary Source Displacement Model</w:t>
      </w:r>
      <w:r>
        <w:t xml:space="preserve"> </w:t>
      </w:r>
      <w:r>
        <w:t xml:space="preserve">is designated within Meta-Writing Ecology as a model for identifying summary-based source displacement that occurs through apparent adequacy rather than visible error.</w:t>
      </w:r>
    </w:p>
    <w:p>
      <w:pPr>
        <w:pStyle w:val="BodyText"/>
      </w:pPr>
      <w:r>
        <w:t xml:space="preserve">The name refers to a condition where a summary is correct enough to suppress the need for source return.</w:t>
      </w:r>
    </w:p>
    <w:p>
      <w:pPr>
        <w:pStyle w:val="BodyText"/>
      </w:pPr>
      <w:r>
        <w:t xml:space="preserve">It does not refer to inaccurate summary, deceptive summary, hallucinated summary, hostile paraphrase, or ordinary compression.</w:t>
      </w:r>
    </w:p>
    <w:p>
      <w:pPr>
        <w:pStyle w:val="BodyText"/>
      </w:pPr>
      <w:r>
        <w:t xml:space="preserve">The term should be used when the structural issue is:</w:t>
      </w:r>
    </w:p>
    <w:p>
      <w:pPr>
        <w:pStyle w:val="SourceCode"/>
      </w:pPr>
      <w:r>
        <w:rPr>
          <w:rStyle w:val="VerbatimChar"/>
        </w:rPr>
        <w:t xml:space="preserve">not that the summary is wrong,</w:t>
      </w:r>
      <w:r>
        <w:br/>
      </w:r>
      <w:r>
        <w:rPr>
          <w:rStyle w:val="VerbatimChar"/>
        </w:rPr>
        <w:t xml:space="preserve">but that the summary becomes enough.</w:t>
      </w:r>
    </w:p>
    <w:p>
      <w:pPr>
        <w:pStyle w:val="FirstParagraph"/>
      </w:pPr>
      <w:r>
        <w:t xml:space="preserve">The model preserves the distinction between:</w:t>
      </w:r>
    </w:p>
    <w:p>
      <w:pPr>
        <w:pStyle w:val="SourceCode"/>
      </w:pPr>
      <w:r>
        <w:rPr>
          <w:rStyle w:val="VerbatimChar"/>
        </w:rPr>
        <w:t xml:space="preserve">source representation</w:t>
      </w:r>
      <w:r>
        <w:br/>
      </w:r>
      <w:r>
        <w:rPr>
          <w:rStyle w:val="VerbatimChar"/>
        </w:rPr>
        <w:t xml:space="preserve">and</w:t>
      </w:r>
      <w:r>
        <w:br/>
      </w:r>
      <w:r>
        <w:rPr>
          <w:rStyle w:val="VerbatimChar"/>
        </w:rPr>
        <w:t xml:space="preserve">source replacement</w:t>
      </w:r>
    </w:p>
    <w:p>
      <w:pPr>
        <w:pStyle w:val="FirstParagraph"/>
      </w:pPr>
      <w:r>
        <w:t xml:space="preserve">Its controlling formulation is:</w:t>
      </w:r>
    </w:p>
    <w:p>
      <w:pPr>
        <w:pStyle w:val="SourceCode"/>
      </w:pPr>
      <w:r>
        <w:rPr>
          <w:rStyle w:val="VerbatimChar"/>
        </w:rPr>
        <w:t xml:space="preserve">A correct summary may still fail if it removes the operational need to encounter the source.</w:t>
      </w:r>
    </w:p>
    <w:bookmarkEnd w:id="62"/>
    <w:sectPr w:rsidR="00FC693F" w:rsidRPr="0006063C" w:rsidSect="00034616">
      <w:pgSz w:h="16838" w:w="11906"/>
      <w:pgMar w:bottom="1418" w:footer="700" w:gutter="0" w:header="700" w:left="1418" w:right="1418" w:top="1418"/>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widowControl/>
      <w:spacing w:after="0" w:before="0" w:line="540" w:lineRule="exact"/>
      <w:ind w:firstLine="480"/>
      <w:jc w:val="left"/>
    </w:pPr>
    <w:rPr>
      <w:rFonts w:ascii="Gelasio" w:cs="Gelasio" w:eastAsia="Gelasio" w:hAnsi="Gelasio"/>
      <w:b w:val="0"/>
      <w:i w:val="0"/>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widowControl/>
      <w:spacing w:after="240" w:before="360" w:line="240" w:lineRule="auto"/>
      <w:ind w:firstLine="0"/>
      <w:jc w:val="left"/>
      <w:outlineLvl w:val="0"/>
    </w:pPr>
    <w:rPr>
      <w:rFonts w:ascii="Gelasio" w:asciiTheme="majorHAnsi" w:cs="Gelasio" w:cstheme="majorBidi" w:eastAsia="Gelasio" w:eastAsiaTheme="majorEastAsia" w:hAnsi="Gelasio" w:hAnsiTheme="majorHAnsi"/>
      <w:b/>
      <w:bCs/>
      <w:i w:val="0"/>
      <w:color w:val="000000"/>
      <w:sz w:val="32"/>
      <w:szCs w:val="28"/>
    </w:rPr>
  </w:style>
  <w:style w:styleId="Heading2" w:type="paragraph">
    <w:name w:val="heading 2"/>
    <w:basedOn w:val="Normal"/>
    <w:next w:val="Normal"/>
    <w:link w:val="Heading2Char"/>
    <w:uiPriority w:val="9"/>
    <w:unhideWhenUsed/>
    <w:qFormat/>
    <w:rsid w:val="00FC693F"/>
    <w:pPr>
      <w:keepNext/>
      <w:keepLines/>
      <w:widowControl/>
      <w:spacing w:after="240" w:before="360" w:line="240" w:lineRule="auto"/>
      <w:ind w:firstLine="0"/>
      <w:jc w:val="left"/>
      <w:outlineLvl w:val="1"/>
    </w:pPr>
    <w:rPr>
      <w:rFonts w:ascii="Gelasio" w:asciiTheme="majorHAnsi" w:cs="Gelasio" w:cstheme="majorBidi" w:eastAsia="Gelasio" w:eastAsiaTheme="majorEastAsia" w:hAnsi="Gelasio" w:hAnsiTheme="majorHAnsi"/>
      <w:b/>
      <w:bCs/>
      <w:i w:val="0"/>
      <w:color w:val="000000"/>
      <w:sz w:val="32"/>
      <w:szCs w:val="26"/>
    </w:rPr>
  </w:style>
  <w:style w:styleId="Heading3" w:type="paragraph">
    <w:name w:val="heading 3"/>
    <w:basedOn w:val="Normal"/>
    <w:next w:val="Normal"/>
    <w:link w:val="Heading3Char"/>
    <w:uiPriority w:val="9"/>
    <w:unhideWhenUsed/>
    <w:qFormat/>
    <w:rsid w:val="00FC693F"/>
    <w:pPr>
      <w:keepNext/>
      <w:keepLines/>
      <w:widowControl/>
      <w:spacing w:after="120" w:before="240" w:line="240" w:lineRule="auto"/>
      <w:ind w:firstLine="0"/>
      <w:jc w:val="left"/>
      <w:outlineLvl w:val="2"/>
    </w:pPr>
    <w:rPr>
      <w:rFonts w:ascii="Gelasio" w:asciiTheme="majorHAnsi" w:cs="Gelasio" w:cstheme="majorBidi" w:eastAsia="Gelasio" w:eastAsiaTheme="majorEastAsia" w:hAnsi="Gelasio" w:hAnsiTheme="majorHAnsi"/>
      <w:b/>
      <w:bCs/>
      <w:i w:val="0"/>
      <w:color w:val="000000"/>
      <w:sz w:val="28"/>
    </w:rPr>
  </w:style>
  <w:style w:styleId="Heading4" w:type="paragraph">
    <w:name w:val="heading 4"/>
    <w:basedOn w:val="Normal"/>
    <w:next w:val="Normal"/>
    <w:link w:val="Heading4Char"/>
    <w:uiPriority w:val="9"/>
    <w:semiHidden/>
    <w:unhideWhenUsed/>
    <w:qFormat/>
    <w:rsid w:val="00FC693F"/>
    <w:pPr>
      <w:keepNext/>
      <w:keepLines/>
      <w:widowControl/>
      <w:spacing w:after="80" w:before="200" w:line="240" w:lineRule="auto"/>
      <w:ind w:firstLine="0"/>
      <w:jc w:val="left"/>
      <w:outlineLvl w:val="3"/>
    </w:pPr>
    <w:rPr>
      <w:rFonts w:ascii="Gelasio" w:asciiTheme="majorHAnsi" w:cs="Gelasio" w:cstheme="majorBidi" w:eastAsia="Gelasio" w:eastAsiaTheme="majorEastAsia" w:hAnsi="Gelasio" w:hAnsiTheme="majorHAnsi"/>
      <w:b/>
      <w:bCs/>
      <w:i w:val="0"/>
      <w:iCs/>
      <w:color w:val="000000"/>
      <w:sz w:val="25"/>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mpact" w:type="paragraph">
    <w:name w:val="Compact"/>
    <w:basedOn w:val="Normal"/>
    <w:pPr>
      <w:spacing w:after="0" w:before="0" w:line="540" w:lineRule="exact"/>
      <w:ind w:firstLine="0" w:left="0"/>
    </w:pPr>
    <w:rPr>
      <w:rFonts w:ascii="Gelasio" w:cs="Gelasio" w:eastAsia="Gelasio" w:hAnsi="Gelasio"/>
      <w:color w:val="000000"/>
      <w:sz w:val="24"/>
    </w:rPr>
  </w:style>
  <w:style w:customStyle="1" w:styleId="MWETitle" w:type="paragraph">
    <w:name w:val="MWE Title"/>
    <w:basedOn w:val="Normal"/>
    <w:pPr>
      <w:spacing w:after="0" w:before="0" w:line="240" w:lineRule="auto"/>
      <w:ind w:firstLine="0"/>
      <w:jc w:val="left"/>
    </w:pPr>
    <w:rPr>
      <w:rFonts w:ascii="Gelasio" w:cs="Gelasio" w:eastAsia="Gelasio" w:hAnsi="Gelasio"/>
      <w:b/>
      <w:i w:val="0"/>
      <w:color w:val="000000"/>
      <w:sz w:val="44"/>
    </w:rPr>
  </w:style>
  <w:style w:customStyle="1" w:styleId="MWESubtitle" w:type="paragraph">
    <w:name w:val="MWE Subtitle"/>
    <w:basedOn w:val="Normal"/>
    <w:pPr>
      <w:spacing w:after="0" w:before="0" w:line="240" w:lineRule="auto"/>
      <w:ind w:firstLine="0"/>
      <w:jc w:val="left"/>
    </w:pPr>
    <w:rPr>
      <w:rFonts w:ascii="Gelasio" w:cs="Gelasio" w:eastAsia="Gelasio" w:hAnsi="Gelasio"/>
      <w:b/>
      <w:i/>
      <w:color w:val="000000"/>
      <w:sz w:val="32"/>
    </w:rPr>
  </w:style>
  <w:style w:customStyle="1" w:styleId="MWEMeta" w:type="paragraph">
    <w:name w:val="MWE Meta"/>
    <w:basedOn w:val="Normal"/>
    <w:pPr>
      <w:spacing w:after="0" w:before="0" w:line="240" w:lineRule="auto"/>
      <w:ind w:firstLine="0"/>
      <w:jc w:val="left"/>
    </w:pPr>
    <w:rPr>
      <w:rFonts w:ascii="Gelasio" w:cs="Gelasio" w:eastAsia="Gelasio" w:hAnsi="Gelasio"/>
      <w:b/>
      <w:i/>
      <w:color w:val="000000"/>
      <w:sz w:val="24"/>
    </w:rPr>
  </w:style>
  <w:style w:customStyle="1" w:styleId="MWEAuthor" w:type="paragraph">
    <w:name w:val="MWE Author"/>
    <w:basedOn w:val="Normal"/>
    <w:pPr>
      <w:spacing w:after="0" w:before="0" w:line="240" w:lineRule="auto"/>
      <w:ind w:firstLine="0"/>
      <w:jc w:val="left"/>
    </w:pPr>
    <w:rPr>
      <w:rFonts w:ascii="Gelasio" w:cs="Gelasio" w:eastAsia="Gelasio" w:hAnsi="Gelasio"/>
      <w:b/>
      <w:i w:val="0"/>
      <w:color w:val="000000"/>
      <w:sz w:val="24"/>
    </w:rPr>
  </w:style>
  <w:style w:customStyle="1" w:styleId="MWEAffiliation" w:type="paragraph">
    <w:name w:val="MWE Affiliation"/>
    <w:basedOn w:val="Normal"/>
    <w:pPr>
      <w:spacing w:after="0" w:before="0" w:line="240" w:lineRule="auto"/>
      <w:ind w:firstLine="0"/>
      <w:jc w:val="left"/>
    </w:pPr>
    <w:rPr>
      <w:rFonts w:ascii="Gelasio" w:cs="Gelasio" w:eastAsia="Gelasio" w:hAnsi="Gelasio"/>
      <w:b/>
      <w:i w:val="0"/>
      <w:color w:val="000000"/>
      <w:sz w:val="24"/>
    </w:rPr>
  </w:style>
  <w:style w:customStyle="1" w:styleId="MWESpacer" w:type="paragraph">
    <w:name w:val="MWE Spacer"/>
    <w:basedOn w:val="Normal"/>
    <w:pPr>
      <w:spacing w:after="0" w:before="0" w:line="240" w:lineRule="auto"/>
      <w:ind w:firstLine="0"/>
      <w:jc w:val="left"/>
    </w:pPr>
    <w:rPr>
      <w:rFonts w:ascii="Gelasio" w:cs="Gelasio" w:eastAsia="Gelasio" w:hAnsi="Gelasio"/>
      <w:b w:val="0"/>
      <w:i w:val="0"/>
      <w:color w:val="000000"/>
      <w:sz w:val="24"/>
    </w:rPr>
  </w:style>
  <w:style w:customStyle="1" w:styleId="BlockText" w:type="paragraph">
    <w:name w:val="Block Text"/>
    <w:basedOn w:val="Normal"/>
    <w:pPr>
      <w:ind w:firstLine="0" w:left="480"/>
    </w:pPr>
    <w:rPr>
      <w:rFonts w:ascii="Gelasio" w:cs="Gelasio" w:eastAsia="Gelasio" w:hAnsi="Gelasio"/>
      <w:i w:val="0"/>
      <w:color w:val="000000"/>
      <w:sz w:val="24"/>
    </w:rPr>
  </w:style>
  <w:style w:customStyle="1" w:styleId="SourceCode" w:type="paragraph">
    <w:name w:val="Source Code"/>
    <w:basedOn w:val="Normal"/>
    <w:pPr>
      <w:spacing w:line="240" w:lineRule="auto"/>
      <w:ind w:firstLine="0" w:left="240"/>
    </w:pPr>
    <w:rPr>
      <w:rFonts w:ascii="DejaVu Sans Mono" w:cs="DejaVu Sans Mono" w:eastAsia="DejaVu Sans Mono" w:hAnsi="DejaVu Sans Mono"/>
      <w:color w:val="000000"/>
      <w:sz w:val="21"/>
    </w:rPr>
  </w:style>
  <w:style w:customStyle="1" w:styleId="VerbatimChar" w:type="character">
    <w:name w:val="Verbatim Char"/>
    <w:rPr>
      <w:rFonts w:ascii="DejaVu Sans Mono" w:cs="DejaVu Sans Mono" w:eastAsia="DejaVu Sans Mono" w:hAnsi="DejaVu Sans Mono"/>
      <w:color w:val="000000"/>
      <w:sz w:val="21"/>
    </w:rPr>
  </w:style>
  <w:style w:customStyle="1" w:styleId="ImageCaption" w:type="paragraph">
    <w:name w:val="Image Caption"/>
    <w:basedOn w:val="Normal"/>
    <w:pPr>
      <w:ind w:firstLine="0"/>
    </w:pPr>
    <w:rPr>
      <w:rFonts w:ascii="Gelasio" w:cs="Gelasio" w:eastAsia="Gelasio" w:hAnsi="Gelasio"/>
      <w:i/>
      <w:color w:val="000000"/>
      <w:sz w:val="21"/>
    </w:rPr>
  </w:style>
  <w:style w:customStyle="1" w:styleId="MWEReferences" w:type="paragraph">
    <w:name w:val="MWE References"/>
    <w:basedOn w:val="Normal"/>
    <w:pPr>
      <w:spacing w:line="540" w:lineRule="exact"/>
      <w:ind w:hanging="480" w:left="480"/>
    </w:pPr>
    <w:rPr>
      <w:rFonts w:ascii="Gelasio" w:cs="Gelasio" w:eastAsia="Gelasio" w:hAnsi="Gelasio"/>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 Summary Source Displacement Model</dc:title>
  <dc:creator>Huang Tzuyuan</dc:creator>
  <cp:keywords/>
  <dcterms:created xsi:type="dcterms:W3CDTF">2026-07-17T14:37:26Z</dcterms:created>
  <dcterms:modified xsi:type="dcterms:W3CDTF">2026-07-17T14:37:26Z</dcterms:modified>
  <cp:lastModifiedBy/>
  <dc:description/>
  <cp:category/>
  <dc:subject/>
  <dc:identifier/>
  <cp:revision>1</cp:revision>
</cp:coreProperties>
</file>

<file path=docProps/custom.xml><?xml version="1.0" encoding="utf-8"?>
<Properties xmlns="http://schemas.openxmlformats.org/officeDocument/2006/custom-properties" xmlns:vt="http://schemas.openxmlformats.org/officeDocument/2006/docPropsVTypes"/>
</file>