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Entity-Linkage / Sample-Construction Boundary</w:t>
      </w:r>
    </w:p>
    <w:p>
      <w:pPr>
        <w:pStyle w:val="MWESpacer"/>
        <w:spacing w:lineRule="exact" w:line="120" w:before="0" w:after="0"/>
        <w:ind w:firstLine="0"/>
      </w:pPr>
    </w:p>
    <w:p>
      <w:pPr>
        <w:pStyle w:val="MWESubtitle"/>
      </w:pPr>
      <w:r>
        <w:t>Record Matching, Population Formation, and the Governance of Analytical Samples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Protocol-Facing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Entity-Linkage / Sample-Construction Boundary</w:t>
      </w:r>
      <w:r>
        <w:t xml:space="preserve"> </w:t>
      </w:r>
      <w:r>
        <w:t xml:space="preserve">as a protocol-facing note for research and administrative systems that connect records believed to refer to the same person, organization, event, household, place, or other entity. The central claim is that entity linkage is not only a technical matching step. It is also a sample-construction operation.</w:t>
      </w:r>
    </w:p>
    <w:p>
      <w:pPr>
        <w:pStyle w:val="BodyText"/>
      </w:pPr>
      <w:r>
        <w:t xml:space="preserve">Linkage rules determine who enters the analytical population, which records are merged, which identities remain separate, which uncertain matches are discarded, and which histories become attributable to a single entity. False matches, missed matches, identifier instability, data-source coverage, threshold selection, clerical review, and temporal change can therefore alter the composition of the sample and the claims later made from it.</w:t>
      </w:r>
    </w:p>
    <w:p>
      <w:pPr>
        <w:pStyle w:val="BodyText"/>
      </w:pPr>
      <w:r>
        <w:t xml:space="preserve">The note distinguishes matching accuracy from sample validity, record identity from entity identity, and linkage completion from population adequacy. It does not provide a specific linkage algorithm or statistical estimator. It establishes a boundary that should remain visible in study design, data documentation, validation, reporting, and downstream interpretation.</w:t>
      </w:r>
    </w:p>
    <w:p>
      <w:pPr>
        <w:pStyle w:val="BodyText"/>
      </w:pPr>
      <w:r>
        <w:t xml:space="preserve">The framework is relevant to longitudinal research, health and social data, public administration, bibliometrics, customer records, fraud detection, and other settings in which linked data are treated as if the analytical population pre-existed the linkage procedure. It emphasizes that the linked sample is produced through decisions and uncertainty, not merely discovered.</w:t>
      </w:r>
    </w:p>
    <w:p>
      <w:r>
        <w:pict>
          <v:rect style="width:0;height:1.5pt" o:hralign="center" o:hrstd="t" o:hr="t"/>
        </w:pict>
      </w:r>
    </w:p>
    <w:bookmarkEnd w:id="20"/>
    <w:bookmarkStart w:id="21" w:name="keywords"/>
    <w:p>
      <w:pPr>
        <w:pStyle w:val="Heading2"/>
      </w:pPr>
      <w:r>
        <w:t xml:space="preserve">Keywords</w:t>
      </w:r>
    </w:p>
    <w:p>
      <w:pPr>
        <w:pStyle w:val="FirstParagraph"/>
      </w:pPr>
      <w:r>
        <w:t xml:space="preserve">Entity Linkage; Sample Construction; Record Linkage; Population Formation; Matching Error; False Match; Missed Match; Identity Resolution; Analytical Sample; Linkage Threshold; Data Governance; Uncertainty; Longitudinal Data;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Record linkage is often described as a preprocessing task. Data are cleaned, identifiers are compared, probabilities are calculated, and matching records are joined. Once the linked dataset exists, later analysis may treat it as a neutral representation of the relevant population.</w:t>
      </w:r>
    </w:p>
    <w:p>
      <w:pPr>
        <w:pStyle w:val="BodyText"/>
      </w:pPr>
      <w:r>
        <w:t xml:space="preserve">This sequence hides a structural fact: linkage creates the object that subsequent analysis studies. Every threshold, blocking rule, identifier choice, exclusion, and manual decision can alter who is present, how histories are combined, and which cases remain unresolved. The technical procedure therefore participates in population formation.</w:t>
      </w:r>
    </w:p>
    <w:p>
      <w:pPr>
        <w:pStyle w:val="BodyText"/>
      </w:pPr>
      <w:r>
        <w:t xml:space="preserve">This boundary note makes that participation explicit. It asks not only whether records were matched accurately, but how matching decisions constructed the sample, distributed uncertainty, and bounded the claims that can follow.</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Entity-Linkage / Sample-Construction Boundary describes the condition in which records, names, identifiers, labels, entities, roles, or source entries are joined across datasets, systems, archives, platforms, or evidence layers, while the linkage decisions remain hidden, under-documented, unstable, or treated as neutral preprocessing.</w:t>
      </w:r>
    </w:p>
    <w:p>
      <w:pPr>
        <w:pStyle w:val="BodyText"/>
      </w:pPr>
      <w:r>
        <w:t xml:space="preserve">The boundary problem appears when a linked dataset, merged table, resolved entity, or constructed sample is treated as analytically ready before the entity relation has been sufficiently defined, validated, documented, and made auditable.</w:t>
      </w:r>
    </w:p>
    <w:p>
      <w:pPr>
        <w:pStyle w:val="BodyText"/>
      </w:pPr>
      <w:r>
        <w:t xml:space="preserve">The issue is not that entity matching occurs. Entity matching may be necessary, legitimate, useful, and methodologically appropriate.</w:t>
      </w:r>
    </w:p>
    <w:p>
      <w:pPr>
        <w:pStyle w:val="BodyText"/>
      </w:pPr>
      <w:r>
        <w:t xml:space="preserve">The issue appears when matching choices are treated as technical cleanup rather than sample construction.</w:t>
      </w:r>
    </w:p>
    <w:p>
      <w:pPr>
        <w:pStyle w:val="BodyText"/>
      </w:pPr>
      <w:r>
        <w:t xml:space="preserve">In this condition, the visible dataset appears coherent because records have been joined. However, the underlying linkage layer may contain judgment calls about name variation, identifier equivalence, parent–subsidiary relation, role level, temporal validity, duplicate handling, threshold choice, candidate rejection, automated classification, or human override.</w:t>
      </w:r>
    </w:p>
    <w:p>
      <w:pPr>
        <w:pStyle w:val="BodyText"/>
      </w:pPr>
      <w:r>
        <w:t xml:space="preserve">The central structural claim is:</w:t>
      </w:r>
    </w:p>
    <w:p>
      <w:pPr>
        <w:pStyle w:val="BodyText"/>
      </w:pPr>
      <w:r>
        <w:t xml:space="preserve">evidence is not only analyzed;</w:t>
      </w:r>
      <w:r>
        <w:t xml:space="preserve"> </w:t>
      </w:r>
      <w:r>
        <w:t xml:space="preserve">evidence is assembled.</w:t>
      </w:r>
    </w:p>
    <w:p>
      <w:pPr>
        <w:pStyle w:val="BodyText"/>
      </w:pPr>
      <w:r>
        <w:t xml:space="preserve">A dataset does not become evidential only at the modeling, interpretation, or publication stage. It becomes evidential during linkage.</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Entity-Linkage / Sample-Construction Boundary</w:t>
      </w:r>
      <w:r>
        <w:t xml:space="preserve"> </w:t>
      </w:r>
      <w:r>
        <w:t xml:space="preserve">as a protocol-facing boundary note. It identifies the conditions a reporting, review, or documentation procedure should keep visible, but it is not itself a complete protocol, checklist standard, certification system, or compliance instrument.</w:t>
      </w:r>
    </w:p>
    <w:p>
      <w:pPr>
        <w:pStyle w:val="BodyText"/>
      </w:pPr>
      <w:r>
        <w:t xml:space="preserve">The note can support method design and audit preparation without prescribing a single technical implementation.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entity linkage</w:t>
      </w:r>
      <w:r>
        <w:t xml:space="preserve"> </w:t>
      </w:r>
      <w:r>
        <w:t xml:space="preserve">≠</w:t>
      </w:r>
      <w:r>
        <w:t xml:space="preserve"> </w:t>
      </w:r>
      <w:r>
        <w:t xml:space="preserve">entity equivalence</w:t>
      </w:r>
    </w:p>
    <w:p>
      <w:pPr>
        <w:pStyle w:val="BodyText"/>
      </w:pPr>
      <w:r>
        <w:t xml:space="preserve">Expanded:</w:t>
      </w:r>
    </w:p>
    <w:p>
      <w:pPr>
        <w:pStyle w:val="BodyText"/>
      </w:pPr>
      <w:r>
        <w:t xml:space="preserve">A record can be linked to another record without establishing that both records refer to the same entity, role, level, time-bound identity, or evidential unit.</w:t>
      </w:r>
    </w:p>
    <w:p>
      <w:pPr>
        <w:pStyle w:val="BodyText"/>
      </w:pPr>
      <w:r>
        <w:t xml:space="preserve">Second distinction:</w:t>
      </w:r>
    </w:p>
    <w:p>
      <w:pPr>
        <w:pStyle w:val="BodyText"/>
      </w:pPr>
      <w:r>
        <w:t xml:space="preserve">data merge</w:t>
      </w:r>
      <w:r>
        <w:t xml:space="preserve"> </w:t>
      </w:r>
      <w:r>
        <w:t xml:space="preserve">≠</w:t>
      </w:r>
      <w:r>
        <w:t xml:space="preserve"> </w:t>
      </w:r>
      <w:r>
        <w:t xml:space="preserve">neutral preprocessing</w:t>
      </w:r>
    </w:p>
    <w:p>
      <w:pPr>
        <w:pStyle w:val="BodyText"/>
      </w:pPr>
      <w:r>
        <w:t xml:space="preserve">Expanded:</w:t>
      </w:r>
    </w:p>
    <w:p>
      <w:pPr>
        <w:pStyle w:val="BodyText"/>
      </w:pPr>
      <w:r>
        <w:t xml:space="preserve">A merge operation may alter sample composition, evidential scope, analytic inclusion, and downstream inference.</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multiple data sources become useful together</w:t>
      </w:r>
      <w:r>
        <w:t xml:space="preserve"> </w:t>
      </w:r>
      <w:r>
        <w:t xml:space="preserve">→ shared identifiers are missing, partial, unstable, or mismatched</w:t>
      </w:r>
      <w:r>
        <w:t xml:space="preserve"> </w:t>
      </w:r>
      <w:r>
        <w:t xml:space="preserve">→ candidate links are generated</w:t>
      </w:r>
      <w:r>
        <w:t xml:space="preserve"> </w:t>
      </w:r>
      <w:r>
        <w:t xml:space="preserve">→ similarity, identifier, semantic, or manual rules are applied</w:t>
      </w:r>
      <w:r>
        <w:t xml:space="preserve"> </w:t>
      </w:r>
      <w:r>
        <w:t xml:space="preserve">→ records become joined</w:t>
      </w:r>
      <w:r>
        <w:t xml:space="preserve"> </w:t>
      </w:r>
      <w:r>
        <w:t xml:space="preserve">→ joined table appears clean</w:t>
      </w:r>
      <w:r>
        <w:t xml:space="preserve"> </w:t>
      </w:r>
      <w:r>
        <w:t xml:space="preserve">→ matching choices disappear into preprocessing</w:t>
      </w:r>
      <w:r>
        <w:t xml:space="preserve"> </w:t>
      </w:r>
      <w:r>
        <w:t xml:space="preserve">→ sample construction becomes difficult to inspect</w:t>
      </w:r>
      <w:r>
        <w:t xml:space="preserve"> </w:t>
      </w:r>
      <w:r>
        <w:t xml:space="preserve">→ downstream analysis inherits hidden linkage decisions</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fragmented sources</w:t>
      </w:r>
      <w:r>
        <w:t xml:space="preserve"> </w:t>
      </w:r>
      <w:r>
        <w:t xml:space="preserve">→ entity references normalized</w:t>
      </w:r>
      <w:r>
        <w:t xml:space="preserve"> </w:t>
      </w:r>
      <w:r>
        <w:t xml:space="preserve">→ candidate matches generated</w:t>
      </w:r>
      <w:r>
        <w:t xml:space="preserve"> </w:t>
      </w:r>
      <w:r>
        <w:t xml:space="preserve">→ linkage accepted by score / rule / judgment</w:t>
      </w:r>
      <w:r>
        <w:t xml:space="preserve"> </w:t>
      </w:r>
      <w:r>
        <w:t xml:space="preserve">→ merged sample appears complete</w:t>
      </w:r>
      <w:r>
        <w:t xml:space="preserve"> </w:t>
      </w:r>
      <w:r>
        <w:t xml:space="preserve">→ matching discretion is not documented</w:t>
      </w:r>
      <w:r>
        <w:t xml:space="preserve"> </w:t>
      </w:r>
      <w:r>
        <w:t xml:space="preserve">→ sample construction becomes opaque</w:t>
      </w:r>
      <w:r>
        <w:t xml:space="preserve"> </w:t>
      </w:r>
      <w:r>
        <w:t xml:space="preserve">→ downstream estimate or interpretation appears more stable than its linkage layer</w:t>
      </w:r>
    </w:p>
    <w:p>
      <w:pPr>
        <w:pStyle w:val="BodyText"/>
      </w:pPr>
      <w:r>
        <w:t xml:space="preserve">Aligned Flow</w:t>
      </w:r>
    </w:p>
    <w:p>
      <w:pPr>
        <w:pStyle w:val="BodyText"/>
      </w:pPr>
      <w:r>
        <w:t xml:space="preserve">fragmented sources</w:t>
      </w:r>
      <w:r>
        <w:t xml:space="preserve"> </w:t>
      </w:r>
      <w:r>
        <w:t xml:space="preserve">→ target entity definition declared</w:t>
      </w:r>
      <w:r>
        <w:t xml:space="preserve"> </w:t>
      </w:r>
      <w:r>
        <w:t xml:space="preserve">→ allowable equivalence specified</w:t>
      </w:r>
      <w:r>
        <w:t xml:space="preserve"> </w:t>
      </w:r>
      <w:r>
        <w:t xml:space="preserve">→ candidate generation rules logged</w:t>
      </w:r>
      <w:r>
        <w:t xml:space="preserve"> </w:t>
      </w:r>
      <w:r>
        <w:t xml:space="preserve">→ matching method selected by linkage condition</w:t>
      </w:r>
      <w:r>
        <w:t xml:space="preserve"> </w:t>
      </w:r>
      <w:r>
        <w:t xml:space="preserve">→ thresholds and review rules documented</w:t>
      </w:r>
      <w:r>
        <w:t xml:space="preserve"> </w:t>
      </w:r>
      <w:r>
        <w:t xml:space="preserve">→ validation set or audit sample constructed</w:t>
      </w:r>
      <w:r>
        <w:t xml:space="preserve"> </w:t>
      </w:r>
      <w:r>
        <w:t xml:space="preserve">→ precision / recall / sensitivity reported</w:t>
      </w:r>
      <w:r>
        <w:t xml:space="preserve"> </w:t>
      </w:r>
      <w:r>
        <w:t xml:space="preserve">→ bridge table and decision log archived when permissible</w:t>
      </w:r>
      <w:r>
        <w:t xml:space="preserve"> </w:t>
      </w:r>
      <w:r>
        <w:t xml:space="preserve">→ merged sample remains inspectable</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source dataset</w:t>
      </w:r>
      <w:r>
        <w:t xml:space="preserve"> </w:t>
      </w:r>
      <w:r>
        <w:t xml:space="preserve">target dataset</w:t>
      </w:r>
      <w:r>
        <w:t xml:space="preserve"> </w:t>
      </w:r>
      <w:r>
        <w:t xml:space="preserve">entity definition</w:t>
      </w:r>
      <w:r>
        <w:t xml:space="preserve"> </w:t>
      </w:r>
      <w:r>
        <w:t xml:space="preserve">entity level</w:t>
      </w:r>
      <w:r>
        <w:t xml:space="preserve"> </w:t>
      </w:r>
      <w:r>
        <w:t xml:space="preserve">identifier system</w:t>
      </w:r>
      <w:r>
        <w:t xml:space="preserve"> </w:t>
      </w:r>
      <w:r>
        <w:t xml:space="preserve">canonicalization rule</w:t>
      </w:r>
      <w:r>
        <w:t xml:space="preserve"> </w:t>
      </w:r>
      <w:r>
        <w:t xml:space="preserve">candidate generation</w:t>
      </w:r>
      <w:r>
        <w:t xml:space="preserve"> </w:t>
      </w:r>
      <w:r>
        <w:t xml:space="preserve">blocking rule</w:t>
      </w:r>
      <w:r>
        <w:t xml:space="preserve"> </w:t>
      </w:r>
      <w:r>
        <w:t xml:space="preserve">similarity score</w:t>
      </w:r>
      <w:r>
        <w:t xml:space="preserve"> </w:t>
      </w:r>
      <w:r>
        <w:t xml:space="preserve">threshold choice</w:t>
      </w:r>
      <w:r>
        <w:t xml:space="preserve"> </w:t>
      </w:r>
      <w:r>
        <w:t xml:space="preserve">manual adjudication</w:t>
      </w:r>
      <w:r>
        <w:t xml:space="preserve"> </w:t>
      </w:r>
      <w:r>
        <w:t xml:space="preserve">automated classifier</w:t>
      </w:r>
      <w:r>
        <w:t xml:space="preserve"> </w:t>
      </w:r>
      <w:r>
        <w:t xml:space="preserve">human-over-the-loop supervision</w:t>
      </w:r>
      <w:r>
        <w:t xml:space="preserve"> </w:t>
      </w:r>
      <w:r>
        <w:t xml:space="preserve">validation set</w:t>
      </w:r>
      <w:r>
        <w:t xml:space="preserve"> </w:t>
      </w:r>
      <w:r>
        <w:t xml:space="preserve">precision / recall</w:t>
      </w:r>
      <w:r>
        <w:t xml:space="preserve"> </w:t>
      </w:r>
      <w:r>
        <w:t xml:space="preserve">false positive link</w:t>
      </w:r>
      <w:r>
        <w:t xml:space="preserve"> </w:t>
      </w:r>
      <w:r>
        <w:t xml:space="preserve">false negative non-link</w:t>
      </w:r>
      <w:r>
        <w:t xml:space="preserve"> </w:t>
      </w:r>
      <w:r>
        <w:t xml:space="preserve">temporal validity</w:t>
      </w:r>
      <w:r>
        <w:t xml:space="preserve"> </w:t>
      </w:r>
      <w:r>
        <w:t xml:space="preserve">bridge table</w:t>
      </w:r>
      <w:r>
        <w:t xml:space="preserve"> </w:t>
      </w:r>
      <w:r>
        <w:t xml:space="preserve">audit log</w:t>
      </w:r>
      <w:r>
        <w:t xml:space="preserve"> </w:t>
      </w:r>
      <w:r>
        <w:t xml:space="preserve">sample attrition</w:t>
      </w:r>
      <w:r>
        <w:t xml:space="preserve"> </w:t>
      </w:r>
      <w:r>
        <w:t xml:space="preserve">downstream inference</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Name-as-Entity Collapse</w:t>
      </w:r>
    </w:p>
    <w:p>
      <w:pPr>
        <w:pStyle w:val="FirstParagraph"/>
      </w:pPr>
      <w:r>
        <w:t xml:space="preserve">same or similar name</w:t>
      </w:r>
      <w:r>
        <w:t xml:space="preserve"> </w:t>
      </w:r>
      <w:r>
        <w:t xml:space="preserve">→ treated as same entity</w:t>
      </w:r>
    </w:p>
    <w:p>
      <w:pPr>
        <w:pStyle w:val="BodyText"/>
      </w:pPr>
      <w:r>
        <w:t xml:space="preserve">A label becomes the entity itself.</w:t>
      </w:r>
    </w:p>
    <w:p>
      <w:pPr>
        <w:numPr>
          <w:ilvl w:val="0"/>
          <w:numId w:val="1002"/>
        </w:numPr>
        <w:pStyle w:val="Compact"/>
      </w:pPr>
      <w:r>
        <w:t xml:space="preserve">Identifier Overtrust</w:t>
      </w:r>
    </w:p>
    <w:p>
      <w:pPr>
        <w:pStyle w:val="FirstParagraph"/>
      </w:pPr>
      <w:r>
        <w:t xml:space="preserve">identifier match</w:t>
      </w:r>
      <w:r>
        <w:t xml:space="preserve"> </w:t>
      </w:r>
      <w:r>
        <w:t xml:space="preserve">→ conceptual equivalence assumed</w:t>
      </w:r>
    </w:p>
    <w:p>
      <w:pPr>
        <w:pStyle w:val="BodyText"/>
      </w:pPr>
      <w:r>
        <w:t xml:space="preserve">A shared or mapped identifier is treated as sufficient even when the entity level or time validity differs.</w:t>
      </w:r>
    </w:p>
    <w:p>
      <w:pPr>
        <w:numPr>
          <w:ilvl w:val="0"/>
          <w:numId w:val="1003"/>
        </w:numPr>
        <w:pStyle w:val="Compact"/>
      </w:pPr>
      <w:r>
        <w:t xml:space="preserve">Clean Merge False Legibility</w:t>
      </w:r>
    </w:p>
    <w:p>
      <w:pPr>
        <w:pStyle w:val="FirstParagraph"/>
      </w:pPr>
      <w:r>
        <w:t xml:space="preserve">merged table appears orderly</w:t>
      </w:r>
      <w:r>
        <w:t xml:space="preserve"> </w:t>
      </w:r>
      <w:r>
        <w:t xml:space="preserve">→ linkage uncertainty disappears</w:t>
      </w:r>
    </w:p>
    <w:p>
      <w:pPr>
        <w:pStyle w:val="BodyText"/>
      </w:pPr>
      <w:r>
        <w:t xml:space="preserve">The table’s cleanliness suppresses attention to the construction layer.</w:t>
      </w:r>
    </w:p>
    <w:p>
      <w:pPr>
        <w:numPr>
          <w:ilvl w:val="0"/>
          <w:numId w:val="1004"/>
        </w:numPr>
        <w:pStyle w:val="Compact"/>
      </w:pPr>
      <w:r>
        <w:t xml:space="preserve">Threshold Discretion Disappears</w:t>
      </w:r>
    </w:p>
    <w:p>
      <w:pPr>
        <w:pStyle w:val="FirstParagraph"/>
      </w:pPr>
      <w:r>
        <w:t xml:space="preserve">similarity threshold chosen</w:t>
      </w:r>
      <w:r>
        <w:t xml:space="preserve"> </w:t>
      </w:r>
      <w:r>
        <w:t xml:space="preserve">→ sample composition changes</w:t>
      </w:r>
      <w:r>
        <w:t xml:space="preserve"> </w:t>
      </w:r>
      <w:r>
        <w:t xml:space="preserve">→ threshold choice unreported</w:t>
      </w:r>
    </w:p>
    <w:p>
      <w:pPr>
        <w:pStyle w:val="BodyText"/>
      </w:pPr>
      <w:r>
        <w:t xml:space="preserve">A discretionary boundary becomes invisible inside the resulting dataset.</w:t>
      </w:r>
    </w:p>
    <w:p>
      <w:pPr>
        <w:numPr>
          <w:ilvl w:val="0"/>
          <w:numId w:val="1005"/>
        </w:numPr>
        <w:pStyle w:val="Compact"/>
      </w:pPr>
      <w:r>
        <w:t xml:space="preserve">Candidate Loss Before Review</w:t>
      </w:r>
    </w:p>
    <w:p>
      <w:pPr>
        <w:pStyle w:val="FirstParagraph"/>
      </w:pPr>
      <w:r>
        <w:t xml:space="preserve">candidate generation filters records</w:t>
      </w:r>
      <w:r>
        <w:t xml:space="preserve"> </w:t>
      </w:r>
      <w:r>
        <w:t xml:space="preserve">→ downstream classifier never sees missing true matches</w:t>
      </w:r>
    </w:p>
    <w:p>
      <w:pPr>
        <w:pStyle w:val="BodyText"/>
      </w:pPr>
      <w:r>
        <w:t xml:space="preserve">Failure occurs before the validation layer can observe it.</w:t>
      </w:r>
    </w:p>
    <w:p>
      <w:pPr>
        <w:numPr>
          <w:ilvl w:val="0"/>
          <w:numId w:val="1006"/>
        </w:numPr>
        <w:pStyle w:val="Compact"/>
      </w:pPr>
      <w:r>
        <w:t xml:space="preserve">Parent–Subunit Substitution</w:t>
      </w:r>
    </w:p>
    <w:p>
      <w:pPr>
        <w:pStyle w:val="FirstParagraph"/>
      </w:pPr>
      <w:r>
        <w:t xml:space="preserve">subunit / brand / local entity</w:t>
      </w:r>
      <w:r>
        <w:t xml:space="preserve"> </w:t>
      </w:r>
      <w:r>
        <w:t xml:space="preserve">→ mapped to parent entity</w:t>
      </w:r>
      <w:r>
        <w:t xml:space="preserve"> </w:t>
      </w:r>
      <w:r>
        <w:t xml:space="preserve">→ role difference hidden</w:t>
      </w:r>
    </w:p>
    <w:p>
      <w:pPr>
        <w:pStyle w:val="BodyText"/>
      </w:pPr>
      <w:r>
        <w:t xml:space="preserve">A higher-level entity absorbs the evidence role of a lower-level actor.</w:t>
      </w:r>
    </w:p>
    <w:p>
      <w:pPr>
        <w:numPr>
          <w:ilvl w:val="0"/>
          <w:numId w:val="1007"/>
        </w:numPr>
        <w:pStyle w:val="Compact"/>
      </w:pPr>
      <w:r>
        <w:t xml:space="preserve">Temporal Identity Flattening</w:t>
      </w:r>
    </w:p>
    <w:p>
      <w:pPr>
        <w:pStyle w:val="FirstParagraph"/>
      </w:pPr>
      <w:r>
        <w:t xml:space="preserve">current name or identifier</w:t>
      </w:r>
      <w:r>
        <w:t xml:space="preserve"> </w:t>
      </w:r>
      <w:r>
        <w:t xml:space="preserve">→ applied backward across time</w:t>
      </w:r>
    </w:p>
    <w:p>
      <w:pPr>
        <w:pStyle w:val="BodyText"/>
      </w:pPr>
      <w:r>
        <w:t xml:space="preserve">Entity continuity is imposed after the fact.</w:t>
      </w:r>
    </w:p>
    <w:p>
      <w:pPr>
        <w:numPr>
          <w:ilvl w:val="0"/>
          <w:numId w:val="1008"/>
        </w:numPr>
        <w:pStyle w:val="Compact"/>
      </w:pPr>
      <w:r>
        <w:t xml:space="preserve">Human-Over-The-Loop Without Support</w:t>
      </w:r>
    </w:p>
    <w:p>
      <w:pPr>
        <w:pStyle w:val="FirstParagraph"/>
      </w:pPr>
      <w:r>
        <w:t xml:space="preserve">machine generates candidate links</w:t>
      </w:r>
      <w:r>
        <w:t xml:space="preserve"> </w:t>
      </w:r>
      <w:r>
        <w:t xml:space="preserve">→ human remains responsible</w:t>
      </w:r>
      <w:r>
        <w:t xml:space="preserve"> </w:t>
      </w:r>
      <w:r>
        <w:t xml:space="preserve">→ audit structure is incomplete</w:t>
      </w:r>
    </w:p>
    <w:p>
      <w:pPr>
        <w:pStyle w:val="BodyText"/>
      </w:pPr>
      <w:r>
        <w:t xml:space="preserve">Delegated execution occurs without sufficient retained answerability support.</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09"/>
        </w:numPr>
      </w:pPr>
      <w:r>
        <w:t xml:space="preserve">What is the target entity?</w:t>
      </w:r>
    </w:p>
    <w:p>
      <w:pPr>
        <w:numPr>
          <w:ilvl w:val="0"/>
          <w:numId w:val="1009"/>
        </w:numPr>
      </w:pPr>
      <w:r>
        <w:t xml:space="preserve">What level is being matched: record, person, organization, product, brand, document, citation, parent entity, subunit, platform profile, or time-bound identity?</w:t>
      </w:r>
    </w:p>
    <w:p>
      <w:pPr>
        <w:numPr>
          <w:ilvl w:val="0"/>
          <w:numId w:val="1009"/>
        </w:numPr>
      </w:pPr>
      <w:r>
        <w:t xml:space="preserve">Are the linked records actually equivalent, or only related?</w:t>
      </w:r>
    </w:p>
    <w:p>
      <w:pPr>
        <w:numPr>
          <w:ilvl w:val="0"/>
          <w:numId w:val="1009"/>
        </w:numPr>
      </w:pPr>
      <w:r>
        <w:t xml:space="preserve">What counts as allowable equivalence?</w:t>
      </w:r>
    </w:p>
    <w:p>
      <w:pPr>
        <w:numPr>
          <w:ilvl w:val="0"/>
          <w:numId w:val="1009"/>
        </w:numPr>
      </w:pPr>
      <w:r>
        <w:t xml:space="preserve">Is the match one-to-one, one-to-many, many-to-one, or many-to-many?</w:t>
      </w:r>
    </w:p>
    <w:p>
      <w:pPr>
        <w:numPr>
          <w:ilvl w:val="0"/>
          <w:numId w:val="1009"/>
        </w:numPr>
      </w:pPr>
      <w:r>
        <w:t xml:space="preserve">Are temporal validity rules specified?</w:t>
      </w:r>
    </w:p>
    <w:p>
      <w:pPr>
        <w:numPr>
          <w:ilvl w:val="0"/>
          <w:numId w:val="1009"/>
        </w:numPr>
      </w:pPr>
      <w:r>
        <w:t xml:space="preserve">Are name changes, aliases, parent–subsidiary relations, ownership changes, or role shifts handled explicitly?</w:t>
      </w:r>
    </w:p>
    <w:p>
      <w:pPr>
        <w:numPr>
          <w:ilvl w:val="0"/>
          <w:numId w:val="1009"/>
        </w:numPr>
      </w:pPr>
      <w:r>
        <w:t xml:space="preserve">What candidate generation rules were used?</w:t>
      </w:r>
    </w:p>
    <w:p>
      <w:pPr>
        <w:numPr>
          <w:ilvl w:val="0"/>
          <w:numId w:val="1009"/>
        </w:numPr>
      </w:pPr>
      <w:r>
        <w:t xml:space="preserve">What records were excluded before matching?</w:t>
      </w:r>
    </w:p>
    <w:p>
      <w:pPr>
        <w:numPr>
          <w:ilvl w:val="0"/>
          <w:numId w:val="1009"/>
        </w:numPr>
      </w:pPr>
      <w:r>
        <w:t xml:space="preserve">What threshold, score, or review rule accepted the match?</w:t>
      </w:r>
    </w:p>
    <w:p>
      <w:pPr>
        <w:numPr>
          <w:ilvl w:val="0"/>
          <w:numId w:val="1009"/>
        </w:numPr>
      </w:pPr>
      <w:r>
        <w:t xml:space="preserve">What validation set or audit sample supports the match quality?</w:t>
      </w:r>
    </w:p>
    <w:p>
      <w:pPr>
        <w:numPr>
          <w:ilvl w:val="0"/>
          <w:numId w:val="1009"/>
        </w:numPr>
      </w:pPr>
      <w:r>
        <w:t xml:space="preserve">Are false positives and false negatives reported?</w:t>
      </w:r>
    </w:p>
    <w:p>
      <w:pPr>
        <w:numPr>
          <w:ilvl w:val="0"/>
          <w:numId w:val="1009"/>
        </w:numPr>
      </w:pPr>
      <w:r>
        <w:t xml:space="preserve">Are unmatched records retained, routed, or silently dropped?</w:t>
      </w:r>
    </w:p>
    <w:p>
      <w:pPr>
        <w:numPr>
          <w:ilvl w:val="0"/>
          <w:numId w:val="1009"/>
        </w:numPr>
      </w:pPr>
      <w:r>
        <w:t xml:space="preserve">Can another reviewer reconstruct the matching decision?</w:t>
      </w:r>
    </w:p>
    <w:p>
      <w:pPr>
        <w:numPr>
          <w:ilvl w:val="0"/>
          <w:numId w:val="1009"/>
        </w:numPr>
      </w:pPr>
      <w:r>
        <w:t xml:space="preserve">Does downstream analysis depend on the matched sample as if the linkage layer were stable?</w:t>
      </w:r>
    </w:p>
    <w:p>
      <w:r>
        <w:pict>
          <v:rect style="width:0;height:1.5pt" o:hralign="center" o:hrstd="t" o:hr="t"/>
        </w:pict>
      </w:r>
    </w:p>
    <w:bookmarkEnd w:id="31"/>
    <w:bookmarkStart w:id="37" w:name="application-domains"/>
    <w:p>
      <w:pPr>
        <w:pStyle w:val="Heading2"/>
      </w:pPr>
      <w:r>
        <w:t xml:space="preserve">9. Application Domains</w:t>
      </w:r>
    </w:p>
    <w:bookmarkStart w:id="32" w:name="longitudinal-research"/>
    <w:p>
      <w:pPr>
        <w:pStyle w:val="Heading3"/>
      </w:pPr>
      <w:r>
        <w:t xml:space="preserve">1. Longitudinal research</w:t>
      </w:r>
    </w:p>
    <w:p>
      <w:pPr>
        <w:pStyle w:val="FirstParagraph"/>
      </w:pPr>
      <w:r>
        <w:t xml:space="preserve">Linkage across time can create or break individual histories, affecting attrition, exposure, and outcome measurement.</w:t>
      </w:r>
    </w:p>
    <w:bookmarkEnd w:id="32"/>
    <w:bookmarkStart w:id="33" w:name="public-and-administrative-data"/>
    <w:p>
      <w:pPr>
        <w:pStyle w:val="Heading3"/>
      </w:pPr>
      <w:r>
        <w:t xml:space="preserve">2. Public and administrative data</w:t>
      </w:r>
    </w:p>
    <w:p>
      <w:pPr>
        <w:pStyle w:val="FirstParagraph"/>
      </w:pPr>
      <w:r>
        <w:t xml:space="preserve">Identity systems and record integration can determine eligibility, service histories, and institutional visibility.</w:t>
      </w:r>
    </w:p>
    <w:bookmarkEnd w:id="33"/>
    <w:bookmarkStart w:id="34" w:name="health-and-social-research"/>
    <w:p>
      <w:pPr>
        <w:pStyle w:val="Heading3"/>
      </w:pPr>
      <w:r>
        <w:t xml:space="preserve">3. Health and social research</w:t>
      </w:r>
    </w:p>
    <w:p>
      <w:pPr>
        <w:pStyle w:val="FirstParagraph"/>
      </w:pPr>
      <w:r>
        <w:t xml:space="preserve">Uneven identifiers and source coverage can produce differential linkage quality across groups.</w:t>
      </w:r>
    </w:p>
    <w:bookmarkEnd w:id="34"/>
    <w:bookmarkStart w:id="35" w:name="X5e90f4efc861464368cf79b4655a351ebb6134d"/>
    <w:p>
      <w:pPr>
        <w:pStyle w:val="Heading3"/>
      </w:pPr>
      <w:r>
        <w:t xml:space="preserve">4. Bibliometrics and organizational analysis</w:t>
      </w:r>
    </w:p>
    <w:p>
      <w:pPr>
        <w:pStyle w:val="FirstParagraph"/>
      </w:pPr>
      <w:r>
        <w:t xml:space="preserve">Author, institution, and publication identities can be merged or split in ways that reshape networks and productivity claims.</w:t>
      </w:r>
    </w:p>
    <w:bookmarkEnd w:id="35"/>
    <w:bookmarkStart w:id="36" w:name="fraud-compliance-and-risk-systems"/>
    <w:p>
      <w:pPr>
        <w:pStyle w:val="Heading3"/>
      </w:pPr>
      <w:r>
        <w:t xml:space="preserve">5. Fraud, compliance, and risk systems</w:t>
      </w:r>
    </w:p>
    <w:p>
      <w:pPr>
        <w:pStyle w:val="FirstParagraph"/>
      </w:pPr>
      <w:r>
        <w:t xml:space="preserve">Aggressive linkage can concentrate suspicion on merged identities, while conservative linkage can miss distributed patterns.</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provenancevalidity-separation-model"/>
    <w:p>
      <w:pPr>
        <w:pStyle w:val="Heading3"/>
      </w:pPr>
      <w:r>
        <w:t xml:space="preserve">1.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38"/>
    <w:bookmarkStart w:id="39" w:name="responsibility-alignment-model"/>
    <w:p>
      <w:pPr>
        <w:pStyle w:val="Heading3"/>
      </w:pPr>
      <w:r>
        <w:t xml:space="preserve">2.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39"/>
    <w:bookmarkStart w:id="40" w:name="boundary-failure-diagnostics"/>
    <w:p>
      <w:pPr>
        <w:pStyle w:val="Heading3"/>
      </w:pPr>
      <w:r>
        <w:t xml:space="preserve">3.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bookmarkEnd w:id="40"/>
    <w:bookmarkStart w:id="41" w:name="cost-visibility-and-redistribution-model"/>
    <w:p>
      <w:pPr>
        <w:pStyle w:val="Heading3"/>
      </w:pPr>
      <w:r>
        <w:t xml:space="preserve">4. Cost Visibility and Redistribution Model</w:t>
      </w:r>
    </w:p>
    <w:p>
      <w:pPr>
        <w:pStyle w:val="FirstParagraph"/>
      </w:pPr>
      <w:r>
        <w:t xml:space="preserve">Cost Visibility and Redistribution Model tracks how costs become visible at one node and hidden or displaced at another. The present entry shows how verification, correction, access, or responsibility costs can be redistributed by the relevant interface.</w:t>
      </w:r>
    </w:p>
    <w:bookmarkEnd w:id="41"/>
    <w:bookmarkStart w:id="42" w:name="observerrepresentation-boundary"/>
    <w:p>
      <w:pPr>
        <w:pStyle w:val="Heading3"/>
      </w:pPr>
      <w:r>
        <w:t xml:space="preserve">5. Observer–Representation Boundary</w:t>
      </w:r>
    </w:p>
    <w:p>
      <w:pPr>
        <w:pStyle w:val="FirstParagraph"/>
      </w:pPr>
      <w:r>
        <w:t xml:space="preserve">Observer–Representation Boundary separates what an observer can read from what a representation can legitimately establish. The present entry specifies the evidential or operational consequences of crossing that boundary.</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 entity matching, record linkage, data merging, identity resolution, metadata reconciliation, or cross-source alignment affects what enters the analytic sample.</w:t>
      </w:r>
    </w:p>
    <w:p>
      <w:pPr>
        <w:pStyle w:val="BodyText"/>
      </w:pPr>
      <w:r>
        <w:t xml:space="preserve">The boundary is crossed when:</w:t>
      </w:r>
    </w:p>
    <w:p>
      <w:pPr>
        <w:pStyle w:val="BodyText"/>
      </w:pPr>
      <w:r>
        <w:t xml:space="preserve">linked records</w:t>
      </w:r>
      <w:r>
        <w:t xml:space="preserve"> </w:t>
      </w:r>
      <w:r>
        <w:t xml:space="preserve">→ treated as stable entities</w:t>
      </w:r>
    </w:p>
    <w:p>
      <w:pPr>
        <w:pStyle w:val="BodyText"/>
      </w:pPr>
      <w:r>
        <w:t xml:space="preserve">or:</w:t>
      </w:r>
    </w:p>
    <w:p>
      <w:pPr>
        <w:pStyle w:val="BodyText"/>
      </w:pPr>
      <w:r>
        <w:t xml:space="preserve">merged dataset</w:t>
      </w:r>
      <w:r>
        <w:t xml:space="preserve"> </w:t>
      </w:r>
      <w:r>
        <w:t xml:space="preserve">→ treated as neutral evidence base</w:t>
      </w:r>
    </w:p>
    <w:p>
      <w:pPr>
        <w:pStyle w:val="BodyText"/>
      </w:pPr>
      <w:r>
        <w:t xml:space="preserve">without sufficient disclosure of the matching logic.</w:t>
      </w:r>
    </w:p>
    <w:p>
      <w:pPr>
        <w:pStyle w:val="BodyText"/>
      </w:pPr>
      <w:r>
        <w:t xml:space="preserve">It does not apply merely because two datasets are joined. It applies when linkage decisions materially shape evidence while remaining under-specified or unauditable.</w:t>
      </w:r>
    </w:p>
    <w:bookmarkEnd w:id="44"/>
    <w:bookmarkStart w:id="45" w:name="non-applicability"/>
    <w:p>
      <w:pPr>
        <w:pStyle w:val="Heading3"/>
      </w:pPr>
      <w:r>
        <w:t xml:space="preserve">11.2 Non-Applicability</w:t>
      </w:r>
    </w:p>
    <w:p>
      <w:pPr>
        <w:pStyle w:val="FirstParagraph"/>
      </w:pPr>
      <w:r>
        <w:t xml:space="preserve">This note should not be used to claim that all record linkage is invalid, all automated matching is unreliable, or all merged datasets are suspect.</w:t>
      </w:r>
    </w:p>
    <w:p>
      <w:pPr>
        <w:pStyle w:val="BodyText"/>
      </w:pPr>
      <w:r>
        <w:t xml:space="preserve">It does not apply well when:</w:t>
      </w:r>
    </w:p>
    <w:p>
      <w:pPr>
        <w:pStyle w:val="BodyText"/>
      </w:pPr>
      <w:r>
        <w:t xml:space="preserve">shared stable identifiers exist</w:t>
      </w:r>
    </w:p>
    <w:p>
      <w:pPr>
        <w:pStyle w:val="BodyText"/>
      </w:pPr>
      <w:r>
        <w:t xml:space="preserve">entity definitions are clear</w:t>
      </w:r>
    </w:p>
    <w:p>
      <w:pPr>
        <w:pStyle w:val="BodyText"/>
      </w:pPr>
      <w:r>
        <w:t xml:space="preserve">equivalence rules are explicit</w:t>
      </w:r>
    </w:p>
    <w:p>
      <w:pPr>
        <w:pStyle w:val="BodyText"/>
      </w:pPr>
      <w:r>
        <w:t xml:space="preserve">matching does not affect analytic inclusion</w:t>
      </w:r>
    </w:p>
    <w:p>
      <w:pPr>
        <w:pStyle w:val="BodyText"/>
      </w:pPr>
      <w:r>
        <w:t xml:space="preserve">linkage uncertainty is low and disclosed</w:t>
      </w:r>
    </w:p>
    <w:p>
      <w:pPr>
        <w:pStyle w:val="BodyText"/>
      </w:pPr>
      <w:r>
        <w:t xml:space="preserve">validation is proportionate to consequence</w:t>
      </w:r>
    </w:p>
    <w:p>
      <w:pPr>
        <w:pStyle w:val="BodyText"/>
      </w:pPr>
      <w:r>
        <w:t xml:space="preserve">unmatched cases are logged rather than silently dropped</w:t>
      </w:r>
    </w:p>
    <w:p>
      <w:pPr>
        <w:pStyle w:val="BodyText"/>
      </w:pPr>
      <w:r>
        <w:t xml:space="preserve">the merged data is used only for low-consequence exploration</w:t>
      </w:r>
    </w:p>
    <w:p>
      <w:pPr>
        <w:pStyle w:val="BodyText"/>
      </w:pPr>
      <w:r>
        <w:t xml:space="preserve">The narrower concern is:</w:t>
      </w:r>
    </w:p>
    <w:p>
      <w:pPr>
        <w:pStyle w:val="BodyText"/>
      </w:pPr>
      <w:r>
        <w:t xml:space="preserve">sample construction becomes hidden when linkage decisions are treated as neutral preprocessing.</w:t>
      </w:r>
    </w:p>
    <w:p>
      <w:pPr>
        <w:pStyle w:val="BodyText"/>
      </w:pPr>
      <w:r>
        <w:t xml:space="preserve">Relation to Protocol Function</w:t>
      </w:r>
    </w:p>
    <w:p>
      <w:pPr>
        <w:pStyle w:val="BodyText"/>
      </w:pPr>
      <w:r>
        <w:t xml:space="preserve">This Note names the boundary.</w:t>
      </w:r>
    </w:p>
    <w:p>
      <w:pPr>
        <w:pStyle w:val="BodyText"/>
      </w:pPr>
      <w:r>
        <w:t xml:space="preserve">The protocol-facing function specifies the minimum audit layer required when the boundary is active.</w:t>
      </w:r>
    </w:p>
    <w:p>
      <w:pPr>
        <w:pStyle w:val="BodyText"/>
      </w:pPr>
      <w:r>
        <w:t xml:space="preserve">Entity-Linkage / Sample-Construction Boundary Note</w:t>
      </w:r>
      <w:r>
        <w:t xml:space="preserve"> </w:t>
      </w:r>
      <w:r>
        <w:t xml:space="preserve">→ identifies the structural risk</w:t>
      </w:r>
    </w:p>
    <w:p>
      <w:pPr>
        <w:pStyle w:val="BodyText"/>
      </w:pPr>
      <w:r>
        <w:t xml:space="preserve">Entity Matching Auditability Protocol Anchor</w:t>
      </w:r>
      <w:r>
        <w:t xml:space="preserve"> </w:t>
      </w:r>
      <w:r>
        <w:t xml:space="preserve">→ specifies the reporting and archival function</w:t>
      </w:r>
    </w:p>
    <w:p>
      <w:pPr>
        <w:pStyle w:val="BodyText"/>
      </w:pPr>
      <w:r>
        <w:t xml:space="preserve">Compact relation:</w:t>
      </w:r>
    </w:p>
    <w:bookmarkEnd w:id="45"/>
    <w:bookmarkEnd w:id="46"/>
    <w:bookmarkStart w:id="47" w:name="boundary-note"/>
    <w:p>
      <w:pPr>
        <w:pStyle w:val="Heading1"/>
      </w:pPr>
      <w:r>
        <w:t xml:space="preserve">boundary note</w:t>
      </w:r>
    </w:p>
    <w:p>
      <w:pPr>
        <w:pStyle w:val="FirstParagraph"/>
      </w:pPr>
      <w:r>
        <w:t xml:space="preserve">what can go wrong</w:t>
      </w:r>
    </w:p>
    <w:bookmarkEnd w:id="47"/>
    <w:bookmarkStart w:id="58" w:name="protocol-anchor"/>
    <w:p>
      <w:pPr>
        <w:pStyle w:val="Heading1"/>
      </w:pPr>
      <w:r>
        <w:t xml:space="preserve">protocol anchor</w:t>
      </w:r>
    </w:p>
    <w:p>
      <w:pPr>
        <w:pStyle w:val="FirstParagraph"/>
      </w:pPr>
      <w:r>
        <w:t xml:space="preserve">what must remain inspectable</w:t>
      </w:r>
    </w:p>
    <w:p>
      <w:r>
        <w:pict>
          <v:rect style="width:0;height:1.5pt" o:hralign="center" o:hrstd="t" o:hr="t"/>
        </w:pict>
      </w:r>
    </w:p>
    <w:bookmarkStart w:id="48"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Entity-Linkage / Sample-Construction Boundary</w:t>
      </w:r>
      <w:r>
        <w:t xml:space="preserve"> </w:t>
      </w:r>
      <w:r>
        <w:t xml:space="preserve">only when the relevant structure can be demonstrated from available evidence.</w:t>
      </w:r>
    </w:p>
    <w:p>
      <w:r>
        <w:pict>
          <v:rect style="width:0;height:1.5pt" o:hralign="center" o:hrstd="t" o:hr="t"/>
        </w:pict>
      </w:r>
    </w:p>
    <w:bookmarkEnd w:id="48"/>
    <w:bookmarkStart w:id="54" w:name="limitations"/>
    <w:p>
      <w:pPr>
        <w:pStyle w:val="Heading2"/>
      </w:pPr>
      <w:r>
        <w:t xml:space="preserve">13. Limitations</w:t>
      </w:r>
    </w:p>
    <w:bookmarkStart w:id="49" w:name="no-algorithmic-prescription"/>
    <w:p>
      <w:pPr>
        <w:pStyle w:val="Heading3"/>
      </w:pPr>
      <w:r>
        <w:t xml:space="preserve">1. No algorithmic prescription</w:t>
      </w:r>
    </w:p>
    <w:p>
      <w:pPr>
        <w:pStyle w:val="FirstParagraph"/>
      </w:pPr>
      <w:r>
        <w:t xml:space="preserve">The note does not select deterministic, probabilistic, privacy-preserving, or machine-learning linkage methods.</w:t>
      </w:r>
    </w:p>
    <w:bookmarkEnd w:id="49"/>
    <w:bookmarkStart w:id="50" w:name="no-universal-error-threshold"/>
    <w:p>
      <w:pPr>
        <w:pStyle w:val="Heading3"/>
      </w:pPr>
      <w:r>
        <w:t xml:space="preserve">2. No universal error threshold</w:t>
      </w:r>
    </w:p>
    <w:p>
      <w:pPr>
        <w:pStyle w:val="FirstParagraph"/>
      </w:pPr>
      <w:r>
        <w:t xml:space="preserve">Acceptable false-match and missed-match rates depend on consequence and use.</w:t>
      </w:r>
    </w:p>
    <w:bookmarkEnd w:id="50"/>
    <w:bookmarkStart w:id="51" w:name="ground-truth-can-be-unavailable"/>
    <w:p>
      <w:pPr>
        <w:pStyle w:val="Heading3"/>
      </w:pPr>
      <w:r>
        <w:t xml:space="preserve">3. Ground truth can be unavailable</w:t>
      </w:r>
    </w:p>
    <w:p>
      <w:pPr>
        <w:pStyle w:val="FirstParagraph"/>
      </w:pPr>
      <w:r>
        <w:t xml:space="preserve">Validation data may itself be incomplete or institutionally produced.</w:t>
      </w:r>
    </w:p>
    <w:bookmarkEnd w:id="51"/>
    <w:bookmarkStart w:id="52" w:name="X5aea284d50b1caaf4d5e7e43fd8e1c25bc6635f"/>
    <w:p>
      <w:pPr>
        <w:pStyle w:val="Heading3"/>
      </w:pPr>
      <w:r>
        <w:t xml:space="preserve">4. Linkage is only one source of sample bias</w:t>
      </w:r>
    </w:p>
    <w:p>
      <w:pPr>
        <w:pStyle w:val="FirstParagraph"/>
      </w:pPr>
      <w:r>
        <w:t xml:space="preserve">Coverage, measurement, consent, missingness, and attrition also shape the sample.</w:t>
      </w:r>
    </w:p>
    <w:bookmarkEnd w:id="52"/>
    <w:bookmarkStart w:id="53" w:name="legal-and-ethical-requirements-vary"/>
    <w:p>
      <w:pPr>
        <w:pStyle w:val="Heading3"/>
      </w:pPr>
      <w:r>
        <w:t xml:space="preserve">5. Legal and ethical requirements vary</w:t>
      </w:r>
    </w:p>
    <w:p>
      <w:pPr>
        <w:pStyle w:val="FirstParagraph"/>
      </w:pPr>
      <w:r>
        <w:t xml:space="preserve">The framework does not replace domain-specific privacy, consent, or data-governance rules.</w:t>
      </w:r>
    </w:p>
    <w:p>
      <w:r>
        <w:pict>
          <v:rect style="width:0;height:1.5pt" o:hralign="center" o:hrstd="t" o:hr="t"/>
        </w:pict>
      </w:r>
    </w:p>
    <w:bookmarkEnd w:id="53"/>
    <w:bookmarkEnd w:id="54"/>
    <w:bookmarkStart w:id="55" w:name="minimal-formulation"/>
    <w:p>
      <w:pPr>
        <w:pStyle w:val="Heading2"/>
      </w:pPr>
      <w:r>
        <w:t xml:space="preserve">14. Minimal Formulation</w:t>
      </w:r>
    </w:p>
    <w:p>
      <w:pPr>
        <w:pStyle w:val="FirstParagraph"/>
      </w:pPr>
      <w:r>
        <w:t xml:space="preserve">entity name ≠ entity identity</w:t>
      </w:r>
    </w:p>
    <w:p>
      <w:pPr>
        <w:pStyle w:val="BodyText"/>
      </w:pPr>
      <w:r>
        <w:t xml:space="preserve">record linkage ≠ construct alignment</w:t>
      </w:r>
    </w:p>
    <w:p>
      <w:pPr>
        <w:pStyle w:val="BodyText"/>
      </w:pPr>
      <w:r>
        <w:t xml:space="preserve">candidate match ≠ validated match</w:t>
      </w:r>
    </w:p>
    <w:p>
      <w:pPr>
        <w:pStyle w:val="BodyText"/>
      </w:pPr>
      <w:r>
        <w:t xml:space="preserve">matched table ≠ transparent sample construction</w:t>
      </w:r>
    </w:p>
    <w:p>
      <w:pPr>
        <w:pStyle w:val="BodyText"/>
      </w:pPr>
      <w:r>
        <w:t xml:space="preserve">identifier availability ≠ conceptual equivalence</w:t>
      </w:r>
    </w:p>
    <w:p>
      <w:pPr>
        <w:pStyle w:val="BodyText"/>
      </w:pPr>
      <w:r>
        <w:t xml:space="preserve">high similarity score ≠ correct linkage</w:t>
      </w:r>
    </w:p>
    <w:p>
      <w:pPr>
        <w:pStyle w:val="BodyText"/>
      </w:pPr>
      <w:r>
        <w:t xml:space="preserve">automated matching ≠ audit completion</w:t>
      </w:r>
    </w:p>
    <w:p>
      <w:pPr>
        <w:pStyle w:val="BodyText"/>
      </w:pPr>
      <w:r>
        <w:t xml:space="preserve">human review ≠ unrestricted responsibility transfer</w:t>
      </w:r>
    </w:p>
    <w:p>
      <w:pPr>
        <w:pStyle w:val="BodyText"/>
      </w:pPr>
      <w:r>
        <w:t xml:space="preserve">clean merge output ≠ completed verification</w:t>
      </w:r>
    </w:p>
    <w:p>
      <w:pPr>
        <w:pStyle w:val="BodyText"/>
      </w:pPr>
      <w:r>
        <w:t xml:space="preserve">matching choice ≠ neutral preprocessing</w:t>
      </w:r>
    </w:p>
    <w:p>
      <w:pPr>
        <w:pStyle w:val="BodyText"/>
      </w:pPr>
      <w:r>
        <w:t xml:space="preserve">parent entity ≠ local actor by default</w:t>
      </w:r>
    </w:p>
    <w:p>
      <w:pPr>
        <w:pStyle w:val="BodyText"/>
      </w:pPr>
      <w:r>
        <w:t xml:space="preserve">temporal alignment ≠ entity continuity</w:t>
      </w:r>
    </w:p>
    <w:p>
      <w:pPr>
        <w:pStyle w:val="BodyText"/>
      </w:pPr>
      <w:r>
        <w:t xml:space="preserve">same label ≠ same role</w:t>
      </w:r>
    </w:p>
    <w:p>
      <w:pPr>
        <w:pStyle w:val="BodyText"/>
      </w:pPr>
      <w:r>
        <w:t xml:space="preserve">linked evidence requires linkage evidence</w:t>
      </w:r>
    </w:p>
    <w:p>
      <w:pPr>
        <w:pStyle w:val="BodyText"/>
      </w:pPr>
      <w:r>
        <w:t xml:space="preserve">a dataset is not only analyzed; it is assembled</w:t>
      </w:r>
    </w:p>
    <w:p>
      <w:pPr>
        <w:pStyle w:val="BodyText"/>
      </w:pPr>
      <w:r>
        <w:t xml:space="preserve">Matching is not preprocessing; it is sample construction.</w:t>
      </w:r>
    </w:p>
    <w:p>
      <w:pPr>
        <w:pStyle w:val="BodyText"/>
      </w:pPr>
      <w:r>
        <w:t xml:space="preserve">Alternative compressed form:</w:t>
      </w:r>
    </w:p>
    <w:p>
      <w:pPr>
        <w:pStyle w:val="BodyText"/>
      </w:pPr>
      <w:r>
        <w:t xml:space="preserve">Evidence changes when the linkage layer is hidden.</w:t>
      </w:r>
    </w:p>
    <w:p>
      <w:r>
        <w:pict>
          <v:rect style="width:0;height:1.5pt" o:hralign="center" o:hrstd="t" o:hr="t"/>
        </w:pict>
      </w:r>
    </w:p>
    <w:bookmarkEnd w:id="55"/>
    <w:bookmarkStart w:id="56" w:name="conclusion"/>
    <w:p>
      <w:pPr>
        <w:pStyle w:val="Heading2"/>
      </w:pPr>
      <w:r>
        <w:t xml:space="preserve">15. Conclusion</w:t>
      </w:r>
    </w:p>
    <w:p>
      <w:pPr>
        <w:pStyle w:val="FirstParagraph"/>
      </w:pPr>
      <w:r>
        <w:t xml:space="preserve">Entity linkage is simultaneously a matching operation and a sample-construction operation. Treating it only as technical preprocessing hides the decisions that determine population membership, historical continuity, and uncertainty.</w:t>
      </w:r>
    </w:p>
    <w:p>
      <w:pPr>
        <w:pStyle w:val="BodyText"/>
      </w:pPr>
      <w:r>
        <w:t xml:space="preserve">A structurally adequate account reports how entities were defined, how matches were made and reviewed, how uncertainty was handled, and how linkage error could affect the claims made from the resulting sample.</w:t>
      </w:r>
    </w:p>
    <w:p>
      <w:r>
        <w:pict>
          <v:rect style="width:0;height:1.5pt" o:hralign="center" o:hrstd="t" o:hr="t"/>
        </w:pict>
      </w:r>
    </w:p>
    <w:bookmarkEnd w:id="56"/>
    <w:bookmarkStart w:id="57" w:name="naming-declaration"/>
    <w:p>
      <w:pPr>
        <w:pStyle w:val="Heading2"/>
      </w:pPr>
      <w:r>
        <w:t xml:space="preserve">Naming Declaration</w:t>
      </w:r>
    </w:p>
    <w:p>
      <w:pPr>
        <w:pStyle w:val="FirstParagraph"/>
      </w:pPr>
      <w:r>
        <w:t xml:space="preserve">Entity-Linkage / Sample-Construction Boundary is a Meta-Writing Ecology term for the boundary between linking records and constructing an evidential sample.</w:t>
      </w:r>
    </w:p>
    <w:p>
      <w:pPr>
        <w:pStyle w:val="BodyText"/>
      </w:pPr>
      <w:r>
        <w:t xml:space="preserve">The term entity-linkage refers to the process by which records, names, identifiers, labels, citations, profiles, products, organizations, documents, people, or other units are treated as referring to the same or related entity across source systems.</w:t>
      </w:r>
    </w:p>
    <w:p>
      <w:pPr>
        <w:pStyle w:val="BodyText"/>
      </w:pPr>
      <w:r>
        <w:t xml:space="preserve">The term sample-construction boundary refers to the point at which linkage decisions begin to determine what enters the analytic object, what is excluded, what is treated as equivalent, and what downstream claims can be made.</w:t>
      </w:r>
    </w:p>
    <w:p>
      <w:pPr>
        <w:pStyle w:val="BodyText"/>
      </w:pPr>
      <w:r>
        <w:t xml:space="preserve">This term does not refer to any specific discipline, dataset type, matching technology, market, institution, provider, software system, or empirical domain.</w:t>
      </w:r>
    </w:p>
    <w:p>
      <w:pPr>
        <w:pStyle w:val="BodyText"/>
      </w:pPr>
      <w:r>
        <w:t xml:space="preserve">Within Meta-Writing Ecology, the term functions as a protocol-facing note. It clarifies how data construction, verification labor, responsibility alignment, false legibility, proxy substitution, and AI-readable auditability intersect when linked records become evidence.</w:t>
      </w:r>
    </w:p>
    <w:p>
      <w:pPr>
        <w:pStyle w:val="BodyText"/>
      </w:pPr>
      <w:r>
        <w:t xml:space="preserve">It should be used when a merged dataset appears ready for analysis but its linkage layer remains insufficiently visible, validated, or auditable.</w:t>
      </w:r>
    </w:p>
    <w:p>
      <w:pPr>
        <w:pStyle w:val="BodyText"/>
      </w:pPr>
      <w:r>
        <w:t xml:space="preserve">Entity Matching Auditability Protocol Anchor</w:t>
      </w:r>
    </w:p>
    <w:bookmarkEnd w:id="57"/>
    <w:bookmarkEnd w:id="58"/>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Entity-Linkage / Sample-Construction Boundary</dc:title>
  <dc:creator>Huang Tzuyuan</dc:creator>
  <cp:keywords/>
  <dcterms:created xsi:type="dcterms:W3CDTF">2026-07-17T14:37:29Z</dcterms:created>
  <dcterms:modified xsi:type="dcterms:W3CDTF">2026-07-17T14:37:29Z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