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MWESpacer"/>
        <w:spacing w:lineRule="exact" w:line="5500" w:before="0" w:after="0"/>
        <w:ind w:firstLine="0"/>
      </w:pPr>
    </w:p>
    <w:p>
      <w:pPr>
        <w:pStyle w:val="MWETitle"/>
      </w:pPr>
      <w:r>
        <w:t>Sent–Received–Established Threshold Model</w:t>
      </w:r>
    </w:p>
    <w:p>
      <w:pPr>
        <w:pStyle w:val="MWESpacer"/>
        <w:spacing w:lineRule="exact" w:line="120" w:before="0" w:after="0"/>
        <w:ind w:firstLine="0"/>
      </w:pPr>
    </w:p>
    <w:p>
      <w:pPr>
        <w:pStyle w:val="MWESubtitle"/>
      </w:pPr>
      <w:r>
        <w:t>Transmission, Reception, and the Conditions of Effective Establishment</w:t>
      </w:r>
    </w:p>
    <w:p>
      <w:pPr>
        <w:pStyle w:val="MWESpacer"/>
        <w:spacing w:lineRule="exact" w:line="360" w:before="0" w:after="0"/>
        <w:ind w:firstLine="0"/>
      </w:pPr>
    </w:p>
    <w:p>
      <w:pPr>
        <w:pStyle w:val="MWEMeta"/>
      </w:pPr>
      <w:r>
        <w:rPr>
          <w:b/>
          <w:i/>
        </w:rPr>
        <w:t xml:space="preserve">Version: </w:t>
      </w:r>
      <w:r>
        <w:rPr>
          <w:b w:val="0"/>
          <w:i/>
        </w:rPr>
        <w:t>0.1</w:t>
      </w:r>
    </w:p>
    <w:p>
      <w:pPr>
        <w:pStyle w:val="MWEMeta"/>
      </w:pPr>
      <w:r>
        <w:rPr>
          <w:b/>
          <w:i/>
        </w:rPr>
        <w:t xml:space="preserve">Date: </w:t>
      </w:r>
      <w:r>
        <w:rPr>
          <w:b w:val="0"/>
          <w:i/>
        </w:rPr>
        <w:t>July 2026</w:t>
      </w:r>
    </w:p>
    <w:p>
      <w:pPr>
        <w:pStyle w:val="MWEMeta"/>
      </w:pPr>
      <w:r>
        <w:rPr>
          <w:b/>
          <w:i/>
        </w:rPr>
        <w:t xml:space="preserve">Status: </w:t>
      </w:r>
      <w:r>
        <w:rPr>
          <w:b w:val="0"/>
          <w:i/>
        </w:rPr>
        <w:t>Preprint / OSF external-facing version</w:t>
      </w:r>
    </w:p>
    <w:p>
      <w:pPr>
        <w:pStyle w:val="MWEMeta"/>
      </w:pPr>
      <w:r>
        <w:rPr>
          <w:b/>
          <w:i/>
        </w:rPr>
        <w:t xml:space="preserve">Context: </w:t>
      </w:r>
      <w:r>
        <w:rPr>
          <w:b w:val="0"/>
          <w:i/>
        </w:rPr>
        <w:t>Meta-Writing Ecology</w:t>
      </w:r>
    </w:p>
    <w:p>
      <w:pPr>
        <w:pStyle w:val="MWEMeta"/>
      </w:pPr>
      <w:r>
        <w:rPr>
          <w:b/>
          <w:i/>
        </w:rPr>
        <w:t xml:space="preserve">Document Type: </w:t>
      </w:r>
      <w:r>
        <w:rPr>
          <w:b w:val="0"/>
          <w:i/>
        </w:rPr>
        <w:t>Conceptual Model</w:t>
      </w:r>
    </w:p>
    <w:p>
      <w:pPr>
        <w:pStyle w:val="MWESpacer"/>
        <w:spacing w:lineRule="exact" w:line="2800" w:before="0" w:after="0"/>
        <w:ind w:firstLine="0"/>
      </w:pPr>
    </w:p>
    <w:p>
      <w:pPr>
        <w:pStyle w:val="MWEAuthor"/>
      </w:pPr>
      <w:r>
        <w:t>Huang Tzuyuan</w:t>
      </w:r>
    </w:p>
    <w:p>
      <w:pPr>
        <w:pStyle w:val="MWESpacer"/>
      </w:pPr>
      <w:r>
        <w:br w:type="page"/>
      </w:r>
    </w:p>
    <w:p>
      <w:pPr>
        <w:pStyle w:val="Heading2"/>
      </w:pPr>
      <w:r>
        <w:t xml:space="preserve">Abstract</w:t>
      </w:r>
    </w:p>
    <w:p>
      <w:pPr>
        <w:pStyle w:val="FirstParagraph"/>
      </w:pPr>
      <w:r>
        <w:t xml:space="preserve">This document formalizes the</w:t>
      </w:r>
      <w:r>
        <w:t xml:space="preserve"> </w:t>
      </w:r>
      <w:r>
        <w:rPr>
          <w:bCs/>
          <w:b/>
        </w:rPr>
        <w:t xml:space="preserve">Sent–Received–Established Threshold Model</w:t>
      </w:r>
      <w:r>
        <w:t xml:space="preserve"> </w:t>
      </w:r>
      <w:r>
        <w:t xml:space="preserve">as a structural framework for distinguishing three conditions that are often collapsed in communication, delivery, notification, documentation, and institutional workflows. A message, object, claim, request, warning, record, or decision may be sent without being received, and received without becoming established at the site where it must operate.</w:t>
      </w:r>
    </w:p>
    <w:p>
      <w:pPr>
        <w:pStyle w:val="BodyText"/>
      </w:pPr>
      <w:r>
        <w:t xml:space="preserve">The sent threshold concerns release from an origin. The received threshold concerns arrival at a destination or contact point. The established threshold concerns successful integration into the relevant functional field: the correct person understands the notice, the receiving system can act on it, the record enters the authoritative process, the warning changes behavior, or the delivered object becomes usable and recognized.</w:t>
      </w:r>
    </w:p>
    <w:p>
      <w:pPr>
        <w:pStyle w:val="BodyText"/>
      </w:pPr>
      <w:r>
        <w:t xml:space="preserve">Collapsing these thresholds can create false completion. A transmission log may be treated as proof of reception. An acknowledgment may be treated as proof of understanding. Passive contact may be treated as operational establishment. The result is especially consequential where the destination is wrong, the receiver lacks authority, the channel is inaccessible, or the object arrives without the context needed for use.</w:t>
      </w:r>
    </w:p>
    <w:p>
      <w:pPr>
        <w:pStyle w:val="BodyText"/>
      </w:pPr>
      <w:r>
        <w:t xml:space="preserve">The model does not define a universal legal standard for notice or delivery. It provides a conceptual sequence for diagnosing where establishment failed and for designing confirmation that tests the relevant threshold rather than merely repeating transmission.</w:t>
      </w:r>
    </w:p>
    <w:p>
      <w:r>
        <w:pict>
          <v:rect style="width:0;height:1.5pt" o:hralign="center" o:hrstd="t" o:hr="t"/>
        </w:pict>
      </w:r>
    </w:p>
    <w:bookmarkEnd w:id="20"/>
    <w:bookmarkStart w:id="21" w:name="keywords"/>
    <w:p>
      <w:pPr>
        <w:pStyle w:val="Heading2"/>
      </w:pPr>
      <w:r>
        <w:t xml:space="preserve">Keywords</w:t>
      </w:r>
    </w:p>
    <w:p>
      <w:pPr>
        <w:pStyle w:val="FirstParagraph"/>
      </w:pPr>
      <w:r>
        <w:t xml:space="preserve">Sent Threshold; Received Threshold; Established Threshold; Transmission; Reception; Functional Establishment; Delivery Boundary; Wrong-Site Reception; Passive Contact; Acknowledgment; Confirmation Loop; Boundary Failure; Communication Systems; Meta-Writing Ecology.</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Systems often record what they can easily observe. Sending is usually visible: an email leaves the server, a file is uploaded, a notice is posted, a package is dispatched, or a request is entered. Reception can be less clear, and establishment is often not recorded at all.</w:t>
      </w:r>
    </w:p>
    <w:p>
      <w:pPr>
        <w:pStyle w:val="BodyText"/>
      </w:pPr>
      <w:r>
        <w:t xml:space="preserve">Yet the practical purpose of transmission usually lies beyond sending. The message must reach the correct site, become intelligible, enter a workflow, change a state, or support action. Treating a technical trace as proof that this has occurred can conceal a boundary failure.</w:t>
      </w:r>
    </w:p>
    <w:p>
      <w:pPr>
        <w:pStyle w:val="BodyText"/>
      </w:pPr>
      <w:r>
        <w:t xml:space="preserve">This model separates the thresholds so that completion can be defined at the level required by the task. It also identifies the confirmation loops that arise when a system repeatedly proves sending instead of testing establishment.</w:t>
      </w:r>
    </w:p>
    <w:p>
      <w:r>
        <w:pict>
          <v:rect style="width:0;height:1.5pt" o:hralign="center" o:hrstd="t" o:hr="t"/>
        </w:pict>
      </w:r>
    </w:p>
    <w:bookmarkEnd w:id="22"/>
    <w:bookmarkStart w:id="23" w:name="core-definition"/>
    <w:p>
      <w:pPr>
        <w:pStyle w:val="Heading2"/>
      </w:pPr>
      <w:r>
        <w:t xml:space="preserve">2. Core Definition</w:t>
      </w:r>
    </w:p>
    <w:p>
      <w:pPr>
        <w:pStyle w:val="FirstParagraph"/>
      </w:pPr>
      <w:r>
        <w:rPr>
          <w:bCs/>
          <w:b/>
        </w:rPr>
        <w:t xml:space="preserve">Sent–Received–Established Threshold Model</w:t>
      </w:r>
      <w:r>
        <w:t xml:space="preserve"> </w:t>
      </w:r>
      <w:r>
        <w:t xml:space="preserve">describes a structural condition in which transmission, reception, and establishment are falsely treated as equivalent stages.</w:t>
      </w:r>
    </w:p>
    <w:p>
      <w:pPr>
        <w:pStyle w:val="BodyText"/>
      </w:pPr>
      <w:r>
        <w:t xml:space="preserve">The model distinguishes three thresholds:</w:t>
      </w:r>
    </w:p>
    <w:p>
      <w:pPr>
        <w:pStyle w:val="SourceCode"/>
      </w:pPr>
      <w:r>
        <w:rPr>
          <w:rStyle w:val="VerbatimChar"/>
        </w:rPr>
        <w:t xml:space="preserve">sent</w:t>
      </w:r>
      <w:r>
        <w:br/>
      </w:r>
      <w:r>
        <w:rPr>
          <w:rStyle w:val="VerbatimChar"/>
        </w:rPr>
        <w:t xml:space="preserve">≠</w:t>
      </w:r>
      <w:r>
        <w:br/>
      </w:r>
      <w:r>
        <w:rPr>
          <w:rStyle w:val="VerbatimChar"/>
        </w:rPr>
        <w:t xml:space="preserve">received</w:t>
      </w:r>
      <w:r>
        <w:br/>
      </w:r>
      <w:r>
        <w:rPr>
          <w:rStyle w:val="VerbatimChar"/>
        </w:rPr>
        <w:t xml:space="preserve">≠</w:t>
      </w:r>
      <w:r>
        <w:br/>
      </w:r>
      <w:r>
        <w:rPr>
          <w:rStyle w:val="VerbatimChar"/>
        </w:rPr>
        <w:t xml:space="preserve">established</w:t>
      </w:r>
    </w:p>
    <w:p>
      <w:pPr>
        <w:pStyle w:val="FirstParagraph"/>
      </w:pPr>
      <w:r>
        <w:t xml:space="preserve">A unit may be sent without being received.</w:t>
      </w:r>
    </w:p>
    <w:p>
      <w:pPr>
        <w:pStyle w:val="BodyText"/>
      </w:pPr>
      <w:r>
        <w:t xml:space="preserve">A unit may be received without being established.</w:t>
      </w:r>
    </w:p>
    <w:p>
      <w:pPr>
        <w:pStyle w:val="BodyText"/>
      </w:pPr>
      <w:r>
        <w:t xml:space="preserve">A unit may be established while losing the conditions of its sending, route, reception, or originating context.</w:t>
      </w:r>
    </w:p>
    <w:p>
      <w:pPr>
        <w:pStyle w:val="BodyText"/>
      </w:pPr>
      <w:r>
        <w:t xml:space="preserve">The model becomes necessary when systems, institutions, interfaces, records, relationships, or interpretive fields treat outward movement as completion, contact as receipt, or receipt as recognized continuity.</w:t>
      </w:r>
    </w:p>
    <w:p>
      <w:pPr>
        <w:pStyle w:val="BodyText"/>
      </w:pPr>
      <w:r>
        <w:t xml:space="preserve">Its central function is to prevent stage-collapse in meaning-bearing transfer.</w:t>
      </w:r>
    </w:p>
    <w:p>
      <w:pPr>
        <w:pStyle w:val="BodyText"/>
      </w:pPr>
      <w:r>
        <w:t xml:space="preserve">The model does not claim that every transfer must visibly pass through three separate stages. In some systems, the stages may occur rapidly, simultaneously, or through the same interface. The model applies when later action, responsibility, recognition, routing, memory, proof, or continuity depends on knowing which threshold has actually been reached.</w:t>
      </w:r>
    </w:p>
    <w:p>
      <w:r>
        <w:pict>
          <v:rect style="width:0;height:1.5pt" o:hralign="center" o:hrstd="t" o:hr="t"/>
        </w:pict>
      </w:r>
    </w:p>
    <w:bookmarkEnd w:id="23"/>
    <w:bookmarkStart w:id="24" w:name="classification-and-scope"/>
    <w:p>
      <w:pPr>
        <w:pStyle w:val="Heading2"/>
      </w:pPr>
      <w:r>
        <w:t xml:space="preserve">3. Classification and Scope</w:t>
      </w:r>
    </w:p>
    <w:p>
      <w:pPr>
        <w:pStyle w:val="FirstParagraph"/>
      </w:pPr>
      <w:r>
        <w:t xml:space="preserve">This document presents</w:t>
      </w:r>
      <w:r>
        <w:t xml:space="preserve"> </w:t>
      </w:r>
      <w:r>
        <w:rPr>
          <w:bCs/>
          <w:b/>
        </w:rPr>
        <w:t xml:space="preserve">Sent–Received–Established Threshold Model</w:t>
      </w:r>
      <w:r>
        <w:t xml:space="preserve"> </w:t>
      </w:r>
      <w:r>
        <w:t xml:space="preserve">as an external-facing conceptual model. A model in this context identifies a repeatable structural mechanism, its components, sequence, failure patterns, and limits. It is not an empirical law, a predictive score, a software specification, or a compliance standard.</w:t>
      </w:r>
    </w:p>
    <w:p>
      <w:pPr>
        <w:pStyle w:val="BodyText"/>
      </w:pPr>
      <w:r>
        <w:t xml:space="preserve">The model is intended to support description, comparison, and diagnostic inquiry across domains. Application to a specific case requires domain evidence and should not be inferred from conceptual resemblance alone. The public version omits non-public editorial records, private source materials, non-public working materials, and implementation details.</w:t>
      </w:r>
    </w:p>
    <w:p>
      <w:r>
        <w:pict>
          <v:rect style="width:0;height:1.5pt" o:hralign="center" o:hrstd="t" o:hr="t"/>
        </w:pict>
      </w:r>
    </w:p>
    <w:bookmarkEnd w:id="24"/>
    <w:bookmarkStart w:id="25" w:name="central-distinctions"/>
    <w:p>
      <w:pPr>
        <w:pStyle w:val="Heading2"/>
      </w:pPr>
      <w:r>
        <w:t xml:space="preserve">4. Central Distinctions</w:t>
      </w:r>
    </w:p>
    <w:p>
      <w:pPr>
        <w:pStyle w:val="FirstParagraph"/>
      </w:pPr>
      <w:r>
        <w:t xml:space="preserve">The framework separates visible completion from structural completion, available output from warranted use, and procedural attachment from effective responsibility. These distinctions should be maintained even when the relevant surfaces appear coherent.</w:t>
      </w:r>
    </w:p>
    <w:p>
      <w:r>
        <w:pict>
          <v:rect style="width:0;height:1.5pt" o:hralign="center" o:hrstd="t" o:hr="t"/>
        </w:pict>
      </w:r>
    </w:p>
    <w:bookmarkEnd w:id="25"/>
    <w:bookmarkStart w:id="28" w:name="core-mechanism-and-structural-sequence"/>
    <w:p>
      <w:pPr>
        <w:pStyle w:val="Heading2"/>
      </w:pPr>
      <w:r>
        <w:t xml:space="preserve">5. Core Mechanism and Structural Sequence</w:t>
      </w:r>
    </w:p>
    <w:bookmarkStart w:id="26" w:name="core-mechanism"/>
    <w:p>
      <w:pPr>
        <w:pStyle w:val="Heading3"/>
      </w:pPr>
      <w:r>
        <w:t xml:space="preserve">5.1 Core Mechanism</w:t>
      </w:r>
    </w:p>
    <w:p>
      <w:pPr>
        <w:pStyle w:val="FirstParagraph"/>
      </w:pPr>
      <w:r>
        <w:t xml:space="preserve">The model operates through</w:t>
      </w:r>
      <w:r>
        <w:t xml:space="preserve"> </w:t>
      </w:r>
      <w:r>
        <w:rPr>
          <w:bCs/>
          <w:b/>
        </w:rPr>
        <w:t xml:space="preserve">threshold separation</w:t>
      </w:r>
      <w:r>
        <w:t xml:space="preserve">.</w:t>
      </w:r>
    </w:p>
    <w:p>
      <w:pPr>
        <w:pStyle w:val="BodyText"/>
      </w:pPr>
      <w:r>
        <w:t xml:space="preserve">A meaning-bearing unit enters a transfer sequence:</w:t>
      </w:r>
    </w:p>
    <w:p>
      <w:pPr>
        <w:pStyle w:val="SourceCode"/>
      </w:pPr>
      <w:r>
        <w:rPr>
          <w:rStyle w:val="VerbatimChar"/>
        </w:rPr>
        <w:t xml:space="preserve">dispatch</w:t>
      </w:r>
      <w:r>
        <w:br/>
      </w:r>
      <w:r>
        <w:rPr>
          <w:rStyle w:val="VerbatimChar"/>
        </w:rPr>
        <w:t xml:space="preserve">→ exposure / routing</w:t>
      </w:r>
      <w:r>
        <w:br/>
      </w:r>
      <w:r>
        <w:rPr>
          <w:rStyle w:val="VerbatimChar"/>
        </w:rPr>
        <w:t xml:space="preserve">→ reception</w:t>
      </w:r>
      <w:r>
        <w:br/>
      </w:r>
      <w:r>
        <w:rPr>
          <w:rStyle w:val="VerbatimChar"/>
        </w:rPr>
        <w:t xml:space="preserve">→ recognition</w:t>
      </w:r>
      <w:r>
        <w:br/>
      </w:r>
      <w:r>
        <w:rPr>
          <w:rStyle w:val="VerbatimChar"/>
        </w:rPr>
        <w:t xml:space="preserve">→ establishment</w:t>
      </w:r>
      <w:r>
        <w:br/>
      </w:r>
      <w:r>
        <w:rPr>
          <w:rStyle w:val="VerbatimChar"/>
        </w:rPr>
        <w:t xml:space="preserve">→ continuity</w:t>
      </w:r>
    </w:p>
    <w:p>
      <w:pPr>
        <w:pStyle w:val="FirstParagraph"/>
      </w:pPr>
      <w:r>
        <w:t xml:space="preserve">Failure occurs when one threshold is mistaken for another:</w:t>
      </w:r>
    </w:p>
    <w:p>
      <w:pPr>
        <w:pStyle w:val="SourceCode"/>
      </w:pPr>
      <w:r>
        <w:rPr>
          <w:rStyle w:val="VerbatimChar"/>
        </w:rPr>
        <w:t xml:space="preserve">sent</w:t>
      </w:r>
      <w:r>
        <w:br/>
      </w:r>
      <w:r>
        <w:rPr>
          <w:rStyle w:val="VerbatimChar"/>
        </w:rPr>
        <w:t xml:space="preserve">→ assumed received</w:t>
      </w:r>
      <w:r>
        <w:br/>
      </w:r>
      <w:r>
        <w:br/>
      </w:r>
      <w:r>
        <w:rPr>
          <w:rStyle w:val="VerbatimChar"/>
        </w:rPr>
        <w:t xml:space="preserve">received</w:t>
      </w:r>
      <w:r>
        <w:br/>
      </w:r>
      <w:r>
        <w:rPr>
          <w:rStyle w:val="VerbatimChar"/>
        </w:rPr>
        <w:t xml:space="preserve">→ assumed established</w:t>
      </w:r>
      <w:r>
        <w:br/>
      </w:r>
      <w:r>
        <w:br/>
      </w:r>
      <w:r>
        <w:rPr>
          <w:rStyle w:val="VerbatimChar"/>
        </w:rPr>
        <w:t xml:space="preserve">acknowledged</w:t>
      </w:r>
      <w:r>
        <w:br/>
      </w:r>
      <w:r>
        <w:rPr>
          <w:rStyle w:val="VerbatimChar"/>
        </w:rPr>
        <w:t xml:space="preserve">→ assumed structurally inherited</w:t>
      </w:r>
      <w:r>
        <w:br/>
      </w:r>
      <w:r>
        <w:br/>
      </w:r>
      <w:r>
        <w:rPr>
          <w:rStyle w:val="VerbatimChar"/>
        </w:rPr>
        <w:t xml:space="preserve">established</w:t>
      </w:r>
      <w:r>
        <w:br/>
      </w:r>
      <w:r>
        <w:rPr>
          <w:rStyle w:val="VerbatimChar"/>
        </w:rPr>
        <w:t xml:space="preserve">→ assumed to preserve original conditions</w:t>
      </w:r>
    </w:p>
    <w:p>
      <w:pPr>
        <w:pStyle w:val="FirstParagraph"/>
      </w:pPr>
      <w:r>
        <w:t xml:space="preserve">The model separates outward movement, intake, and continuity as distinct structural states.</w:t>
      </w:r>
    </w:p>
    <w:bookmarkEnd w:id="26"/>
    <w:bookmarkStart w:id="27" w:name="structural-sequence"/>
    <w:p>
      <w:pPr>
        <w:pStyle w:val="Heading3"/>
      </w:pPr>
      <w:r>
        <w:t xml:space="preserve">5.2 Structural Sequence</w:t>
      </w:r>
    </w:p>
    <w:p>
      <w:pPr>
        <w:pStyle w:val="SourceCode"/>
      </w:pPr>
      <w:r>
        <w:rPr>
          <w:rStyle w:val="VerbatimChar"/>
        </w:rPr>
        <w:t xml:space="preserve">1. A unit is created or activated.</w:t>
      </w:r>
      <w:r>
        <w:br/>
      </w:r>
      <w:r>
        <w:rPr>
          <w:rStyle w:val="VerbatimChar"/>
        </w:rPr>
        <w:t xml:space="preserve">2. The unit is sent, issued, uploaded, spoken, delivered, submitted, assigned, or released.</w:t>
      </w:r>
      <w:r>
        <w:br/>
      </w:r>
      <w:r>
        <w:rPr>
          <w:rStyle w:val="VerbatimChar"/>
        </w:rPr>
        <w:t xml:space="preserve">3. The unit enters a route, surface, channel, queue, body, institution, platform, office, or interpretive field.</w:t>
      </w:r>
      <w:r>
        <w:br/>
      </w:r>
      <w:r>
        <w:rPr>
          <w:rStyle w:val="VerbatimChar"/>
        </w:rPr>
        <w:t xml:space="preserve">4. A receiving site may encounter the unit.</w:t>
      </w:r>
      <w:r>
        <w:br/>
      </w:r>
      <w:r>
        <w:rPr>
          <w:rStyle w:val="VerbatimChar"/>
        </w:rPr>
        <w:t xml:space="preserve">5. Encounter does not automatically equal valid receipt.</w:t>
      </w:r>
      <w:r>
        <w:br/>
      </w:r>
      <w:r>
        <w:rPr>
          <w:rStyle w:val="VerbatimChar"/>
        </w:rPr>
        <w:t xml:space="preserve">6. Receipt does not automatically equal recognized continuity.</w:t>
      </w:r>
      <w:r>
        <w:br/>
      </w:r>
      <w:r>
        <w:rPr>
          <w:rStyle w:val="VerbatimChar"/>
        </w:rPr>
        <w:t xml:space="preserve">7. Establishment requires the unit to enter a stable state that can be referenced, inherited, acted upon, cited, remembered, assigned, routed, or governed.</w:t>
      </w:r>
      <w:r>
        <w:br/>
      </w:r>
      <w:r>
        <w:rPr>
          <w:rStyle w:val="VerbatimChar"/>
        </w:rPr>
        <w:t xml:space="preserve">8. Stage-collapse occurs when one stage is treated as evidence of another.</w:t>
      </w:r>
      <w:r>
        <w:br/>
      </w:r>
      <w:r>
        <w:rPr>
          <w:rStyle w:val="VerbatimChar"/>
        </w:rPr>
        <w:t xml:space="preserve">9. Responsibility, continuity, or recognition becomes misaligned.</w:t>
      </w:r>
    </w:p>
    <w:p>
      <w:r>
        <w:pict>
          <v:rect style="width:0;height:1.5pt" o:hralign="center" o:hrstd="t" o:hr="t"/>
        </w:pict>
      </w:r>
    </w:p>
    <w:bookmarkEnd w:id="27"/>
    <w:bookmarkEnd w:id="28"/>
    <w:bookmarkStart w:id="32" w:name="structural-components"/>
    <w:p>
      <w:pPr>
        <w:pStyle w:val="Heading2"/>
      </w:pPr>
      <w:r>
        <w:t xml:space="preserve">6. Structural Components</w:t>
      </w:r>
    </w:p>
    <w:bookmarkStart w:id="29" w:name="sent-threshold"/>
    <w:p>
      <w:pPr>
        <w:pStyle w:val="Heading4"/>
      </w:pPr>
      <w:r>
        <w:t xml:space="preserve">1. Sent Threshold</w:t>
      </w:r>
    </w:p>
    <w:p>
      <w:pPr>
        <w:pStyle w:val="FirstParagraph"/>
      </w:pPr>
      <w:r>
        <w:t xml:space="preserve">A unit crosses outward from its origin.</w:t>
      </w:r>
    </w:p>
    <w:p>
      <w:pPr>
        <w:pStyle w:val="BodyText"/>
      </w:pPr>
      <w:r>
        <w:t xml:space="preserve">Possible forms:</w:t>
      </w:r>
    </w:p>
    <w:p>
      <w:pPr>
        <w:pStyle w:val="SourceCode"/>
      </w:pPr>
      <w:r>
        <w:rPr>
          <w:rStyle w:val="VerbatimChar"/>
        </w:rPr>
        <w:t xml:space="preserve">message sent</w:t>
      </w:r>
      <w:r>
        <w:br/>
      </w:r>
      <w:r>
        <w:rPr>
          <w:rStyle w:val="VerbatimChar"/>
        </w:rPr>
        <w:t xml:space="preserve">document submitted</w:t>
      </w:r>
      <w:r>
        <w:br/>
      </w:r>
      <w:r>
        <w:rPr>
          <w:rStyle w:val="VerbatimChar"/>
        </w:rPr>
        <w:t xml:space="preserve">instruction issued</w:t>
      </w:r>
      <w:r>
        <w:br/>
      </w:r>
      <w:r>
        <w:rPr>
          <w:rStyle w:val="VerbatimChar"/>
        </w:rPr>
        <w:t xml:space="preserve">request made</w:t>
      </w:r>
      <w:r>
        <w:br/>
      </w:r>
      <w:r>
        <w:rPr>
          <w:rStyle w:val="VerbatimChar"/>
        </w:rPr>
        <w:t xml:space="preserve">object delivered</w:t>
      </w:r>
      <w:r>
        <w:br/>
      </w:r>
      <w:r>
        <w:rPr>
          <w:rStyle w:val="VerbatimChar"/>
        </w:rPr>
        <w:t xml:space="preserve">care act performed</w:t>
      </w:r>
      <w:r>
        <w:br/>
      </w:r>
      <w:r>
        <w:rPr>
          <w:rStyle w:val="VerbatimChar"/>
        </w:rPr>
        <w:t xml:space="preserve">file uploaded</w:t>
      </w:r>
      <w:r>
        <w:br/>
      </w:r>
      <w:r>
        <w:rPr>
          <w:rStyle w:val="VerbatimChar"/>
        </w:rPr>
        <w:t xml:space="preserve">statement spoken</w:t>
      </w:r>
      <w:r>
        <w:br/>
      </w:r>
      <w:r>
        <w:rPr>
          <w:rStyle w:val="VerbatimChar"/>
        </w:rPr>
        <w:t xml:space="preserve">signal released</w:t>
      </w:r>
    </w:p>
    <w:p>
      <w:pPr>
        <w:pStyle w:val="FirstParagraph"/>
      </w:pPr>
      <w:r>
        <w:t xml:space="preserve">The sent threshold confirms outward movement only.</w:t>
      </w:r>
    </w:p>
    <w:p>
      <w:pPr>
        <w:pStyle w:val="BodyText"/>
      </w:pPr>
      <w:r>
        <w:t xml:space="preserve">It does not prove arrival, intake, recognition, or continuity.</w:t>
      </w:r>
    </w:p>
    <w:bookmarkEnd w:id="29"/>
    <w:bookmarkStart w:id="30" w:name="received-threshold"/>
    <w:p>
      <w:pPr>
        <w:pStyle w:val="Heading4"/>
      </w:pPr>
      <w:r>
        <w:t xml:space="preserve">2. Received Threshold</w:t>
      </w:r>
    </w:p>
    <w:p>
      <w:pPr>
        <w:pStyle w:val="FirstParagraph"/>
      </w:pPr>
      <w:r>
        <w:t xml:space="preserve">A receiving site encounters or takes in the unit.</w:t>
      </w:r>
    </w:p>
    <w:p>
      <w:pPr>
        <w:pStyle w:val="BodyText"/>
      </w:pPr>
      <w:r>
        <w:t xml:space="preserve">Possible forms:</w:t>
      </w:r>
    </w:p>
    <w:p>
      <w:pPr>
        <w:pStyle w:val="SourceCode"/>
      </w:pPr>
      <w:r>
        <w:rPr>
          <w:rStyle w:val="VerbatimChar"/>
        </w:rPr>
        <w:t xml:space="preserve">message opened</w:t>
      </w:r>
      <w:r>
        <w:br/>
      </w:r>
      <w:r>
        <w:rPr>
          <w:rStyle w:val="VerbatimChar"/>
        </w:rPr>
        <w:t xml:space="preserve">object accepted</w:t>
      </w:r>
      <w:r>
        <w:br/>
      </w:r>
      <w:r>
        <w:rPr>
          <w:rStyle w:val="VerbatimChar"/>
        </w:rPr>
        <w:t xml:space="preserve">file downloaded</w:t>
      </w:r>
      <w:r>
        <w:br/>
      </w:r>
      <w:r>
        <w:rPr>
          <w:rStyle w:val="VerbatimChar"/>
        </w:rPr>
        <w:t xml:space="preserve">request noticed</w:t>
      </w:r>
      <w:r>
        <w:br/>
      </w:r>
      <w:r>
        <w:rPr>
          <w:rStyle w:val="VerbatimChar"/>
        </w:rPr>
        <w:t xml:space="preserve">document received by office</w:t>
      </w:r>
      <w:r>
        <w:br/>
      </w:r>
      <w:r>
        <w:rPr>
          <w:rStyle w:val="VerbatimChar"/>
        </w:rPr>
        <w:t xml:space="preserve">signal detected</w:t>
      </w:r>
      <w:r>
        <w:br/>
      </w:r>
      <w:r>
        <w:rPr>
          <w:rStyle w:val="VerbatimChar"/>
        </w:rPr>
        <w:t xml:space="preserve">statement heard</w:t>
      </w:r>
      <w:r>
        <w:br/>
      </w:r>
      <w:r>
        <w:rPr>
          <w:rStyle w:val="VerbatimChar"/>
        </w:rPr>
        <w:t xml:space="preserve">care act encountered</w:t>
      </w:r>
    </w:p>
    <w:p>
      <w:pPr>
        <w:pStyle w:val="FirstParagraph"/>
      </w:pPr>
      <w:r>
        <w:t xml:space="preserve">The received threshold confirms contact or intake.</w:t>
      </w:r>
    </w:p>
    <w:p>
      <w:pPr>
        <w:pStyle w:val="BodyText"/>
      </w:pPr>
      <w:r>
        <w:t xml:space="preserve">It does not prove establishment, responsibility transfer, record inheritance, or future usability.</w:t>
      </w:r>
    </w:p>
    <w:bookmarkEnd w:id="30"/>
    <w:bookmarkStart w:id="31" w:name="established-threshold"/>
    <w:p>
      <w:pPr>
        <w:pStyle w:val="Heading4"/>
      </w:pPr>
      <w:r>
        <w:t xml:space="preserve">3. Established Threshold</w:t>
      </w:r>
    </w:p>
    <w:p>
      <w:pPr>
        <w:pStyle w:val="FirstParagraph"/>
      </w:pPr>
      <w:r>
        <w:t xml:space="preserve">The unit enters recognized continuity.</w:t>
      </w:r>
    </w:p>
    <w:p>
      <w:pPr>
        <w:pStyle w:val="BodyText"/>
      </w:pPr>
      <w:r>
        <w:t xml:space="preserve">Possible forms:</w:t>
      </w:r>
    </w:p>
    <w:p>
      <w:pPr>
        <w:pStyle w:val="SourceCode"/>
      </w:pPr>
      <w:r>
        <w:rPr>
          <w:rStyle w:val="VerbatimChar"/>
        </w:rPr>
        <w:t xml:space="preserve">record created</w:t>
      </w:r>
      <w:r>
        <w:br/>
      </w:r>
      <w:r>
        <w:rPr>
          <w:rStyle w:val="VerbatimChar"/>
        </w:rPr>
        <w:t xml:space="preserve">status updated</w:t>
      </w:r>
      <w:r>
        <w:br/>
      </w:r>
      <w:r>
        <w:rPr>
          <w:rStyle w:val="VerbatimChar"/>
        </w:rPr>
        <w:t xml:space="preserve">responsibility assigned</w:t>
      </w:r>
      <w:r>
        <w:br/>
      </w:r>
      <w:r>
        <w:rPr>
          <w:rStyle w:val="VerbatimChar"/>
        </w:rPr>
        <w:t xml:space="preserve">claim accepted</w:t>
      </w:r>
      <w:r>
        <w:br/>
      </w:r>
      <w:r>
        <w:rPr>
          <w:rStyle w:val="VerbatimChar"/>
        </w:rPr>
        <w:t xml:space="preserve">route validated</w:t>
      </w:r>
      <w:r>
        <w:br/>
      </w:r>
      <w:r>
        <w:rPr>
          <w:rStyle w:val="VerbatimChar"/>
        </w:rPr>
        <w:t xml:space="preserve">memory stabilized</w:t>
      </w:r>
      <w:r>
        <w:br/>
      </w:r>
      <w:r>
        <w:rPr>
          <w:rStyle w:val="VerbatimChar"/>
        </w:rPr>
        <w:t xml:space="preserve">citation enabled</w:t>
      </w:r>
      <w:r>
        <w:br/>
      </w:r>
      <w:r>
        <w:rPr>
          <w:rStyle w:val="VerbatimChar"/>
        </w:rPr>
        <w:t xml:space="preserve">institutional state changed</w:t>
      </w:r>
      <w:r>
        <w:br/>
      </w:r>
      <w:r>
        <w:rPr>
          <w:rStyle w:val="VerbatimChar"/>
        </w:rPr>
        <w:t xml:space="preserve">relation updated</w:t>
      </w:r>
      <w:r>
        <w:br/>
      </w:r>
      <w:r>
        <w:rPr>
          <w:rStyle w:val="VerbatimChar"/>
        </w:rPr>
        <w:t xml:space="preserve">system state inherited</w:t>
      </w:r>
    </w:p>
    <w:p>
      <w:pPr>
        <w:pStyle w:val="FirstParagraph"/>
      </w:pPr>
      <w:r>
        <w:t xml:space="preserve">The established threshold confirms that the unit has become part of later system state.</w:t>
      </w:r>
    </w:p>
    <w:p>
      <w:pPr>
        <w:pStyle w:val="BodyText"/>
      </w:pPr>
      <w:r>
        <w:t xml:space="preserve">It does not automatically preserve the full origin, route, intention, sender, witness condition, or reception context.</w:t>
      </w:r>
    </w:p>
    <w:p>
      <w:r>
        <w:pict>
          <v:rect style="width:0;height:1.5pt" o:hralign="center" o:hrstd="t" o:hr="t"/>
        </w:pict>
      </w:r>
    </w:p>
    <w:bookmarkEnd w:id="31"/>
    <w:bookmarkEnd w:id="32"/>
    <w:bookmarkStart w:id="40" w:name="primary-failure-patterns"/>
    <w:p>
      <w:pPr>
        <w:pStyle w:val="Heading2"/>
      </w:pPr>
      <w:r>
        <w:t xml:space="preserve">7. Primary Failure Patterns</w:t>
      </w:r>
    </w:p>
    <w:bookmarkStart w:id="33" w:name="sent-as-received-collapse"/>
    <w:p>
      <w:pPr>
        <w:pStyle w:val="Heading4"/>
      </w:pPr>
      <w:r>
        <w:t xml:space="preserve">1. Sent-as-Received Collapse</w:t>
      </w:r>
    </w:p>
    <w:p>
      <w:pPr>
        <w:pStyle w:val="SourceCode"/>
      </w:pPr>
      <w:r>
        <w:rPr>
          <w:rStyle w:val="VerbatimChar"/>
        </w:rPr>
        <w:t xml:space="preserve">dispatch occurs</w:t>
      </w:r>
      <w:r>
        <w:br/>
      </w:r>
      <w:r>
        <w:rPr>
          <w:rStyle w:val="VerbatimChar"/>
        </w:rPr>
        <w:t xml:space="preserve">→ sender assumes receipt</w:t>
      </w:r>
      <w:r>
        <w:br/>
      </w:r>
      <w:r>
        <w:rPr>
          <w:rStyle w:val="VerbatimChar"/>
        </w:rPr>
        <w:t xml:space="preserve">→ receiving condition remains unverified</w:t>
      </w:r>
    </w:p>
    <w:p>
      <w:pPr>
        <w:pStyle w:val="FirstParagraph"/>
      </w:pPr>
      <w:r>
        <w:t xml:space="preserve">The system treats outward movement as sufficient evidence of arrival or intake.</w:t>
      </w:r>
    </w:p>
    <w:bookmarkEnd w:id="33"/>
    <w:bookmarkStart w:id="34" w:name="received-as-established-collapse"/>
    <w:p>
      <w:pPr>
        <w:pStyle w:val="Heading4"/>
      </w:pPr>
      <w:r>
        <w:t xml:space="preserve">2. Received-as-Established Collapse</w:t>
      </w:r>
    </w:p>
    <w:p>
      <w:pPr>
        <w:pStyle w:val="SourceCode"/>
      </w:pPr>
      <w:r>
        <w:rPr>
          <w:rStyle w:val="VerbatimChar"/>
        </w:rPr>
        <w:t xml:space="preserve">contact occurs</w:t>
      </w:r>
      <w:r>
        <w:br/>
      </w:r>
      <w:r>
        <w:rPr>
          <w:rStyle w:val="VerbatimChar"/>
        </w:rPr>
        <w:t xml:space="preserve">→ system assumes recognized continuity</w:t>
      </w:r>
      <w:r>
        <w:br/>
      </w:r>
      <w:r>
        <w:rPr>
          <w:rStyle w:val="VerbatimChar"/>
        </w:rPr>
        <w:t xml:space="preserve">→ no stable record or responsibility state exists</w:t>
      </w:r>
    </w:p>
    <w:p>
      <w:pPr>
        <w:pStyle w:val="FirstParagraph"/>
      </w:pPr>
      <w:r>
        <w:t xml:space="preserve">The system treats passive or local reception as structural establishment.</w:t>
      </w:r>
    </w:p>
    <w:bookmarkEnd w:id="34"/>
    <w:bookmarkStart w:id="35" w:name="acknowledgment-as-establishment-collapse"/>
    <w:p>
      <w:pPr>
        <w:pStyle w:val="Heading4"/>
      </w:pPr>
      <w:r>
        <w:t xml:space="preserve">3. Acknowledgment-as-Establishment Collapse</w:t>
      </w:r>
    </w:p>
    <w:p>
      <w:pPr>
        <w:pStyle w:val="SourceCode"/>
      </w:pPr>
      <w:r>
        <w:rPr>
          <w:rStyle w:val="VerbatimChar"/>
        </w:rPr>
        <w:t xml:space="preserve">acknowledgment signal appears</w:t>
      </w:r>
      <w:r>
        <w:br/>
      </w:r>
      <w:r>
        <w:rPr>
          <w:rStyle w:val="VerbatimChar"/>
        </w:rPr>
        <w:t xml:space="preserve">→ system assumes full continuity</w:t>
      </w:r>
      <w:r>
        <w:br/>
      </w:r>
      <w:r>
        <w:rPr>
          <w:rStyle w:val="VerbatimChar"/>
        </w:rPr>
        <w:t xml:space="preserve">→ later state remains unstable</w:t>
      </w:r>
    </w:p>
    <w:p>
      <w:pPr>
        <w:pStyle w:val="FirstParagraph"/>
      </w:pPr>
      <w:r>
        <w:t xml:space="preserve">A receipt marker, confirmation, or reply is mistaken for completed establishment.</w:t>
      </w:r>
    </w:p>
    <w:bookmarkEnd w:id="35"/>
    <w:bookmarkStart w:id="36" w:name="wrong-site-reception"/>
    <w:p>
      <w:pPr>
        <w:pStyle w:val="Heading4"/>
      </w:pPr>
      <w:r>
        <w:t xml:space="preserve">4. Wrong-Site Reception</w:t>
      </w:r>
    </w:p>
    <w:p>
      <w:pPr>
        <w:pStyle w:val="SourceCode"/>
      </w:pPr>
      <w:r>
        <w:rPr>
          <w:rStyle w:val="VerbatimChar"/>
        </w:rPr>
        <w:t xml:space="preserve">unit arrives</w:t>
      </w:r>
      <w:r>
        <w:br/>
      </w:r>
      <w:r>
        <w:rPr>
          <w:rStyle w:val="VerbatimChar"/>
        </w:rPr>
        <w:t xml:space="preserve">→ receiving site lacks structural authority</w:t>
      </w:r>
      <w:r>
        <w:br/>
      </w:r>
      <w:r>
        <w:rPr>
          <w:rStyle w:val="VerbatimChar"/>
        </w:rPr>
        <w:t xml:space="preserve">→ receipt occurs without establishment</w:t>
      </w:r>
    </w:p>
    <w:p>
      <w:pPr>
        <w:pStyle w:val="FirstParagraph"/>
      </w:pPr>
      <w:r>
        <w:t xml:space="preserve">The unit is received somewhere, but not where it can become valid.</w:t>
      </w:r>
    </w:p>
    <w:bookmarkEnd w:id="36"/>
    <w:bookmarkStart w:id="37" w:name="passive-contact-misread"/>
    <w:p>
      <w:pPr>
        <w:pStyle w:val="Heading4"/>
      </w:pPr>
      <w:r>
        <w:t xml:space="preserve">5. Passive-Contact Misread</w:t>
      </w:r>
    </w:p>
    <w:p>
      <w:pPr>
        <w:pStyle w:val="SourceCode"/>
      </w:pPr>
      <w:r>
        <w:rPr>
          <w:rStyle w:val="VerbatimChar"/>
        </w:rPr>
        <w:t xml:space="preserve">surface contact occurs</w:t>
      </w:r>
      <w:r>
        <w:br/>
      </w:r>
      <w:r>
        <w:rPr>
          <w:rStyle w:val="VerbatimChar"/>
        </w:rPr>
        <w:t xml:space="preserve">→ system treats contact as intake</w:t>
      </w:r>
      <w:r>
        <w:br/>
      </w:r>
      <w:r>
        <w:rPr>
          <w:rStyle w:val="VerbatimChar"/>
        </w:rPr>
        <w:t xml:space="preserve">→ no actual reception has occurred</w:t>
      </w:r>
    </w:p>
    <w:p>
      <w:pPr>
        <w:pStyle w:val="FirstParagraph"/>
      </w:pPr>
      <w:r>
        <w:t xml:space="preserve">The unit touches a surface without entering relation, interpretation, or responsibility.</w:t>
      </w:r>
    </w:p>
    <w:bookmarkEnd w:id="37"/>
    <w:bookmarkStart w:id="38" w:name="X7bc9d46fd9bf525bb1a164bea7d1731e5e6d4f6"/>
    <w:p>
      <w:pPr>
        <w:pStyle w:val="Heading4"/>
      </w:pPr>
      <w:r>
        <w:t xml:space="preserve">6. Establishment Without Origin Preservation</w:t>
      </w:r>
    </w:p>
    <w:p>
      <w:pPr>
        <w:pStyle w:val="SourceCode"/>
      </w:pPr>
      <w:r>
        <w:rPr>
          <w:rStyle w:val="VerbatimChar"/>
        </w:rPr>
        <w:t xml:space="preserve">unit becomes established</w:t>
      </w:r>
      <w:r>
        <w:br/>
      </w:r>
      <w:r>
        <w:rPr>
          <w:rStyle w:val="VerbatimChar"/>
        </w:rPr>
        <w:t xml:space="preserve">→ origin, route, witness, or condition is lost</w:t>
      </w:r>
      <w:r>
        <w:br/>
      </w:r>
      <w:r>
        <w:rPr>
          <w:rStyle w:val="VerbatimChar"/>
        </w:rPr>
        <w:t xml:space="preserve">→ later continuity detaches from source conditions</w:t>
      </w:r>
    </w:p>
    <w:p>
      <w:pPr>
        <w:pStyle w:val="FirstParagraph"/>
      </w:pPr>
      <w:r>
        <w:t xml:space="preserve">The endpoint stabilizes, but provenance collapses.</w:t>
      </w:r>
    </w:p>
    <w:bookmarkEnd w:id="38"/>
    <w:bookmarkStart w:id="39" w:name="confirmation-loop"/>
    <w:p>
      <w:pPr>
        <w:pStyle w:val="Heading4"/>
      </w:pPr>
      <w:r>
        <w:t xml:space="preserve">7. Confirmation Loop</w:t>
      </w:r>
    </w:p>
    <w:p>
      <w:pPr>
        <w:pStyle w:val="SourceCode"/>
      </w:pPr>
      <w:r>
        <w:rPr>
          <w:rStyle w:val="VerbatimChar"/>
        </w:rPr>
        <w:t xml:space="preserve">establishment requires receipt confirmation</w:t>
      </w:r>
      <w:r>
        <w:br/>
      </w:r>
      <w:r>
        <w:rPr>
          <w:rStyle w:val="VerbatimChar"/>
        </w:rPr>
        <w:t xml:space="preserve">receipt confirmation requires establishment</w:t>
      </w:r>
      <w:r>
        <w:br/>
      </w:r>
      <w:r>
        <w:rPr>
          <w:rStyle w:val="VerbatimChar"/>
        </w:rPr>
        <w:t xml:space="preserve">→ transfer remains suspended</w:t>
      </w:r>
    </w:p>
    <w:p>
      <w:pPr>
        <w:pStyle w:val="FirstParagraph"/>
      </w:pPr>
      <w:r>
        <w:t xml:space="preserve">The thresholds become mutually dependent and cannot complete.</w:t>
      </w:r>
    </w:p>
    <w:p>
      <w:r>
        <w:pict>
          <v:rect style="width:0;height:1.5pt" o:hralign="center" o:hrstd="t" o:hr="t"/>
        </w:pict>
      </w:r>
    </w:p>
    <w:bookmarkEnd w:id="39"/>
    <w:bookmarkEnd w:id="40"/>
    <w:bookmarkStart w:id="41" w:name="operational-evaluation"/>
    <w:p>
      <w:pPr>
        <w:pStyle w:val="Heading2"/>
      </w:pPr>
      <w:r>
        <w:t xml:space="preserve">8. Operational Evaluation</w:t>
      </w:r>
    </w:p>
    <w:p>
      <w:pPr>
        <w:numPr>
          <w:ilvl w:val="0"/>
          <w:numId w:val="1001"/>
        </w:numPr>
        <w:pStyle w:val="Compact"/>
      </w:pPr>
      <w:r>
        <w:t xml:space="preserve">What object, message, notice, or resource is being transmitted?</w:t>
      </w:r>
    </w:p>
    <w:p>
      <w:pPr>
        <w:numPr>
          <w:ilvl w:val="0"/>
          <w:numId w:val="1001"/>
        </w:numPr>
        <w:pStyle w:val="Compact"/>
      </w:pPr>
      <w:r>
        <w:t xml:space="preserve">What evidence establishes that it was sent?</w:t>
      </w:r>
    </w:p>
    <w:p>
      <w:pPr>
        <w:numPr>
          <w:ilvl w:val="0"/>
          <w:numId w:val="1001"/>
        </w:numPr>
        <w:pStyle w:val="Compact"/>
      </w:pPr>
      <w:r>
        <w:t xml:space="preserve">What evidence establishes that it reached the relevant destination?</w:t>
      </w:r>
    </w:p>
    <w:p>
      <w:pPr>
        <w:numPr>
          <w:ilvl w:val="0"/>
          <w:numId w:val="1001"/>
        </w:numPr>
        <w:pStyle w:val="Compact"/>
      </w:pPr>
      <w:r>
        <w:t xml:space="preserve">What functional condition would count as establishment?</w:t>
      </w:r>
    </w:p>
    <w:p>
      <w:pPr>
        <w:numPr>
          <w:ilvl w:val="0"/>
          <w:numId w:val="1001"/>
        </w:numPr>
        <w:pStyle w:val="Compact"/>
      </w:pPr>
      <w:r>
        <w:t xml:space="preserve">Did the correct person, system, or authority receive it?</w:t>
      </w:r>
    </w:p>
    <w:p>
      <w:pPr>
        <w:numPr>
          <w:ilvl w:val="0"/>
          <w:numId w:val="1001"/>
        </w:numPr>
        <w:pStyle w:val="Compact"/>
      </w:pPr>
      <w:r>
        <w:t xml:space="preserve">Was the object understandable and usable at the receiving site?</w:t>
      </w:r>
    </w:p>
    <w:p>
      <w:pPr>
        <w:numPr>
          <w:ilvl w:val="0"/>
          <w:numId w:val="1001"/>
        </w:numPr>
        <w:pStyle w:val="Compact"/>
      </w:pPr>
      <w:r>
        <w:t xml:space="preserve">Does acknowledgment show contact only, or actual integration?</w:t>
      </w:r>
    </w:p>
    <w:p>
      <w:pPr>
        <w:numPr>
          <w:ilvl w:val="0"/>
          <w:numId w:val="1001"/>
        </w:numPr>
        <w:pStyle w:val="Compact"/>
      </w:pPr>
      <w:r>
        <w:t xml:space="preserve">Is the system repeating proof of sending instead of testing establishment?</w:t>
      </w:r>
    </w:p>
    <w:p>
      <w:r>
        <w:pict>
          <v:rect style="width:0;height:1.5pt" o:hralign="center" o:hrstd="t" o:hr="t"/>
        </w:pict>
      </w:r>
    </w:p>
    <w:bookmarkEnd w:id="41"/>
    <w:bookmarkStart w:id="47" w:name="application-domains"/>
    <w:p>
      <w:pPr>
        <w:pStyle w:val="Heading2"/>
      </w:pPr>
      <w:r>
        <w:t xml:space="preserve">9. Application Domains</w:t>
      </w:r>
    </w:p>
    <w:bookmarkStart w:id="42" w:name="institutional-notice"/>
    <w:p>
      <w:pPr>
        <w:pStyle w:val="Heading3"/>
      </w:pPr>
      <w:r>
        <w:t xml:space="preserve">1. Institutional notice</w:t>
      </w:r>
    </w:p>
    <w:p>
      <w:pPr>
        <w:pStyle w:val="FirstParagraph"/>
      </w:pPr>
      <w:r>
        <w:t xml:space="preserve">A notice may be sent to an address yet fail to reach a person with the authority or capacity to respond.</w:t>
      </w:r>
    </w:p>
    <w:bookmarkEnd w:id="42"/>
    <w:bookmarkStart w:id="43" w:name="digital-communication"/>
    <w:p>
      <w:pPr>
        <w:pStyle w:val="Heading3"/>
      </w:pPr>
      <w:r>
        <w:t xml:space="preserve">2. Digital communication</w:t>
      </w:r>
    </w:p>
    <w:p>
      <w:pPr>
        <w:pStyle w:val="FirstParagraph"/>
      </w:pPr>
      <w:r>
        <w:t xml:space="preserve">Delivery and read receipts do not necessarily establish comprehension, acceptance, or action.</w:t>
      </w:r>
    </w:p>
    <w:bookmarkEnd w:id="43"/>
    <w:bookmarkStart w:id="44" w:name="data-and-document-transfer"/>
    <w:p>
      <w:pPr>
        <w:pStyle w:val="Heading3"/>
      </w:pPr>
      <w:r>
        <w:t xml:space="preserve">3. Data and document transfer</w:t>
      </w:r>
    </w:p>
    <w:p>
      <w:pPr>
        <w:pStyle w:val="FirstParagraph"/>
      </w:pPr>
      <w:r>
        <w:t xml:space="preserve">A file can arrive but remain unusable, misrouted, unsupported, or excluded from the authoritative record.</w:t>
      </w:r>
    </w:p>
    <w:bookmarkEnd w:id="44"/>
    <w:bookmarkStart w:id="45" w:name="warnings-and-alerts"/>
    <w:p>
      <w:pPr>
        <w:pStyle w:val="Heading3"/>
      </w:pPr>
      <w:r>
        <w:t xml:space="preserve">4. Warnings and alerts</w:t>
      </w:r>
    </w:p>
    <w:p>
      <w:pPr>
        <w:pStyle w:val="FirstParagraph"/>
      </w:pPr>
      <w:r>
        <w:t xml:space="preserve">Technical delivery does not establish that the warning reached the affected population or changed the relevant state.</w:t>
      </w:r>
    </w:p>
    <w:bookmarkEnd w:id="45"/>
    <w:bookmarkStart w:id="46" w:name="service-and-aid-delivery"/>
    <w:p>
      <w:pPr>
        <w:pStyle w:val="Heading3"/>
      </w:pPr>
      <w:r>
        <w:t xml:space="preserve">5. Service and aid delivery</w:t>
      </w:r>
    </w:p>
    <w:p>
      <w:pPr>
        <w:pStyle w:val="FirstParagraph"/>
      </w:pPr>
      <w:r>
        <w:t xml:space="preserve">Resources can be dispatched and received at an intermediate site without becoming accessible to the intended beneficiary.</w:t>
      </w:r>
    </w:p>
    <w:p>
      <w:r>
        <w:pict>
          <v:rect style="width:0;height:1.5pt" o:hralign="center" o:hrstd="t" o:hr="t"/>
        </w:pict>
      </w:r>
    </w:p>
    <w:bookmarkEnd w:id="46"/>
    <w:bookmarkEnd w:id="47"/>
    <w:bookmarkStart w:id="53" w:name="relations-to-adjacent-public-frameworks"/>
    <w:p>
      <w:pPr>
        <w:pStyle w:val="Heading2"/>
      </w:pPr>
      <w:r>
        <w:t xml:space="preserve">10. Relations to Adjacent Public Frameworks</w:t>
      </w:r>
    </w:p>
    <w:bookmarkStart w:id="48" w:name="boundary-failure-diagnostics"/>
    <w:p>
      <w:pPr>
        <w:pStyle w:val="Heading3"/>
      </w:pPr>
      <w:r>
        <w:t xml:space="preserve">1. Boundary Failure Diagnostics</w:t>
      </w:r>
    </w:p>
    <w:p>
      <w:pPr>
        <w:pStyle w:val="FirstParagraph"/>
      </w:pPr>
      <w:r>
        <w:t xml:space="preserve">Boundary Failure Diagnostics provides a general vocabulary for locating non-entry, closure, lock-in, and boundary loss. The present entry narrows that diagnostic field to a repeatable mechanism.</w:t>
      </w:r>
    </w:p>
    <w:bookmarkEnd w:id="48"/>
    <w:bookmarkStart w:id="49" w:name="responsibility-alignment-model"/>
    <w:p>
      <w:pPr>
        <w:pStyle w:val="Heading3"/>
      </w:pPr>
      <w:r>
        <w:t xml:space="preserve">2. Responsibility Alignment Model</w:t>
      </w:r>
    </w:p>
    <w:p>
      <w:pPr>
        <w:pStyle w:val="FirstParagraph"/>
      </w:pPr>
      <w:r>
        <w:t xml:space="preserve">Responsibility Alignment Model clarifies whether ownership, authority, capacity, visibility, and accountability remain attached to compatible nodes. The present entry specifies one condition under which that alignment can fail or become nominal.</w:t>
      </w:r>
    </w:p>
    <w:bookmarkEnd w:id="49"/>
    <w:bookmarkStart w:id="50" w:name="false-legibility-model"/>
    <w:p>
      <w:pPr>
        <w:pStyle w:val="Heading3"/>
      </w:pPr>
      <w:r>
        <w:t xml:space="preserve">3. False Legibility Model</w:t>
      </w:r>
    </w:p>
    <w:p>
      <w:pPr>
        <w:pStyle w:val="FirstParagraph"/>
      </w:pPr>
      <w:r>
        <w:t xml:space="preserve">False Legibility Model describes how readable surfaces can be accepted before their underlying structure is understood. The present entry identifies a concrete way in which fluency, familiarity, or interface clarity can conceal an unresolved boundary.</w:t>
      </w:r>
    </w:p>
    <w:bookmarkEnd w:id="50"/>
    <w:bookmarkStart w:id="51" w:name="observerrepresentation-boundary"/>
    <w:p>
      <w:pPr>
        <w:pStyle w:val="Heading3"/>
      </w:pPr>
      <w:r>
        <w:t xml:space="preserve">4. Observer–Representation Boundary</w:t>
      </w:r>
    </w:p>
    <w:p>
      <w:pPr>
        <w:pStyle w:val="FirstParagraph"/>
      </w:pPr>
      <w:r>
        <w:t xml:space="preserve">Observer–Representation Boundary separates what an observer can read from what a representation can legitimately establish. The present entry specifies the evidential or operational consequences of crossing that boundary.</w:t>
      </w:r>
    </w:p>
    <w:bookmarkEnd w:id="51"/>
    <w:bookmarkStart w:id="52" w:name="boundary-role-segmentation-model"/>
    <w:p>
      <w:pPr>
        <w:pStyle w:val="Heading3"/>
      </w:pPr>
      <w:r>
        <w:t xml:space="preserve">5. Boundary-Role Segmentation Model</w:t>
      </w:r>
    </w:p>
    <w:p>
      <w:pPr>
        <w:pStyle w:val="FirstParagraph"/>
      </w:pPr>
      <w:r>
        <w:t xml:space="preserve">Boundary-Role Segmentation Model describes local coherence within bounded roles and the contradictions that appear across role interfaces. The present entry clarifies which roles or thresholds must be kept separate.</w:t>
      </w:r>
    </w:p>
    <w:p>
      <w:r>
        <w:pict>
          <v:rect style="width:0;height:1.5pt" o:hralign="center" o:hrstd="t" o:hr="t"/>
        </w:pict>
      </w:r>
    </w:p>
    <w:bookmarkEnd w:id="52"/>
    <w:bookmarkEnd w:id="53"/>
    <w:bookmarkStart w:id="56" w:name="X673d9de5858afc14d9174904e92e64ad8dc9e49"/>
    <w:p>
      <w:pPr>
        <w:pStyle w:val="Heading2"/>
      </w:pPr>
      <w:r>
        <w:t xml:space="preserve">11. Boundary Conditions and Non-Applicability</w:t>
      </w:r>
    </w:p>
    <w:bookmarkStart w:id="54" w:name="boundary-conditions"/>
    <w:p>
      <w:pPr>
        <w:pStyle w:val="Heading3"/>
      </w:pPr>
      <w:r>
        <w:t xml:space="preserve">11.1 Boundary Conditions</w:t>
      </w:r>
    </w:p>
    <w:p>
      <w:pPr>
        <w:pStyle w:val="FirstParagraph"/>
      </w:pPr>
      <w:r>
        <w:t xml:space="preserve">This model applies when:</w:t>
      </w:r>
    </w:p>
    <w:p>
      <w:pPr>
        <w:pStyle w:val="SourceCode"/>
      </w:pPr>
      <w:r>
        <w:rPr>
          <w:rStyle w:val="VerbatimChar"/>
        </w:rPr>
        <w:t xml:space="preserve">1. A unit moves between sites, actors, systems, surfaces, records, or states.</w:t>
      </w:r>
      <w:r>
        <w:br/>
      </w:r>
      <w:r>
        <w:rPr>
          <w:rStyle w:val="VerbatimChar"/>
        </w:rPr>
        <w:t xml:space="preserve">2. Transfer has more than one threshold.</w:t>
      </w:r>
      <w:r>
        <w:br/>
      </w:r>
      <w:r>
        <w:rPr>
          <w:rStyle w:val="VerbatimChar"/>
        </w:rPr>
        <w:t xml:space="preserve">3. Later action depends on determining whether sending, receiving, or establishment has occurred.</w:t>
      </w:r>
      <w:r>
        <w:br/>
      </w:r>
      <w:r>
        <w:rPr>
          <w:rStyle w:val="VerbatimChar"/>
        </w:rPr>
        <w:t xml:space="preserve">4. A system risks treating one threshold as equivalent to another.</w:t>
      </w:r>
      <w:r>
        <w:br/>
      </w:r>
      <w:r>
        <w:rPr>
          <w:rStyle w:val="VerbatimChar"/>
        </w:rPr>
        <w:t xml:space="preserve">5. Recognition, routing, responsibility, record inheritance, or continuity is involved.</w:t>
      </w:r>
      <w:r>
        <w:br/>
      </w:r>
      <w:r>
        <w:rPr>
          <w:rStyle w:val="VerbatimChar"/>
        </w:rPr>
        <w:t xml:space="preserve">6. Failure at different thresholds produces different consequences.</w:t>
      </w:r>
    </w:p>
    <w:p>
      <w:pPr>
        <w:pStyle w:val="FirstParagraph"/>
      </w:pPr>
      <w:r>
        <w:t xml:space="preserve">This model is weak or absent when:</w:t>
      </w:r>
    </w:p>
    <w:p>
      <w:pPr>
        <w:pStyle w:val="SourceCode"/>
      </w:pPr>
      <w:r>
        <w:rPr>
          <w:rStyle w:val="VerbatimChar"/>
        </w:rPr>
        <w:t xml:space="preserve">1. Sending, receiving, and establishment are structurally identical by design.</w:t>
      </w:r>
      <w:r>
        <w:br/>
      </w:r>
      <w:r>
        <w:rPr>
          <w:rStyle w:val="VerbatimChar"/>
        </w:rPr>
        <w:t xml:space="preserve">2. No later continuity depends on the transfer.</w:t>
      </w:r>
      <w:r>
        <w:br/>
      </w:r>
      <w:r>
        <w:rPr>
          <w:rStyle w:val="VerbatimChar"/>
        </w:rPr>
        <w:t xml:space="preserve">3. Reception does not require recognition.</w:t>
      </w:r>
      <w:r>
        <w:br/>
      </w:r>
      <w:r>
        <w:rPr>
          <w:rStyle w:val="VerbatimChar"/>
        </w:rPr>
        <w:t xml:space="preserve">4. Establishment is irrelevant.</w:t>
      </w:r>
      <w:r>
        <w:br/>
      </w:r>
      <w:r>
        <w:rPr>
          <w:rStyle w:val="VerbatimChar"/>
        </w:rPr>
        <w:t xml:space="preserve">5. No transfer threshold exists.</w:t>
      </w:r>
      <w:r>
        <w:br/>
      </w:r>
      <w:r>
        <w:rPr>
          <w:rStyle w:val="VerbatimChar"/>
        </w:rPr>
        <w:t xml:space="preserve">6. The process is purely internal and does not require a receiving site.</w:t>
      </w:r>
    </w:p>
    <w:bookmarkEnd w:id="54"/>
    <w:bookmarkStart w:id="55" w:name="non-applicability"/>
    <w:p>
      <w:pPr>
        <w:pStyle w:val="Heading3"/>
      </w:pPr>
      <w:r>
        <w:t xml:space="preserve">11.2 Non-Applicability</w:t>
      </w:r>
    </w:p>
    <w:p>
      <w:pPr>
        <w:pStyle w:val="FirstParagraph"/>
      </w:pPr>
      <w:r>
        <w:t xml:space="preserve">This model should not be reduced to:</w:t>
      </w:r>
    </w:p>
    <w:p>
      <w:pPr>
        <w:pStyle w:val="SourceCode"/>
      </w:pPr>
      <w:r>
        <w:rPr>
          <w:rStyle w:val="VerbatimChar"/>
        </w:rPr>
        <w:t xml:space="preserve">postal delivery</w:t>
      </w:r>
      <w:r>
        <w:br/>
      </w:r>
      <w:r>
        <w:rPr>
          <w:rStyle w:val="VerbatimChar"/>
        </w:rPr>
        <w:t xml:space="preserve">legal notice doctrine</w:t>
      </w:r>
      <w:r>
        <w:br/>
      </w:r>
      <w:r>
        <w:rPr>
          <w:rStyle w:val="VerbatimChar"/>
        </w:rPr>
        <w:t xml:space="preserve">communication theory</w:t>
      </w:r>
      <w:r>
        <w:br/>
      </w:r>
      <w:r>
        <w:rPr>
          <w:rStyle w:val="VerbatimChar"/>
        </w:rPr>
        <w:t xml:space="preserve">interface design</w:t>
      </w:r>
      <w:r>
        <w:br/>
      </w:r>
      <w:r>
        <w:rPr>
          <w:rStyle w:val="VerbatimChar"/>
        </w:rPr>
        <w:t xml:space="preserve">logistics</w:t>
      </w:r>
      <w:r>
        <w:br/>
      </w:r>
      <w:r>
        <w:rPr>
          <w:rStyle w:val="VerbatimChar"/>
        </w:rPr>
        <w:t xml:space="preserve">message delivery status</w:t>
      </w:r>
      <w:r>
        <w:br/>
      </w:r>
      <w:r>
        <w:rPr>
          <w:rStyle w:val="VerbatimChar"/>
        </w:rPr>
        <w:t xml:space="preserve">administrative receipt rules</w:t>
      </w:r>
    </w:p>
    <w:p>
      <w:pPr>
        <w:pStyle w:val="FirstParagraph"/>
      </w:pPr>
      <w:r>
        <w:t xml:space="preserve">These may be application surfaces.</w:t>
      </w:r>
    </w:p>
    <w:p>
      <w:pPr>
        <w:pStyle w:val="BodyText"/>
      </w:pPr>
      <w:r>
        <w:t xml:space="preserve">They are not the source ontology of the model.</w:t>
      </w:r>
    </w:p>
    <w:p>
      <w:pPr>
        <w:pStyle w:val="BodyText"/>
      </w:pPr>
      <w:r>
        <w:t xml:space="preserve">The model concerns structural thresholds in meaning-bearing transfer, not any single domain of delivery.</w:t>
      </w:r>
    </w:p>
    <w:p>
      <w:r>
        <w:pict>
          <v:rect style="width:0;height:1.5pt" o:hralign="center" o:hrstd="t" o:hr="t"/>
        </w:pict>
      </w:r>
    </w:p>
    <w:bookmarkEnd w:id="55"/>
    <w:bookmarkEnd w:id="56"/>
    <w:bookmarkStart w:id="57" w:name="public-orientation-and-method-boundary"/>
    <w:p>
      <w:pPr>
        <w:pStyle w:val="Heading2"/>
      </w:pPr>
      <w:r>
        <w:t xml:space="preserve">12. Public Orientation and Method Boundary</w:t>
      </w:r>
    </w:p>
    <w:p>
      <w:pPr>
        <w:pStyle w:val="FirstParagraph"/>
      </w:pPr>
      <w:r>
        <w:t xml:space="preserve">This document is designed as a public conceptual entry. It provides a definition, mechanism, diagnostic orientation, and limit statement. It omits non-public editorial records, private source materials, non-public working materials, and implementation details.</w:t>
      </w:r>
    </w:p>
    <w:p>
      <w:pPr>
        <w:pStyle w:val="BodyText"/>
      </w:pPr>
      <w:r>
        <w:t xml:space="preserve">The entry is not a substitute for empirical research, legal analysis, professional judgment, technical testing, or domain-specific governance. It should not be used to score people or institutions, automate high-stakes decisions, or infer misconduct from conceptual similarity.</w:t>
      </w:r>
    </w:p>
    <w:p>
      <w:pPr>
        <w:pStyle w:val="BodyText"/>
      </w:pPr>
      <w:r>
        <w:t xml:space="preserve">Examples and application domains are illustrative. A case should be classified under</w:t>
      </w:r>
      <w:r>
        <w:t xml:space="preserve"> </w:t>
      </w:r>
      <w:r>
        <w:rPr>
          <w:bCs/>
          <w:b/>
        </w:rPr>
        <w:t xml:space="preserve">Sent–Received–Established Threshold Model</w:t>
      </w:r>
      <w:r>
        <w:t xml:space="preserve"> </w:t>
      </w:r>
      <w:r>
        <w:t xml:space="preserve">only when the relevant structure can be demonstrated from available evidence.</w:t>
      </w:r>
    </w:p>
    <w:p>
      <w:r>
        <w:pict>
          <v:rect style="width:0;height:1.5pt" o:hralign="center" o:hrstd="t" o:hr="t"/>
        </w:pict>
      </w:r>
    </w:p>
    <w:bookmarkEnd w:id="57"/>
    <w:bookmarkStart w:id="63" w:name="limitations"/>
    <w:p>
      <w:pPr>
        <w:pStyle w:val="Heading2"/>
      </w:pPr>
      <w:r>
        <w:t xml:space="preserve">13. Limitations</w:t>
      </w:r>
    </w:p>
    <w:bookmarkStart w:id="58" w:name="no-universal-proof-rule"/>
    <w:p>
      <w:pPr>
        <w:pStyle w:val="Heading3"/>
      </w:pPr>
      <w:r>
        <w:t xml:space="preserve">1. No universal proof rule</w:t>
      </w:r>
    </w:p>
    <w:p>
      <w:pPr>
        <w:pStyle w:val="FirstParagraph"/>
      </w:pPr>
      <w:r>
        <w:t xml:space="preserve">Different domains define reception and establishment differently.</w:t>
      </w:r>
    </w:p>
    <w:bookmarkEnd w:id="58"/>
    <w:bookmarkStart w:id="59" w:name="establishment-can-be-partial"/>
    <w:p>
      <w:pPr>
        <w:pStyle w:val="Heading3"/>
      </w:pPr>
      <w:r>
        <w:t xml:space="preserve">2. Establishment can be partial</w:t>
      </w:r>
    </w:p>
    <w:p>
      <w:pPr>
        <w:pStyle w:val="FirstParagraph"/>
      </w:pPr>
      <w:r>
        <w:t xml:space="preserve">An object may become active for one function while remaining absent from another.</w:t>
      </w:r>
    </w:p>
    <w:bookmarkEnd w:id="59"/>
    <w:bookmarkStart w:id="60" w:name="confirmation-can-create-burden"/>
    <w:p>
      <w:pPr>
        <w:pStyle w:val="Heading3"/>
      </w:pPr>
      <w:r>
        <w:t xml:space="preserve">3. Confirmation can create burden</w:t>
      </w:r>
    </w:p>
    <w:p>
      <w:pPr>
        <w:pStyle w:val="FirstParagraph"/>
      </w:pPr>
      <w:r>
        <w:t xml:space="preserve">Repeated verification can be costly or intrusive.</w:t>
      </w:r>
    </w:p>
    <w:bookmarkEnd w:id="60"/>
    <w:bookmarkStart w:id="61" w:name="receiver-agency-matters"/>
    <w:p>
      <w:pPr>
        <w:pStyle w:val="Heading3"/>
      </w:pPr>
      <w:r>
        <w:t xml:space="preserve">4. Receiver agency matters</w:t>
      </w:r>
    </w:p>
    <w:p>
      <w:pPr>
        <w:pStyle w:val="FirstParagraph"/>
      </w:pPr>
      <w:r>
        <w:t xml:space="preserve">Non-establishment may reflect refusal, disagreement, or legitimate non-use rather than failure.</w:t>
      </w:r>
    </w:p>
    <w:bookmarkEnd w:id="61"/>
    <w:bookmarkStart w:id="62" w:name="no-legal-notice-doctrine"/>
    <w:p>
      <w:pPr>
        <w:pStyle w:val="Heading3"/>
      </w:pPr>
      <w:r>
        <w:t xml:space="preserve">5. No legal notice doctrine</w:t>
      </w:r>
    </w:p>
    <w:p>
      <w:pPr>
        <w:pStyle w:val="FirstParagraph"/>
      </w:pPr>
      <w:r>
        <w:t xml:space="preserve">The model does not determine whether formal notice requirements have been satisfied.</w:t>
      </w:r>
    </w:p>
    <w:p>
      <w:r>
        <w:pict>
          <v:rect style="width:0;height:1.5pt" o:hralign="center" o:hrstd="t" o:hr="t"/>
        </w:pict>
      </w:r>
    </w:p>
    <w:bookmarkEnd w:id="62"/>
    <w:bookmarkEnd w:id="63"/>
    <w:bookmarkStart w:id="64" w:name="minimal-formulation"/>
    <w:p>
      <w:pPr>
        <w:pStyle w:val="Heading2"/>
      </w:pPr>
      <w:r>
        <w:t xml:space="preserve">14. Minimal Formulation</w:t>
      </w:r>
    </w:p>
    <w:p>
      <w:pPr>
        <w:pStyle w:val="SourceCode"/>
      </w:pPr>
      <w:r>
        <w:rPr>
          <w:rStyle w:val="VerbatimChar"/>
        </w:rPr>
        <w:t xml:space="preserve">Sent is not received.</w:t>
      </w:r>
      <w:r>
        <w:br/>
      </w:r>
      <w:r>
        <w:rPr>
          <w:rStyle w:val="VerbatimChar"/>
        </w:rPr>
        <w:t xml:space="preserve">Received is not established.</w:t>
      </w:r>
      <w:r>
        <w:br/>
      </w:r>
      <w:r>
        <w:rPr>
          <w:rStyle w:val="VerbatimChar"/>
        </w:rPr>
        <w:t xml:space="preserve">Established does not automatically preserve origin.</w:t>
      </w:r>
    </w:p>
    <w:p>
      <w:pPr>
        <w:pStyle w:val="FirstParagraph"/>
      </w:pPr>
      <w:r>
        <w:t xml:space="preserve">Compressed form:</w:t>
      </w:r>
    </w:p>
    <w:p>
      <w:pPr>
        <w:pStyle w:val="SourceCode"/>
      </w:pPr>
      <w:r>
        <w:rPr>
          <w:rStyle w:val="VerbatimChar"/>
        </w:rPr>
        <w:t xml:space="preserve">Transfer is incomplete until the required threshold has been reached.</w:t>
      </w:r>
    </w:p>
    <w:p>
      <w:r>
        <w:pict>
          <v:rect style="width:0;height:1.5pt" o:hralign="center" o:hrstd="t" o:hr="t"/>
        </w:pict>
      </w:r>
    </w:p>
    <w:bookmarkEnd w:id="64"/>
    <w:bookmarkStart w:id="65" w:name="conclusion"/>
    <w:p>
      <w:pPr>
        <w:pStyle w:val="Heading2"/>
      </w:pPr>
      <w:r>
        <w:t xml:space="preserve">15. Conclusion</w:t>
      </w:r>
    </w:p>
    <w:p>
      <w:pPr>
        <w:pStyle w:val="FirstParagraph"/>
      </w:pPr>
      <w:r>
        <w:t xml:space="preserve">Sent, received, and established are distinct thresholds. A system that records only the first can produce a strong appearance of completion while the intended functional state remains absent.</w:t>
      </w:r>
    </w:p>
    <w:p>
      <w:pPr>
        <w:pStyle w:val="BodyText"/>
      </w:pPr>
      <w:r>
        <w:t xml:space="preserve">The model supports proportionate confirmation: identify which threshold matters, test the correct receiving site, preserve origin and context, and avoid treating technical contact as proof of operational establishment.</w:t>
      </w:r>
    </w:p>
    <w:p>
      <w:r>
        <w:pict>
          <v:rect style="width:0;height:1.5pt" o:hralign="center" o:hrstd="t" o:hr="t"/>
        </w:pict>
      </w:r>
    </w:p>
    <w:bookmarkEnd w:id="65"/>
    <w:bookmarkStart w:id="66" w:name="naming-declaration"/>
    <w:p>
      <w:pPr>
        <w:pStyle w:val="Heading2"/>
      </w:pPr>
      <w:r>
        <w:t xml:space="preserve">Naming Declaration</w:t>
      </w:r>
    </w:p>
    <w:p>
      <w:pPr>
        <w:pStyle w:val="FirstParagraph"/>
      </w:pPr>
      <w:r>
        <w:rPr>
          <w:bCs/>
          <w:b/>
        </w:rPr>
        <w:t xml:space="preserve">Sent–Received–Established Threshold Model</w:t>
      </w:r>
      <w:r>
        <w:t xml:space="preserve"> </w:t>
      </w:r>
      <w:r>
        <w:t xml:space="preserve">is designated within Meta-Writing Ecology as a structural model for distinguishing transfer thresholds that are often falsely collapsed into one another.</w:t>
      </w:r>
    </w:p>
    <w:p>
      <w:pPr>
        <w:pStyle w:val="BodyText"/>
      </w:pPr>
      <w:r>
        <w:t xml:space="preserve">The name refers to the separation between dispatch, reception, and recognized continuity.</w:t>
      </w:r>
    </w:p>
    <w:p>
      <w:pPr>
        <w:pStyle w:val="BodyText"/>
      </w:pPr>
      <w:r>
        <w:t xml:space="preserve">It does not refer specifically to postal systems, legal notice, notification law, message delivery, logistics, platform read receipts, interpersonal communication, or interface status markers.</w:t>
      </w:r>
    </w:p>
    <w:p>
      <w:pPr>
        <w:pStyle w:val="BodyText"/>
      </w:pPr>
      <w:r>
        <w:t xml:space="preserve">The model formalizes a general threshold structure:</w:t>
      </w:r>
    </w:p>
    <w:p>
      <w:pPr>
        <w:pStyle w:val="SourceCode"/>
      </w:pPr>
      <w:r>
        <w:rPr>
          <w:rStyle w:val="VerbatimChar"/>
        </w:rPr>
        <w:t xml:space="preserve">outward movement</w:t>
      </w:r>
      <w:r>
        <w:br/>
      </w:r>
      <w:r>
        <w:rPr>
          <w:rStyle w:val="VerbatimChar"/>
        </w:rPr>
        <w:t xml:space="preserve">≠</w:t>
      </w:r>
      <w:r>
        <w:br/>
      </w:r>
      <w:r>
        <w:rPr>
          <w:rStyle w:val="VerbatimChar"/>
        </w:rPr>
        <w:t xml:space="preserve">valid intake</w:t>
      </w:r>
      <w:r>
        <w:br/>
      </w:r>
      <w:r>
        <w:rPr>
          <w:rStyle w:val="VerbatimChar"/>
        </w:rPr>
        <w:t xml:space="preserve">≠</w:t>
      </w:r>
      <w:r>
        <w:br/>
      </w:r>
      <w:r>
        <w:rPr>
          <w:rStyle w:val="VerbatimChar"/>
        </w:rPr>
        <w:t xml:space="preserve">recognized continuity</w:t>
      </w:r>
    </w:p>
    <w:p>
      <w:pPr>
        <w:pStyle w:val="FirstParagraph"/>
      </w:pPr>
      <w:r>
        <w:t xml:space="preserve">The term should be used when the structural question is not merely whether something moved, but whether it reached the threshold required for later system state.</w:t>
      </w:r>
    </w:p>
    <w:bookmarkEnd w:id="66"/>
    <w:sectPr w:rsidR="00FC693F" w:rsidRPr="0006063C" w:rsidSect="00034616">
      <w:pgSz w:h="16838" w:w="11906"/>
      <w:pgMar w:bottom="1418" w:footer="700" w:gutter="0" w:header="700" w:left="1418" w:right="1418" w:top="1418"/>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0" w:before="0" w:line="540" w:lineRule="exact"/>
      <w:ind w:firstLine="480"/>
      <w:jc w:val="left"/>
    </w:pPr>
    <w:rPr>
      <w:rFonts w:ascii="Gelasio" w:cs="Gelasio" w:eastAsia="Gelasio" w:hAnsi="Gelasio"/>
      <w:b w:val="0"/>
      <w:i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240" w:before="360" w:line="240" w:lineRule="auto"/>
      <w:ind w:firstLine="0"/>
      <w:jc w:val="left"/>
      <w:outlineLvl w:val="0"/>
    </w:pPr>
    <w:rPr>
      <w:rFonts w:ascii="Gelasio" w:asciiTheme="majorHAnsi" w:cs="Gelasio" w:cstheme="majorBidi" w:eastAsia="Gelasio" w:eastAsiaTheme="majorEastAsia" w:hAnsi="Gelasio" w:hAnsiTheme="majorHAnsi"/>
      <w:b/>
      <w:bCs/>
      <w:i w:val="0"/>
      <w:color w:val="000000"/>
      <w:sz w:val="32"/>
      <w:szCs w:val="28"/>
    </w:rPr>
  </w:style>
  <w:style w:styleId="Heading2" w:type="paragraph">
    <w:name w:val="heading 2"/>
    <w:basedOn w:val="Normal"/>
    <w:next w:val="Normal"/>
    <w:link w:val="Heading2Char"/>
    <w:uiPriority w:val="9"/>
    <w:unhideWhenUsed/>
    <w:qFormat/>
    <w:rsid w:val="00FC693F"/>
    <w:pPr>
      <w:keepNext/>
      <w:keepLines/>
      <w:widowControl/>
      <w:spacing w:after="240" w:before="360" w:line="240" w:lineRule="auto"/>
      <w:ind w:firstLine="0"/>
      <w:jc w:val="left"/>
      <w:outlineLvl w:val="1"/>
    </w:pPr>
    <w:rPr>
      <w:rFonts w:ascii="Gelasio" w:asciiTheme="majorHAnsi" w:cs="Gelasio" w:cstheme="majorBidi" w:eastAsia="Gelasio" w:eastAsiaTheme="majorEastAsia" w:hAnsi="Gelasio" w:hAnsiTheme="majorHAnsi"/>
      <w:b/>
      <w:bCs/>
      <w:i w:val="0"/>
      <w:color w:val="000000"/>
      <w:sz w:val="32"/>
      <w:szCs w:val="26"/>
    </w:rPr>
  </w:style>
  <w:style w:styleId="Heading3" w:type="paragraph">
    <w:name w:val="heading 3"/>
    <w:basedOn w:val="Normal"/>
    <w:next w:val="Normal"/>
    <w:link w:val="Heading3Char"/>
    <w:uiPriority w:val="9"/>
    <w:unhideWhenUsed/>
    <w:qFormat/>
    <w:rsid w:val="00FC693F"/>
    <w:pPr>
      <w:keepNext/>
      <w:keepLines/>
      <w:widowControl/>
      <w:spacing w:after="120" w:before="240" w:line="240" w:lineRule="auto"/>
      <w:ind w:firstLine="0"/>
      <w:jc w:val="left"/>
      <w:outlineLvl w:val="2"/>
    </w:pPr>
    <w:rPr>
      <w:rFonts w:ascii="Gelasio" w:asciiTheme="majorHAnsi" w:cs="Gelasio" w:cstheme="majorBidi" w:eastAsia="Gelasio" w:eastAsiaTheme="majorEastAsia" w:hAnsi="Gelasio" w:hAnsiTheme="majorHAnsi"/>
      <w:b/>
      <w:bCs/>
      <w:i w:val="0"/>
      <w:color w:val="000000"/>
      <w:sz w:val="28"/>
    </w:rPr>
  </w:style>
  <w:style w:styleId="Heading4" w:type="paragraph">
    <w:name w:val="heading 4"/>
    <w:basedOn w:val="Normal"/>
    <w:next w:val="Normal"/>
    <w:link w:val="Heading4Char"/>
    <w:uiPriority w:val="9"/>
    <w:semiHidden/>
    <w:unhideWhenUsed/>
    <w:qFormat/>
    <w:rsid w:val="00FC693F"/>
    <w:pPr>
      <w:keepNext/>
      <w:keepLines/>
      <w:widowControl/>
      <w:spacing w:after="80" w:before="200" w:line="240" w:lineRule="auto"/>
      <w:ind w:firstLine="0"/>
      <w:jc w:val="left"/>
      <w:outlineLvl w:val="3"/>
    </w:pPr>
    <w:rPr>
      <w:rFonts w:ascii="Gelasio" w:asciiTheme="majorHAnsi" w:cs="Gelasio" w:cstheme="majorBidi" w:eastAsia="Gelasio" w:eastAsiaTheme="majorEastAsia" w:hAnsi="Gelasio" w:hAnsiTheme="majorHAnsi"/>
      <w:b/>
      <w:bCs/>
      <w:i w:val="0"/>
      <w:iCs/>
      <w:color w:val="000000"/>
      <w:sz w:val="25"/>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basedOn w:val="Normal"/>
    <w:pPr>
      <w:spacing w:after="0" w:before="0" w:line="540" w:lineRule="exact"/>
      <w:ind w:firstLine="0" w:left="0"/>
    </w:pPr>
    <w:rPr>
      <w:rFonts w:ascii="Gelasio" w:cs="Gelasio" w:eastAsia="Gelasio" w:hAnsi="Gelasio"/>
      <w:color w:val="000000"/>
      <w:sz w:val="24"/>
    </w:rPr>
  </w:style>
  <w:style w:customStyle="1" w:styleId="MWETitle" w:type="paragraph">
    <w:name w:val="MWE Title"/>
    <w:basedOn w:val="Normal"/>
    <w:pPr>
      <w:spacing w:after="0" w:before="0" w:line="240" w:lineRule="auto"/>
      <w:ind w:firstLine="0"/>
      <w:jc w:val="left"/>
    </w:pPr>
    <w:rPr>
      <w:rFonts w:ascii="Gelasio" w:cs="Gelasio" w:eastAsia="Gelasio" w:hAnsi="Gelasio"/>
      <w:b/>
      <w:i w:val="0"/>
      <w:color w:val="000000"/>
      <w:sz w:val="44"/>
    </w:rPr>
  </w:style>
  <w:style w:customStyle="1" w:styleId="MWESubtitle" w:type="paragraph">
    <w:name w:val="MWE Subtitle"/>
    <w:basedOn w:val="Normal"/>
    <w:pPr>
      <w:spacing w:after="0" w:before="0" w:line="240" w:lineRule="auto"/>
      <w:ind w:firstLine="0"/>
      <w:jc w:val="left"/>
    </w:pPr>
    <w:rPr>
      <w:rFonts w:ascii="Gelasio" w:cs="Gelasio" w:eastAsia="Gelasio" w:hAnsi="Gelasio"/>
      <w:b/>
      <w:i/>
      <w:color w:val="000000"/>
      <w:sz w:val="32"/>
    </w:rPr>
  </w:style>
  <w:style w:customStyle="1" w:styleId="MWEMeta" w:type="paragraph">
    <w:name w:val="MWE Meta"/>
    <w:basedOn w:val="Normal"/>
    <w:pPr>
      <w:spacing w:after="0" w:before="0" w:line="240" w:lineRule="auto"/>
      <w:ind w:firstLine="0"/>
      <w:jc w:val="left"/>
    </w:pPr>
    <w:rPr>
      <w:rFonts w:ascii="Gelasio" w:cs="Gelasio" w:eastAsia="Gelasio" w:hAnsi="Gelasio"/>
      <w:b/>
      <w:i/>
      <w:color w:val="000000"/>
      <w:sz w:val="24"/>
    </w:rPr>
  </w:style>
  <w:style w:customStyle="1" w:styleId="MWEAuthor" w:type="paragraph">
    <w:name w:val="MWE Author"/>
    <w:basedOn w:val="Normal"/>
    <w:pPr>
      <w:spacing w:after="0" w:before="0" w:line="240" w:lineRule="auto"/>
      <w:ind w:firstLine="0"/>
      <w:jc w:val="left"/>
    </w:pPr>
    <w:rPr>
      <w:rFonts w:ascii="Gelasio" w:cs="Gelasio" w:eastAsia="Gelasio" w:hAnsi="Gelasio"/>
      <w:b/>
      <w:i w:val="0"/>
      <w:color w:val="000000"/>
      <w:sz w:val="24"/>
    </w:rPr>
  </w:style>
  <w:style w:customStyle="1" w:styleId="MWEAffiliation" w:type="paragraph">
    <w:name w:val="MWE Affiliation"/>
    <w:basedOn w:val="Normal"/>
    <w:pPr>
      <w:spacing w:after="0" w:before="0" w:line="240" w:lineRule="auto"/>
      <w:ind w:firstLine="0"/>
      <w:jc w:val="left"/>
    </w:pPr>
    <w:rPr>
      <w:rFonts w:ascii="Gelasio" w:cs="Gelasio" w:eastAsia="Gelasio" w:hAnsi="Gelasio"/>
      <w:b/>
      <w:i w:val="0"/>
      <w:color w:val="000000"/>
      <w:sz w:val="24"/>
    </w:rPr>
  </w:style>
  <w:style w:customStyle="1" w:styleId="MWESpacer" w:type="paragraph">
    <w:name w:val="MWE Spacer"/>
    <w:basedOn w:val="Normal"/>
    <w:pPr>
      <w:spacing w:after="0" w:before="0" w:line="240" w:lineRule="auto"/>
      <w:ind w:firstLine="0"/>
      <w:jc w:val="left"/>
    </w:pPr>
    <w:rPr>
      <w:rFonts w:ascii="Gelasio" w:cs="Gelasio" w:eastAsia="Gelasio" w:hAnsi="Gelasio"/>
      <w:b w:val="0"/>
      <w:i w:val="0"/>
      <w:color w:val="000000"/>
      <w:sz w:val="24"/>
    </w:rPr>
  </w:style>
  <w:style w:customStyle="1" w:styleId="BlockText" w:type="paragraph">
    <w:name w:val="Block Text"/>
    <w:basedOn w:val="Normal"/>
    <w:pPr>
      <w:ind w:firstLine="0" w:left="480"/>
    </w:pPr>
    <w:rPr>
      <w:rFonts w:ascii="Gelasio" w:cs="Gelasio" w:eastAsia="Gelasio" w:hAnsi="Gelasio"/>
      <w:i w:val="0"/>
      <w:color w:val="000000"/>
      <w:sz w:val="24"/>
    </w:rPr>
  </w:style>
  <w:style w:customStyle="1" w:styleId="SourceCode" w:type="paragraph">
    <w:name w:val="Source Code"/>
    <w:basedOn w:val="Normal"/>
    <w:pPr>
      <w:spacing w:line="240" w:lineRule="auto"/>
      <w:ind w:firstLine="0" w:left="240"/>
    </w:pPr>
    <w:rPr>
      <w:rFonts w:ascii="DejaVu Sans Mono" w:cs="DejaVu Sans Mono" w:eastAsia="DejaVu Sans Mono" w:hAnsi="DejaVu Sans Mono"/>
      <w:color w:val="000000"/>
      <w:sz w:val="21"/>
    </w:rPr>
  </w:style>
  <w:style w:customStyle="1" w:styleId="VerbatimChar" w:type="character">
    <w:name w:val="Verbatim Char"/>
    <w:rPr>
      <w:rFonts w:ascii="DejaVu Sans Mono" w:cs="DejaVu Sans Mono" w:eastAsia="DejaVu Sans Mono" w:hAnsi="DejaVu Sans Mono"/>
      <w:color w:val="000000"/>
      <w:sz w:val="21"/>
    </w:rPr>
  </w:style>
  <w:style w:customStyle="1" w:styleId="ImageCaption" w:type="paragraph">
    <w:name w:val="Image Caption"/>
    <w:basedOn w:val="Normal"/>
    <w:pPr>
      <w:ind w:firstLine="0"/>
    </w:pPr>
    <w:rPr>
      <w:rFonts w:ascii="Gelasio" w:cs="Gelasio" w:eastAsia="Gelasio" w:hAnsi="Gelasio"/>
      <w:i/>
      <w:color w:val="000000"/>
      <w:sz w:val="21"/>
    </w:rPr>
  </w:style>
  <w:style w:customStyle="1" w:styleId="MWEReferences" w:type="paragraph">
    <w:name w:val="MWE References"/>
    <w:basedOn w:val="Normal"/>
    <w:pPr>
      <w:spacing w:line="540" w:lineRule="exact"/>
      <w:ind w:hanging="480" w:left="480"/>
    </w:pPr>
    <w:rPr>
      <w:rFonts w:ascii="Gelasio" w:cs="Gelasio" w:eastAsia="Gelasio" w:hAnsi="Gelasio"/>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Sent–Received–Established Threshold Model</dc:title>
  <dc:creator>Huang Tzuyuan</dc:creator>
  <cp:keywords/>
  <dcterms:created xsi:type="dcterms:W3CDTF">2026-07-17T14:37:37Z</dcterms:created>
  <dcterms:modified xsi:type="dcterms:W3CDTF">2026-07-17T14:37:37Z</dcterms:modified>
  <cp:lastModifiedBy/>
  <dc:description/>
  <cp:category/>
  <dc:subject/>
  <dc:identifier/>
  <cp:revision>1</cp:revision>
</cp:coreProperties>
</file>

<file path=docProps/custom.xml><?xml version="1.0" encoding="utf-8"?>
<Properties xmlns="http://schemas.openxmlformats.org/officeDocument/2006/custom-properties" xmlns:vt="http://schemas.openxmlformats.org/officeDocument/2006/docPropsVTypes"/>
</file>