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MWESpacer"/>
        <w:spacing w:lineRule="exact" w:line="5500" w:before="0" w:after="0"/>
        <w:ind w:firstLine="0"/>
      </w:pPr>
    </w:p>
    <w:p>
      <w:pPr>
        <w:pStyle w:val="MWETitle"/>
      </w:pPr>
      <w:r>
        <w:t>Purchased Access / Revocable Library Boundary</w:t>
      </w:r>
    </w:p>
    <w:p>
      <w:pPr>
        <w:pStyle w:val="MWESpacer"/>
        <w:spacing w:lineRule="exact" w:line="120" w:before="0" w:after="0"/>
        <w:ind w:firstLine="0"/>
      </w:pPr>
    </w:p>
    <w:p>
      <w:pPr>
        <w:pStyle w:val="MWESubtitle"/>
      </w:pPr>
      <w:r>
        <w:t>Ownership Surfaces, Platform Dependency, and the Instability of Digital Possession</w:t>
      </w:r>
    </w:p>
    <w:p>
      <w:pPr>
        <w:pStyle w:val="MWESpacer"/>
        <w:spacing w:lineRule="exact" w:line="360" w:before="0" w:after="0"/>
        <w:ind w:firstLine="0"/>
      </w:pPr>
    </w:p>
    <w:p>
      <w:pPr>
        <w:pStyle w:val="MWEMeta"/>
      </w:pPr>
      <w:r>
        <w:rPr>
          <w:b/>
          <w:i/>
        </w:rPr>
        <w:t xml:space="preserve">Version: </w:t>
      </w:r>
      <w:r>
        <w:rPr>
          <w:b w:val="0"/>
          <w:i/>
        </w:rPr>
        <w:t>0.1</w:t>
      </w:r>
    </w:p>
    <w:p>
      <w:pPr>
        <w:pStyle w:val="MWEMeta"/>
      </w:pPr>
      <w:r>
        <w:rPr>
          <w:b/>
          <w:i/>
        </w:rPr>
        <w:t xml:space="preserve">Date: </w:t>
      </w:r>
      <w:r>
        <w:rPr>
          <w:b w:val="0"/>
          <w:i/>
        </w:rPr>
        <w:t>July 2026</w:t>
      </w:r>
    </w:p>
    <w:p>
      <w:pPr>
        <w:pStyle w:val="MWEMeta"/>
      </w:pPr>
      <w:r>
        <w:rPr>
          <w:b/>
          <w:i/>
        </w:rPr>
        <w:t xml:space="preserve">Status: </w:t>
      </w:r>
      <w:r>
        <w:rPr>
          <w:b w:val="0"/>
          <w:i/>
        </w:rPr>
        <w:t>Preprint / OSF external-facing draft</w:t>
      </w:r>
    </w:p>
    <w:p>
      <w:pPr>
        <w:pStyle w:val="MWEMeta"/>
      </w:pPr>
      <w:r>
        <w:rPr>
          <w:b/>
          <w:i/>
        </w:rPr>
        <w:t xml:space="preserve">Context: </w:t>
      </w:r>
      <w:r>
        <w:rPr>
          <w:b w:val="0"/>
          <w:i/>
        </w:rPr>
        <w:t>Meta-Writing Ecology</w:t>
      </w:r>
    </w:p>
    <w:p>
      <w:pPr>
        <w:pStyle w:val="MWEMeta"/>
      </w:pPr>
      <w:r>
        <w:rPr>
          <w:b/>
          <w:i/>
        </w:rPr>
        <w:t xml:space="preserve">Document Type: </w:t>
      </w:r>
      <w:r>
        <w:rPr>
          <w:b w:val="0"/>
          <w:i/>
        </w:rPr>
        <w:t>Cross-Supporting Boundary Note</w:t>
      </w:r>
    </w:p>
    <w:p>
      <w:pPr>
        <w:pStyle w:val="MWESpacer"/>
        <w:spacing w:lineRule="exact" w:line="2800" w:before="0" w:after="0"/>
        <w:ind w:firstLine="0"/>
      </w:pPr>
    </w:p>
    <w:p>
      <w:pPr>
        <w:pStyle w:val="MWEAuthor"/>
      </w:pPr>
      <w:r>
        <w:t>Huang Tzuyuan</w:t>
      </w:r>
    </w:p>
    <w:p>
      <w:pPr>
        <w:pStyle w:val="MWESpacer"/>
      </w:pPr>
      <w:r>
        <w:br w:type="page"/>
      </w:r>
    </w:p>
    <w:p>
      <w:pPr>
        <w:pStyle w:val="Heading2"/>
      </w:pPr>
      <w:r>
        <w:t xml:space="preserve">Abstract</w:t>
      </w:r>
    </w:p>
    <w:p>
      <w:pPr>
        <w:pStyle w:val="FirstParagraph"/>
      </w:pPr>
      <w:r>
        <w:t xml:space="preserve">This document formalizes the</w:t>
      </w:r>
      <w:r>
        <w:t xml:space="preserve"> </w:t>
      </w:r>
      <w:r>
        <w:rPr>
          <w:bCs/>
          <w:b/>
        </w:rPr>
        <w:t xml:space="preserve">Purchased Access / Revocable Library Boundary</w:t>
      </w:r>
      <w:r>
        <w:t xml:space="preserve"> </w:t>
      </w:r>
      <w:r>
        <w:t xml:space="preserve">as a conceptual boundary for digital objects presented through the language and interface of purchase, ownership, collection, or library membership while remaining structurally dependent on revocable platform-mediated access.</w:t>
      </w:r>
    </w:p>
    <w:p>
      <w:pPr>
        <w:pStyle w:val="BodyText"/>
      </w:pPr>
      <w:r>
        <w:t xml:space="preserve">An item may appear in an account history, owned-items page, collection, media shelf, or download list. A payment record and library interface can support a reasonable expectation of durable possession. Yet access may remain conditional on licensing, platform continuity, account standing, regional rights, server availability, device compatibility, digital-rights controls, or continuing commercial support. The ownership surface is visible while the possession structure is partial or absent.</w:t>
      </w:r>
    </w:p>
    <w:p>
      <w:pPr>
        <w:pStyle w:val="BodyText"/>
      </w:pPr>
      <w:r>
        <w:t xml:space="preserve">The note distinguishes purchase language from ownership structure, library presence from possession stability, and access permission from preservation control. It identifies purchase-language overreach, library-icon proxy, revocable-access exposure, preservation-lifeline removal, memory-carrier compression, market-plurality collapse, and removal without ownership remedy.</w:t>
      </w:r>
    </w:p>
    <w:p>
      <w:pPr>
        <w:pStyle w:val="BodyText"/>
      </w:pPr>
      <w:r>
        <w:t xml:space="preserve">The framework does not claim that all digital licensing is deceptive or that physical media is always superior. It examines the mismatch between the durable expectations produced by an ownership-like interface and the revocable conditions that actually govern access. It is relevant to digital books, games, films, music, software, cloud libraries, and cultural-memory platforms.</w:t>
      </w:r>
    </w:p>
    <w:p>
      <w:r>
        <w:pict>
          <v:rect style="width:0;height:1.5pt" o:hralign="center" o:hrstd="t" o:hr="t"/>
        </w:pict>
      </w:r>
    </w:p>
    <w:bookmarkEnd w:id="20"/>
    <w:bookmarkStart w:id="21" w:name="keywords"/>
    <w:p>
      <w:pPr>
        <w:pStyle w:val="Heading2"/>
      </w:pPr>
      <w:r>
        <w:t xml:space="preserve">Keywords</w:t>
      </w:r>
    </w:p>
    <w:p>
      <w:pPr>
        <w:pStyle w:val="FirstParagraph"/>
      </w:pPr>
      <w:r>
        <w:t xml:space="preserve">Digital Ownership; Purchased Access; Revocable Library; Platform Dependency; Ownership Surface; Digital Possession; Licensing; DRM; Preservation; Library Interface; Consumer Expectation; Cultural Memory; Access Boundary; Meta-Writing Ecology.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Digital distribution separates payment, access, possession, and preservation. A user can pay once, see an item placed in a personal library, and use ownership-adjacent language while never receiving an independently controllable copy.</w:t>
      </w:r>
    </w:p>
    <w:p>
      <w:pPr>
        <w:pStyle w:val="BodyText"/>
      </w:pPr>
      <w:r>
        <w:t xml:space="preserve">For long periods the distinction may remain invisible. The platform works, licenses remain active, devices are supported, and the item continues to appear. The boundary becomes visible only when access is removed, the service closes, a region changes, an account is restricted, or compatibility disappears.</w:t>
      </w:r>
    </w:p>
    <w:p>
      <w:pPr>
        <w:pStyle w:val="BodyText"/>
      </w:pPr>
      <w:r>
        <w:t xml:space="preserve">This note examines the architecture that existed before the loss. It asks what the user acquired, which forms of control were transferred, which remained with the platform, and whether the interface communicated the difference.</w:t>
      </w:r>
    </w:p>
    <w:p>
      <w:r>
        <w:pict>
          <v:rect style="width:0;height:1.5pt" o:hralign="center" o:hrstd="t" o:hr="t"/>
        </w:pict>
      </w:r>
    </w:p>
    <w:bookmarkEnd w:id="22"/>
    <w:bookmarkStart w:id="23" w:name="core-definition"/>
    <w:p>
      <w:pPr>
        <w:pStyle w:val="Heading2"/>
      </w:pPr>
      <w:r>
        <w:t xml:space="preserve">2. Core Definition</w:t>
      </w:r>
    </w:p>
    <w:p>
      <w:pPr>
        <w:pStyle w:val="FirstParagraph"/>
      </w:pPr>
      <w:r>
        <w:t xml:space="preserve">Purchased Access / Revocable Library Boundary describes the condition in which a digital object is presented, sold, stored, or displayed through the language and interface of ownership while remaining structurally governed as revocable platform-mediated access.</w:t>
      </w:r>
    </w:p>
    <w:p>
      <w:pPr>
        <w:pStyle w:val="BodyText"/>
      </w:pPr>
      <w:r>
        <w:t xml:space="preserve">The object may appear in a user’s library, account history, purchase record, collection interface, media shelf, download list, or owned-items page. The interface may use ownership-adjacent language such as purchased, bought, collected, owned, added to library, or available in your account.</w:t>
      </w:r>
    </w:p>
    <w:p>
      <w:pPr>
        <w:pStyle w:val="BodyText"/>
      </w:pPr>
      <w:r>
        <w:t xml:space="preserve">However, the underlying access architecture may depend on licensing terms, platform continuity, regional rights, server availability, DRM systems, account standing, store support, device compatibility, content-provider agreements, or continued commercial operation.</w:t>
      </w:r>
    </w:p>
    <w:p>
      <w:pPr>
        <w:pStyle w:val="BodyText"/>
      </w:pPr>
      <w:r>
        <w:t xml:space="preserve">The boundary problem appears when the ownership surface remains visible while the ownership structure is absent, partial, or revocable.</w:t>
      </w:r>
    </w:p>
    <w:p>
      <w:pPr>
        <w:pStyle w:val="BodyText"/>
      </w:pPr>
      <w:r>
        <w:t xml:space="preserve">The issue is not that digital access exists. Digital distribution may be convenient, legitimate, efficient, accessible, and widely useful.</w:t>
      </w:r>
    </w:p>
    <w:p>
      <w:pPr>
        <w:pStyle w:val="BodyText"/>
      </w:pPr>
      <w:r>
        <w:t xml:space="preserve">The issue appears when a purchase-like interface creates the expectation of durable possession while the actual relation is a conditional access permission.</w:t>
      </w:r>
    </w:p>
    <w:p>
      <w:pPr>
        <w:pStyle w:val="BodyText"/>
      </w:pPr>
      <w:r>
        <w:t xml:space="preserve">In this condition, the user may reasonably organize memory, value, collection, identity, and preservation around the library surface, while the platform retains the capacity to alter, remove, disable, delist, revoke, or render inaccessible the object that appeared to have been acquired.</w:t>
      </w:r>
    </w:p>
    <w:p>
      <w:r>
        <w:pict>
          <v:rect style="width:0;height:1.5pt" o:hralign="center" o:hrstd="t" o:hr="t"/>
        </w:pict>
      </w:r>
    </w:p>
    <w:bookmarkEnd w:id="23"/>
    <w:bookmarkStart w:id="24" w:name="classification-and-scope"/>
    <w:p>
      <w:pPr>
        <w:pStyle w:val="Heading2"/>
      </w:pPr>
      <w:r>
        <w:t xml:space="preserve">3. Classification and Scope</w:t>
      </w:r>
    </w:p>
    <w:p>
      <w:pPr>
        <w:pStyle w:val="FirstParagraph"/>
      </w:pPr>
      <w:r>
        <w:t xml:space="preserve">This document presents</w:t>
      </w:r>
      <w:r>
        <w:t xml:space="preserve"> </w:t>
      </w:r>
      <w:r>
        <w:rPr>
          <w:bCs/>
          <w:b/>
        </w:rPr>
        <w:t xml:space="preserve">Purchased Access / Revocable Library Boundary</w:t>
      </w:r>
      <w:r>
        <w:t xml:space="preserve"> </w:t>
      </w:r>
      <w:r>
        <w:t xml:space="preserve">as an external-facing boundary or diagnostic note. The note isolates a recurring distinction that supports several broader models without claiming an independent universal mechanism in every domain.</w:t>
      </w:r>
    </w:p>
    <w:p>
      <w:pPr>
        <w:pStyle w:val="BodyText"/>
      </w:pPr>
      <w:r>
        <w:t xml:space="preserve">It is not a legal, ethical, clinical, technical, or compliance standard. It does not assign blame, calculate risk, or authorize automated decisions. The public version omits non-public editorial records, private source materials, non-public working materials, and implementation details.</w:t>
      </w:r>
    </w:p>
    <w:p>
      <w:r>
        <w:pict>
          <v:rect style="width:0;height:1.5pt" o:hralign="center" o:hrstd="t" o:hr="t"/>
        </w:pict>
      </w:r>
    </w:p>
    <w:bookmarkEnd w:id="24"/>
    <w:bookmarkStart w:id="25" w:name="central-distinctions"/>
    <w:p>
      <w:pPr>
        <w:pStyle w:val="Heading2"/>
      </w:pPr>
      <w:r>
        <w:t xml:space="preserve">4. Central Distinctions</w:t>
      </w:r>
    </w:p>
    <w:p>
      <w:pPr>
        <w:pStyle w:val="FirstParagraph"/>
      </w:pPr>
      <w:r>
        <w:t xml:space="preserve">purchase surface</w:t>
      </w:r>
      <w:r>
        <w:t xml:space="preserve"> </w:t>
      </w:r>
      <w:r>
        <w:t xml:space="preserve">≠</w:t>
      </w:r>
      <w:r>
        <w:t xml:space="preserve"> </w:t>
      </w:r>
      <w:r>
        <w:t xml:space="preserve">ownership structure</w:t>
      </w:r>
    </w:p>
    <w:p>
      <w:pPr>
        <w:pStyle w:val="BodyText"/>
      </w:pPr>
      <w:r>
        <w:t xml:space="preserve">Expanded:</w:t>
      </w:r>
    </w:p>
    <w:p>
      <w:pPr>
        <w:pStyle w:val="BodyText"/>
      </w:pPr>
      <w:r>
        <w:t xml:space="preserve">A digital object may be sold or displayed as if it belongs to the user while remaining structurally dependent on revocable platform access.</w:t>
      </w:r>
    </w:p>
    <w:p>
      <w:pPr>
        <w:pStyle w:val="BodyText"/>
      </w:pPr>
      <w:r>
        <w:t xml:space="preserve">Second distinction:</w:t>
      </w:r>
    </w:p>
    <w:p>
      <w:pPr>
        <w:pStyle w:val="BodyText"/>
      </w:pPr>
      <w:r>
        <w:t xml:space="preserve">library entry</w:t>
      </w:r>
      <w:r>
        <w:t xml:space="preserve"> </w:t>
      </w:r>
      <w:r>
        <w:t xml:space="preserve">≠</w:t>
      </w:r>
      <w:r>
        <w:t xml:space="preserve"> </w:t>
      </w:r>
      <w:r>
        <w:t xml:space="preserve">possession stability</w:t>
      </w:r>
    </w:p>
    <w:p>
      <w:pPr>
        <w:pStyle w:val="BodyText"/>
      </w:pPr>
      <w:r>
        <w:t xml:space="preserve">Expanded:</w:t>
      </w:r>
    </w:p>
    <w:p>
      <w:pPr>
        <w:pStyle w:val="BodyText"/>
      </w:pPr>
      <w:r>
        <w:t xml:space="preserve">An item appearing in a digital library does not by itself establish durable possession, transferable property, preservation control, or independent access.</w:t>
      </w:r>
    </w:p>
    <w:p>
      <w:r>
        <w:pict>
          <v:rect style="width:0;height:1.5pt" o:hralign="center" o:hrstd="t" o:hr="t"/>
        </w:pict>
      </w:r>
    </w:p>
    <w:bookmarkEnd w:id="25"/>
    <w:bookmarkStart w:id="28" w:name="core-mechanism-and-structural-sequence"/>
    <w:p>
      <w:pPr>
        <w:pStyle w:val="Heading2"/>
      </w:pPr>
      <w:r>
        <w:t xml:space="preserve">5. Core Mechanism and Structural Sequence</w:t>
      </w:r>
    </w:p>
    <w:bookmarkStart w:id="26" w:name="core-mechanism"/>
    <w:p>
      <w:pPr>
        <w:pStyle w:val="Heading3"/>
      </w:pPr>
      <w:r>
        <w:t xml:space="preserve">5.1 Core Mechanism</w:t>
      </w:r>
    </w:p>
    <w:p>
      <w:pPr>
        <w:pStyle w:val="FirstParagraph"/>
      </w:pPr>
      <w:r>
        <w:t xml:space="preserve">media object moves from physical carrier to platform account</w:t>
      </w:r>
      <w:r>
        <w:t xml:space="preserve"> </w:t>
      </w:r>
      <w:r>
        <w:t xml:space="preserve">→ interface presents access as library ownership</w:t>
      </w:r>
      <w:r>
        <w:t xml:space="preserve"> </w:t>
      </w:r>
      <w:r>
        <w:t xml:space="preserve">→ purchase record stabilizes user expectation</w:t>
      </w:r>
      <w:r>
        <w:t xml:space="preserve"> </w:t>
      </w:r>
      <w:r>
        <w:t xml:space="preserve">→ platform, license, DRM, or service dependency remains hidden</w:t>
      </w:r>
      <w:r>
        <w:t xml:space="preserve"> </w:t>
      </w:r>
      <w:r>
        <w:t xml:space="preserve">→ user treats access as collection</w:t>
      </w:r>
      <w:r>
        <w:t xml:space="preserve"> </w:t>
      </w:r>
      <w:r>
        <w:t xml:space="preserve">→ licensing or platform condition changes</w:t>
      </w:r>
      <w:r>
        <w:t xml:space="preserve"> </w:t>
      </w:r>
      <w:r>
        <w:t xml:space="preserve">→ access becomes restricted, removed, degraded, or unsupported</w:t>
      </w:r>
      <w:r>
        <w:t xml:space="preserve"> </w:t>
      </w:r>
      <w:r>
        <w:t xml:space="preserve">→ ownership surface is exposed as revocable permission</w:t>
      </w:r>
      <w:r>
        <w:t xml:space="preserve"> </w:t>
      </w:r>
      <w:r>
        <w:t xml:space="preserve">→ memory, preservation, resale, lending, and user control collapse into platform dependency</w:t>
      </w:r>
    </w:p>
    <w:bookmarkEnd w:id="26"/>
    <w:bookmarkStart w:id="27" w:name="structural-sequence"/>
    <w:p>
      <w:pPr>
        <w:pStyle w:val="Heading3"/>
      </w:pPr>
      <w:r>
        <w:t xml:space="preserve">5.2 Structural Sequence</w:t>
      </w:r>
    </w:p>
    <w:p>
      <w:pPr>
        <w:pStyle w:val="FirstParagraph"/>
      </w:pPr>
      <w:r>
        <w:t xml:space="preserve">Failure Flow</w:t>
      </w:r>
    </w:p>
    <w:p>
      <w:pPr>
        <w:pStyle w:val="BodyText"/>
      </w:pPr>
      <w:r>
        <w:t xml:space="preserve">digital item purchased</w:t>
      </w:r>
      <w:r>
        <w:t xml:space="preserve"> </w:t>
      </w:r>
      <w:r>
        <w:t xml:space="preserve">→ item appears in library</w:t>
      </w:r>
      <w:r>
        <w:t xml:space="preserve"> </w:t>
      </w:r>
      <w:r>
        <w:t xml:space="preserve">→ interface suggests collection or ownership</w:t>
      </w:r>
      <w:r>
        <w:t xml:space="preserve"> </w:t>
      </w:r>
      <w:r>
        <w:t xml:space="preserve">→ access depends on platform-controlled conditions</w:t>
      </w:r>
      <w:r>
        <w:t xml:space="preserve"> </w:t>
      </w:r>
      <w:r>
        <w:t xml:space="preserve">→ support, license, store, device, or rights condition changes</w:t>
      </w:r>
      <w:r>
        <w:t xml:space="preserve"> </w:t>
      </w:r>
      <w:r>
        <w:t xml:space="preserve">→ item becomes inaccessible or removable</w:t>
      </w:r>
      <w:r>
        <w:t xml:space="preserve"> </w:t>
      </w:r>
      <w:r>
        <w:t xml:space="preserve">→ user discovers that purchase did not establish possession</w:t>
      </w:r>
      <w:r>
        <w:t xml:space="preserve"> </w:t>
      </w:r>
      <w:r>
        <w:t xml:space="preserve">→ library surface remains or is erased without ownership remedy</w:t>
      </w:r>
    </w:p>
    <w:p>
      <w:pPr>
        <w:pStyle w:val="BodyText"/>
      </w:pPr>
      <w:r>
        <w:t xml:space="preserve">Aligned Flow</w:t>
      </w:r>
    </w:p>
    <w:p>
      <w:pPr>
        <w:pStyle w:val="BodyText"/>
      </w:pPr>
      <w:r>
        <w:t xml:space="preserve">digital item offered</w:t>
      </w:r>
      <w:r>
        <w:t xml:space="preserve"> </w:t>
      </w:r>
      <w:r>
        <w:t xml:space="preserve">→ access type is declared</w:t>
      </w:r>
      <w:r>
        <w:t xml:space="preserve"> </w:t>
      </w:r>
      <w:r>
        <w:t xml:space="preserve">→ ownership language is limited</w:t>
      </w:r>
      <w:r>
        <w:t xml:space="preserve"> </w:t>
      </w:r>
      <w:r>
        <w:t xml:space="preserve">→ revocation conditions are visible</w:t>
      </w:r>
      <w:r>
        <w:t xml:space="preserve"> </w:t>
      </w:r>
      <w:r>
        <w:t xml:space="preserve">→ preservation limits are stated</w:t>
      </w:r>
      <w:r>
        <w:t xml:space="preserve"> </w:t>
      </w:r>
      <w:r>
        <w:t xml:space="preserve">→ transfer, resale, download, and backup rights are specified</w:t>
      </w:r>
      <w:r>
        <w:t xml:space="preserve"> </w:t>
      </w:r>
      <w:r>
        <w:t xml:space="preserve">→ user understands access boundary</w:t>
      </w:r>
      <w:r>
        <w:t xml:space="preserve"> </w:t>
      </w:r>
      <w:r>
        <w:t xml:space="preserve">→ platform library does not masquerade as durable possession</w:t>
      </w:r>
    </w:p>
    <w:p>
      <w:r>
        <w:pict>
          <v:rect style="width:0;height:1.5pt" o:hralign="center" o:hrstd="t" o:hr="t"/>
        </w:pict>
      </w:r>
    </w:p>
    <w:bookmarkEnd w:id="27"/>
    <w:bookmarkEnd w:id="28"/>
    <w:bookmarkStart w:id="29" w:name="structural-components"/>
    <w:p>
      <w:pPr>
        <w:pStyle w:val="Heading2"/>
      </w:pPr>
      <w:r>
        <w:t xml:space="preserve">6. Structural Components</w:t>
      </w:r>
    </w:p>
    <w:p>
      <w:pPr>
        <w:pStyle w:val="FirstParagraph"/>
      </w:pPr>
      <w:r>
        <w:t xml:space="preserve">purchase language</w:t>
      </w:r>
      <w:r>
        <w:t xml:space="preserve"> </w:t>
      </w:r>
      <w:r>
        <w:t xml:space="preserve">ownership surface</w:t>
      </w:r>
      <w:r>
        <w:t xml:space="preserve"> </w:t>
      </w:r>
      <w:r>
        <w:t xml:space="preserve">library interface</w:t>
      </w:r>
      <w:r>
        <w:t xml:space="preserve"> </w:t>
      </w:r>
      <w:r>
        <w:t xml:space="preserve">digital account</w:t>
      </w:r>
      <w:r>
        <w:t xml:space="preserve"> </w:t>
      </w:r>
      <w:r>
        <w:t xml:space="preserve">license condition</w:t>
      </w:r>
      <w:r>
        <w:t xml:space="preserve"> </w:t>
      </w:r>
      <w:r>
        <w:t xml:space="preserve">platform dependency</w:t>
      </w:r>
      <w:r>
        <w:t xml:space="preserve"> </w:t>
      </w:r>
      <w:r>
        <w:t xml:space="preserve">DRM constraint</w:t>
      </w:r>
      <w:r>
        <w:t xml:space="preserve"> </w:t>
      </w:r>
      <w:r>
        <w:t xml:space="preserve">server dependency</w:t>
      </w:r>
      <w:r>
        <w:t xml:space="preserve"> </w:t>
      </w:r>
      <w:r>
        <w:t xml:space="preserve">store continuity</w:t>
      </w:r>
      <w:r>
        <w:t xml:space="preserve"> </w:t>
      </w:r>
      <w:r>
        <w:t xml:space="preserve">regional rights</w:t>
      </w:r>
      <w:r>
        <w:t xml:space="preserve"> </w:t>
      </w:r>
      <w:r>
        <w:t xml:space="preserve">content-provider agreement</w:t>
      </w:r>
      <w:r>
        <w:t xml:space="preserve"> </w:t>
      </w:r>
      <w:r>
        <w:t xml:space="preserve">download permission</w:t>
      </w:r>
      <w:r>
        <w:t xml:space="preserve"> </w:t>
      </w:r>
      <w:r>
        <w:t xml:space="preserve">offline access</w:t>
      </w:r>
      <w:r>
        <w:t xml:space="preserve"> </w:t>
      </w:r>
      <w:r>
        <w:t xml:space="preserve">transferability</w:t>
      </w:r>
      <w:r>
        <w:t xml:space="preserve"> </w:t>
      </w:r>
      <w:r>
        <w:t xml:space="preserve">resale capacity</w:t>
      </w:r>
      <w:r>
        <w:t xml:space="preserve"> </w:t>
      </w:r>
      <w:r>
        <w:t xml:space="preserve">lending capacity</w:t>
      </w:r>
      <w:r>
        <w:t xml:space="preserve"> </w:t>
      </w:r>
      <w:r>
        <w:t xml:space="preserve">backup capacity</w:t>
      </w:r>
      <w:r>
        <w:t xml:space="preserve"> </w:t>
      </w:r>
      <w:r>
        <w:t xml:space="preserve">memory carrier</w:t>
      </w:r>
      <w:r>
        <w:t xml:space="preserve"> </w:t>
      </w:r>
      <w:r>
        <w:t xml:space="preserve">collection identity</w:t>
      </w:r>
      <w:r>
        <w:t xml:space="preserve"> </w:t>
      </w:r>
      <w:r>
        <w:t xml:space="preserve">preservation burden</w:t>
      </w:r>
      <w:r>
        <w:t xml:space="preserve"> </w:t>
      </w:r>
      <w:r>
        <w:t xml:space="preserve">revocation notice</w:t>
      </w:r>
      <w:r>
        <w:t xml:space="preserve"> </w:t>
      </w:r>
      <w:r>
        <w:t xml:space="preserve">removal event</w:t>
      </w:r>
      <w:r>
        <w:t xml:space="preserve"> </w:t>
      </w:r>
      <w:r>
        <w:t xml:space="preserve">user expectation</w:t>
      </w:r>
    </w:p>
    <w:p>
      <w:r>
        <w:pict>
          <v:rect style="width:0;height:1.5pt" o:hralign="center" o:hrstd="t" o:hr="t"/>
        </w:pict>
      </w:r>
    </w:p>
    <w:bookmarkEnd w:id="29"/>
    <w:bookmarkStart w:id="30" w:name="primary-failure-patterns"/>
    <w:p>
      <w:pPr>
        <w:pStyle w:val="Heading2"/>
      </w:pPr>
      <w:r>
        <w:t xml:space="preserve">7. Primary Failure Patterns</w:t>
      </w:r>
    </w:p>
    <w:p>
      <w:pPr>
        <w:numPr>
          <w:ilvl w:val="0"/>
          <w:numId w:val="1001"/>
        </w:numPr>
        <w:pStyle w:val="Compact"/>
      </w:pPr>
      <w:r>
        <w:t xml:space="preserve">Purchase-Language Overreach</w:t>
      </w:r>
    </w:p>
    <w:p>
      <w:pPr>
        <w:pStyle w:val="FirstParagraph"/>
      </w:pPr>
      <w:r>
        <w:t xml:space="preserve">buy / purchase language</w:t>
      </w:r>
      <w:r>
        <w:t xml:space="preserve"> </w:t>
      </w:r>
      <w:r>
        <w:t xml:space="preserve">→ user expects possession</w:t>
      </w:r>
      <w:r>
        <w:t xml:space="preserve"> </w:t>
      </w:r>
      <w:r>
        <w:t xml:space="preserve">→ platform governs access as license</w:t>
      </w:r>
    </w:p>
    <w:p>
      <w:pPr>
        <w:pStyle w:val="BodyText"/>
      </w:pPr>
      <w:r>
        <w:t xml:space="preserve">The linguistic surface exceeds the legal or infrastructural structure.</w:t>
      </w:r>
    </w:p>
    <w:p>
      <w:pPr>
        <w:numPr>
          <w:ilvl w:val="0"/>
          <w:numId w:val="1002"/>
        </w:numPr>
        <w:pStyle w:val="Compact"/>
      </w:pPr>
      <w:r>
        <w:t xml:space="preserve">Library Icon Proxy</w:t>
      </w:r>
    </w:p>
    <w:p>
      <w:pPr>
        <w:pStyle w:val="FirstParagraph"/>
      </w:pPr>
      <w:r>
        <w:t xml:space="preserve">library icon</w:t>
      </w:r>
      <w:r>
        <w:t xml:space="preserve"> </w:t>
      </w:r>
      <w:r>
        <w:t xml:space="preserve">→ treated as owned object</w:t>
      </w:r>
    </w:p>
    <w:p>
      <w:pPr>
        <w:pStyle w:val="BodyText"/>
      </w:pPr>
      <w:r>
        <w:t xml:space="preserve">The interface symbol becomes a proxy for possession.</w:t>
      </w:r>
    </w:p>
    <w:p>
      <w:pPr>
        <w:numPr>
          <w:ilvl w:val="0"/>
          <w:numId w:val="1003"/>
        </w:numPr>
        <w:pStyle w:val="Compact"/>
      </w:pPr>
      <w:r>
        <w:t xml:space="preserve">Revocable Access Exposure</w:t>
      </w:r>
    </w:p>
    <w:p>
      <w:pPr>
        <w:pStyle w:val="FirstParagraph"/>
      </w:pPr>
      <w:r>
        <w:t xml:space="preserve">license or platform condition changes</w:t>
      </w:r>
      <w:r>
        <w:t xml:space="preserve"> </w:t>
      </w:r>
      <w:r>
        <w:t xml:space="preserve">→ access disappears</w:t>
      </w:r>
      <w:r>
        <w:t xml:space="preserve"> </w:t>
      </w:r>
      <w:r>
        <w:t xml:space="preserve">→ purchase surface is revealed as permission surface</w:t>
      </w:r>
    </w:p>
    <w:p>
      <w:pPr>
        <w:pStyle w:val="BodyText"/>
      </w:pPr>
      <w:r>
        <w:t xml:space="preserve">The revocability was present before removal, but becomes visible only after loss.</w:t>
      </w:r>
    </w:p>
    <w:p>
      <w:pPr>
        <w:numPr>
          <w:ilvl w:val="0"/>
          <w:numId w:val="1004"/>
        </w:numPr>
        <w:pStyle w:val="Compact"/>
      </w:pPr>
      <w:r>
        <w:t xml:space="preserve">Preservation Lifeline Removal</w:t>
      </w:r>
    </w:p>
    <w:p>
      <w:pPr>
        <w:pStyle w:val="FirstParagraph"/>
      </w:pPr>
      <w:r>
        <w:t xml:space="preserve">physical copy / offline backup / secondhand market removed</w:t>
      </w:r>
      <w:r>
        <w:t xml:space="preserve"> </w:t>
      </w:r>
      <w:r>
        <w:t xml:space="preserve">→ platform becomes sole access lifeline</w:t>
      </w:r>
      <w:r>
        <w:t xml:space="preserve"> </w:t>
      </w:r>
      <w:r>
        <w:t xml:space="preserve">→ platform withdrawal collapses preservation</w:t>
      </w:r>
    </w:p>
    <w:p>
      <w:pPr>
        <w:pStyle w:val="BodyText"/>
      </w:pPr>
      <w:r>
        <w:t xml:space="preserve">External preservation routes disappear, leaving the user dependent on platform continuity.</w:t>
      </w:r>
    </w:p>
    <w:p>
      <w:pPr>
        <w:numPr>
          <w:ilvl w:val="0"/>
          <w:numId w:val="1005"/>
        </w:numPr>
        <w:pStyle w:val="Compact"/>
      </w:pPr>
      <w:r>
        <w:t xml:space="preserve">Memory Carrier Compression</w:t>
      </w:r>
    </w:p>
    <w:p>
      <w:pPr>
        <w:pStyle w:val="FirstParagraph"/>
      </w:pPr>
      <w:r>
        <w:t xml:space="preserve">physical object disappears</w:t>
      </w:r>
      <w:r>
        <w:t xml:space="preserve"> </w:t>
      </w:r>
      <w:r>
        <w:t xml:space="preserve">→ memory is compressed into account entry</w:t>
      </w:r>
      <w:r>
        <w:t xml:space="preserve"> </w:t>
      </w:r>
      <w:r>
        <w:t xml:space="preserve">→ account entry becomes unstable</w:t>
      </w:r>
    </w:p>
    <w:p>
      <w:pPr>
        <w:pStyle w:val="BodyText"/>
      </w:pPr>
      <w:r>
        <w:t xml:space="preserve">The media object’s memory-bearing function is reduced to a platform record.</w:t>
      </w:r>
    </w:p>
    <w:p>
      <w:pPr>
        <w:numPr>
          <w:ilvl w:val="0"/>
          <w:numId w:val="1006"/>
        </w:numPr>
        <w:pStyle w:val="Compact"/>
      </w:pPr>
      <w:r>
        <w:t xml:space="preserve">Market Plurality Collapse</w:t>
      </w:r>
    </w:p>
    <w:p>
      <w:pPr>
        <w:pStyle w:val="FirstParagraph"/>
      </w:pPr>
      <w:r>
        <w:t xml:space="preserve">physical resale / lending / exchange disappears</w:t>
      </w:r>
      <w:r>
        <w:t xml:space="preserve"> </w:t>
      </w:r>
      <w:r>
        <w:t xml:space="preserve">→ access becomes store-bound</w:t>
      </w:r>
      <w:r>
        <w:t xml:space="preserve"> </w:t>
      </w:r>
      <w:r>
        <w:t xml:space="preserve">→ price and availability depend on platform channels</w:t>
      </w:r>
    </w:p>
    <w:p>
      <w:pPr>
        <w:pStyle w:val="BodyText"/>
      </w:pPr>
      <w:r>
        <w:t xml:space="preserve">Ownership ecology narrows into platform-mediated access.</w:t>
      </w:r>
    </w:p>
    <w:p>
      <w:pPr>
        <w:numPr>
          <w:ilvl w:val="0"/>
          <w:numId w:val="1007"/>
        </w:numPr>
        <w:pStyle w:val="Compact"/>
      </w:pPr>
      <w:r>
        <w:t xml:space="preserve">Removal Without Ownership Remedy</w:t>
      </w:r>
    </w:p>
    <w:p>
      <w:pPr>
        <w:pStyle w:val="FirstParagraph"/>
      </w:pPr>
      <w:r>
        <w:t xml:space="preserve">item removed</w:t>
      </w:r>
      <w:r>
        <w:t xml:space="preserve"> </w:t>
      </w:r>
      <w:r>
        <w:t xml:space="preserve">→ notice issued</w:t>
      </w:r>
      <w:r>
        <w:t xml:space="preserve"> </w:t>
      </w:r>
      <w:r>
        <w:t xml:space="preserve">→ no durable ownership remedy supplied</w:t>
      </w:r>
    </w:p>
    <w:p>
      <w:pPr>
        <w:pStyle w:val="BodyText"/>
      </w:pPr>
      <w:r>
        <w:t xml:space="preserve">The platform acknowledges removal without restoring possession, transfer, refund, or preservation capacity.</w:t>
      </w:r>
    </w:p>
    <w:p>
      <w:pPr>
        <w:numPr>
          <w:ilvl w:val="0"/>
          <w:numId w:val="1008"/>
        </w:numPr>
        <w:pStyle w:val="Compact"/>
      </w:pPr>
      <w:r>
        <w:t xml:space="preserve">Piracy Reframing Pressure</w:t>
      </w:r>
    </w:p>
    <w:p>
      <w:pPr>
        <w:pStyle w:val="FirstParagraph"/>
      </w:pPr>
      <w:r>
        <w:t xml:space="preserve">legal purchase loses preservation function</w:t>
      </w:r>
      <w:r>
        <w:t xml:space="preserve"> </w:t>
      </w:r>
      <w:r>
        <w:t xml:space="preserve">→ unauthorized copying is reframed by users as preservation</w:t>
      </w:r>
    </w:p>
    <w:p>
      <w:pPr>
        <w:pStyle w:val="BodyText"/>
      </w:pPr>
      <w:r>
        <w:t xml:space="preserve">This note does not endorse unauthorized copying. It identifies the structural condition under which revocable legal access weakens the moral clarity of the ownership/access boundary.</w:t>
      </w:r>
    </w:p>
    <w:p>
      <w:r>
        <w:pict>
          <v:rect style="width:0;height:1.5pt" o:hralign="center" o:hrstd="t" o:hr="t"/>
        </w:pict>
      </w:r>
    </w:p>
    <w:bookmarkEnd w:id="30"/>
    <w:bookmarkStart w:id="31" w:name="operational-evaluation"/>
    <w:p>
      <w:pPr>
        <w:pStyle w:val="Heading2"/>
      </w:pPr>
      <w:r>
        <w:t xml:space="preserve">8. Operational Evaluation</w:t>
      </w:r>
    </w:p>
    <w:p>
      <w:pPr>
        <w:numPr>
          <w:ilvl w:val="0"/>
          <w:numId w:val="1009"/>
        </w:numPr>
      </w:pPr>
      <w:r>
        <w:t xml:space="preserve">What exactly did the user acquire: ownership, license, access permission, subscription entitlement, download permission, or platform-mediated availability?</w:t>
      </w:r>
    </w:p>
    <w:p>
      <w:pPr>
        <w:numPr>
          <w:ilvl w:val="0"/>
          <w:numId w:val="1009"/>
        </w:numPr>
      </w:pPr>
      <w:r>
        <w:t xml:space="preserve">Does the interface use purchase, ownership, library, collection, or owned-item language?</w:t>
      </w:r>
    </w:p>
    <w:p>
      <w:pPr>
        <w:numPr>
          <w:ilvl w:val="0"/>
          <w:numId w:val="1009"/>
        </w:numPr>
      </w:pPr>
      <w:r>
        <w:t xml:space="preserve">Can the user retain access independently of the platform?</w:t>
      </w:r>
    </w:p>
    <w:p>
      <w:pPr>
        <w:numPr>
          <w:ilvl w:val="0"/>
          <w:numId w:val="1009"/>
        </w:numPr>
      </w:pPr>
      <w:r>
        <w:t xml:space="preserve">Can the user back up, transfer, resell, lend, inherit, or preserve the item?</w:t>
      </w:r>
    </w:p>
    <w:p>
      <w:pPr>
        <w:numPr>
          <w:ilvl w:val="0"/>
          <w:numId w:val="1009"/>
        </w:numPr>
      </w:pPr>
      <w:r>
        <w:t xml:space="preserve">Is access dependent on continuing licenses, regional rights, DRM, account standing, servers, devices, or platform support?</w:t>
      </w:r>
    </w:p>
    <w:p>
      <w:pPr>
        <w:numPr>
          <w:ilvl w:val="0"/>
          <w:numId w:val="1009"/>
        </w:numPr>
      </w:pPr>
      <w:r>
        <w:t xml:space="preserve">Are revocation conditions visible before purchase?</w:t>
      </w:r>
    </w:p>
    <w:p>
      <w:pPr>
        <w:numPr>
          <w:ilvl w:val="0"/>
          <w:numId w:val="1009"/>
        </w:numPr>
      </w:pPr>
      <w:r>
        <w:t xml:space="preserve">Does the platform distinguish purchase record from durable possession?</w:t>
      </w:r>
    </w:p>
    <w:p>
      <w:pPr>
        <w:numPr>
          <w:ilvl w:val="0"/>
          <w:numId w:val="1009"/>
        </w:numPr>
      </w:pPr>
      <w:r>
        <w:t xml:space="preserve">Does the library interface create a preservation expectation?</w:t>
      </w:r>
    </w:p>
    <w:p>
      <w:pPr>
        <w:numPr>
          <w:ilvl w:val="0"/>
          <w:numId w:val="1009"/>
        </w:numPr>
      </w:pPr>
      <w:r>
        <w:t xml:space="preserve">Does removal affect memory, collection, resale, or cultural access beyond immediate consumption?</w:t>
      </w:r>
    </w:p>
    <w:p>
      <w:pPr>
        <w:numPr>
          <w:ilvl w:val="0"/>
          <w:numId w:val="1009"/>
        </w:numPr>
      </w:pPr>
      <w:r>
        <w:t xml:space="preserve">Is the user given remedy, migration, refund, replacement, archival access, or offline continuity?</w:t>
      </w:r>
    </w:p>
    <w:p>
      <w:pPr>
        <w:numPr>
          <w:ilvl w:val="0"/>
          <w:numId w:val="1009"/>
        </w:numPr>
      </w:pPr>
      <w:r>
        <w:t xml:space="preserve">Does the system preserve the user’s evidence of purchase while removing the object of access?</w:t>
      </w:r>
    </w:p>
    <w:p>
      <w:pPr>
        <w:numPr>
          <w:ilvl w:val="0"/>
          <w:numId w:val="1009"/>
        </w:numPr>
      </w:pPr>
      <w:r>
        <w:t xml:space="preserve">Does the platform treat the user as a buyer when collecting payment but as a licensee when withdrawing access?</w:t>
      </w:r>
    </w:p>
    <w:p>
      <w:r>
        <w:pict>
          <v:rect style="width:0;height:1.5pt" o:hralign="center" o:hrstd="t" o:hr="t"/>
        </w:pict>
      </w:r>
    </w:p>
    <w:bookmarkEnd w:id="31"/>
    <w:bookmarkStart w:id="37" w:name="application-domains"/>
    <w:p>
      <w:pPr>
        <w:pStyle w:val="Heading2"/>
      </w:pPr>
      <w:r>
        <w:t xml:space="preserve">9. Application Domains</w:t>
      </w:r>
    </w:p>
    <w:bookmarkStart w:id="32" w:name="digital-media-libraries"/>
    <w:p>
      <w:pPr>
        <w:pStyle w:val="Heading3"/>
      </w:pPr>
      <w:r>
        <w:t xml:space="preserve">1. Digital media libraries</w:t>
      </w:r>
    </w:p>
    <w:p>
      <w:pPr>
        <w:pStyle w:val="FirstParagraph"/>
      </w:pPr>
      <w:r>
        <w:t xml:space="preserve">Films, music, books, and games can be sold through collection interfaces while remaining license-dependent.</w:t>
      </w:r>
    </w:p>
    <w:bookmarkEnd w:id="32"/>
    <w:bookmarkStart w:id="33" w:name="software-and-cloud-services"/>
    <w:p>
      <w:pPr>
        <w:pStyle w:val="Heading3"/>
      </w:pPr>
      <w:r>
        <w:t xml:space="preserve">2. Software and cloud services</w:t>
      </w:r>
    </w:p>
    <w:p>
      <w:pPr>
        <w:pStyle w:val="FirstParagraph"/>
      </w:pPr>
      <w:r>
        <w:t xml:space="preserve">Perpetual-looking purchases may depend on activation servers, accounts, subscriptions, or supported versions.</w:t>
      </w:r>
    </w:p>
    <w:bookmarkEnd w:id="33"/>
    <w:bookmarkStart w:id="34" w:name="cultural-preservation"/>
    <w:p>
      <w:pPr>
        <w:pStyle w:val="Heading3"/>
      </w:pPr>
      <w:r>
        <w:t xml:space="preserve">3. Cultural preservation</w:t>
      </w:r>
    </w:p>
    <w:p>
      <w:pPr>
        <w:pStyle w:val="FirstParagraph"/>
      </w:pPr>
      <w:r>
        <w:t xml:space="preserve">Platform withdrawal can remove both access and the user’s ability to preserve a purchased cultural object.</w:t>
      </w:r>
    </w:p>
    <w:bookmarkEnd w:id="34"/>
    <w:bookmarkStart w:id="35" w:name="inheritance-lending-and-resale"/>
    <w:p>
      <w:pPr>
        <w:pStyle w:val="Heading3"/>
      </w:pPr>
      <w:r>
        <w:t xml:space="preserve">4. Inheritance, lending, and resale</w:t>
      </w:r>
    </w:p>
    <w:p>
      <w:pPr>
        <w:pStyle w:val="FirstParagraph"/>
      </w:pPr>
      <w:r>
        <w:t xml:space="preserve">Digital access may not carry the transfer rights commonly associated with possession.</w:t>
      </w:r>
    </w:p>
    <w:bookmarkEnd w:id="35"/>
    <w:bookmarkStart w:id="36" w:name="account-and-regional-governance"/>
    <w:p>
      <w:pPr>
        <w:pStyle w:val="Heading3"/>
      </w:pPr>
      <w:r>
        <w:t xml:space="preserve">5. Account and regional governance</w:t>
      </w:r>
    </w:p>
    <w:p>
      <w:pPr>
        <w:pStyle w:val="FirstParagraph"/>
      </w:pPr>
      <w:r>
        <w:t xml:space="preserve">A user’s library can change because of account status, rights territories, or platform policy rather than the user’s own control.</w:t>
      </w:r>
    </w:p>
    <w:p>
      <w:r>
        <w:pict>
          <v:rect style="width:0;height:1.5pt" o:hralign="center" o:hrstd="t" o:hr="t"/>
        </w:pict>
      </w:r>
    </w:p>
    <w:bookmarkEnd w:id="36"/>
    <w:bookmarkEnd w:id="37"/>
    <w:bookmarkStart w:id="43" w:name="relations-to-adjacent-public-frameworks"/>
    <w:p>
      <w:pPr>
        <w:pStyle w:val="Heading2"/>
      </w:pPr>
      <w:r>
        <w:t xml:space="preserve">10. Relations to Adjacent Public Frameworks</w:t>
      </w:r>
    </w:p>
    <w:bookmarkStart w:id="38" w:name="false-legibility-model"/>
    <w:p>
      <w:pPr>
        <w:pStyle w:val="Heading3"/>
      </w:pPr>
      <w:r>
        <w:t xml:space="preserve">1. False Legibility Model</w:t>
      </w:r>
    </w:p>
    <w:p>
      <w:pPr>
        <w:pStyle w:val="FirstParagraph"/>
      </w:pPr>
      <w:r>
        <w:t xml:space="preserve">False Legibility Model describes how readable surfaces can be accepted before their underlying structure is understood. The present entry identifies a concrete way in which fluency, familiarity, or interface clarity can conceal an unresolved boundary.</w:t>
      </w:r>
    </w:p>
    <w:bookmarkEnd w:id="38"/>
    <w:bookmarkStart w:id="39" w:name="cost-visibility-and-redistribution-model"/>
    <w:p>
      <w:pPr>
        <w:pStyle w:val="Heading3"/>
      </w:pPr>
      <w:r>
        <w:t xml:space="preserve">2. Cost Visibility and Redistribution Model</w:t>
      </w:r>
    </w:p>
    <w:p>
      <w:pPr>
        <w:pStyle w:val="FirstParagraph"/>
      </w:pPr>
      <w:r>
        <w:t xml:space="preserve">Cost Visibility and Redistribution Model tracks how costs become visible at one node and hidden or displaced at another. The present entry shows how verification, correction, access, or responsibility costs can be redistributed by the relevant interface.</w:t>
      </w:r>
    </w:p>
    <w:bookmarkEnd w:id="39"/>
    <w:bookmarkStart w:id="40" w:name="X9e8b2551e75c9abb6859778cd423efa8aafded8"/>
    <w:p>
      <w:pPr>
        <w:pStyle w:val="Heading3"/>
      </w:pPr>
      <w:r>
        <w:t xml:space="preserve">3. Proxy Substitution as a Structural Governance Failure</w:t>
      </w:r>
    </w:p>
    <w:p>
      <w:pPr>
        <w:pStyle w:val="FirstParagraph"/>
      </w:pPr>
      <w:r>
        <w:t xml:space="preserve">Proxy Substitution as a Structural Governance Failure examines how a substitute can become operationally dominant while the original referent, participant, source, or responsibility relation disappears. The present entry specifies the substitution pressure at issue.</w:t>
      </w:r>
    </w:p>
    <w:bookmarkEnd w:id="40"/>
    <w:bookmarkStart w:id="41" w:name="boundary-failure-diagnostics"/>
    <w:p>
      <w:pPr>
        <w:pStyle w:val="Heading3"/>
      </w:pPr>
      <w:r>
        <w:t xml:space="preserve">4. Boundary Failure Diagnostics</w:t>
      </w:r>
    </w:p>
    <w:p>
      <w:pPr>
        <w:pStyle w:val="FirstParagraph"/>
      </w:pPr>
      <w:r>
        <w:t xml:space="preserve">Boundary Failure Diagnostics provides a general vocabulary for locating non-entry, closure, lock-in, and boundary loss. The present entry narrows that diagnostic field to a repeatable mechanism.</w:t>
      </w:r>
    </w:p>
    <w:bookmarkEnd w:id="41"/>
    <w:bookmarkStart w:id="42" w:name="premature-circulation-model"/>
    <w:p>
      <w:pPr>
        <w:pStyle w:val="Heading3"/>
      </w:pPr>
      <w:r>
        <w:t xml:space="preserve">5. Premature Circulation Model</w:t>
      </w:r>
    </w:p>
    <w:p>
      <w:pPr>
        <w:pStyle w:val="FirstParagraph"/>
      </w:pPr>
      <w:r>
        <w:t xml:space="preserve">Premature Circulation Model describes movement before adequate recognition, verification, or accountability has formed. The present entry identifies what is lost when the object begins to circulate under incomplete conditions.</w:t>
      </w:r>
    </w:p>
    <w:p>
      <w:r>
        <w:pict>
          <v:rect style="width:0;height:1.5pt" o:hralign="center" o:hrstd="t" o:hr="t"/>
        </w:pict>
      </w:r>
    </w:p>
    <w:bookmarkEnd w:id="42"/>
    <w:bookmarkEnd w:id="43"/>
    <w:bookmarkStart w:id="46" w:name="X673d9de5858afc14d9174904e92e64ad8dc9e49"/>
    <w:p>
      <w:pPr>
        <w:pStyle w:val="Heading2"/>
      </w:pPr>
      <w:r>
        <w:t xml:space="preserve">11. Boundary Conditions and Non-Applicability</w:t>
      </w:r>
    </w:p>
    <w:bookmarkStart w:id="44" w:name="boundary-conditions"/>
    <w:p>
      <w:pPr>
        <w:pStyle w:val="Heading3"/>
      </w:pPr>
      <w:r>
        <w:t xml:space="preserve">11.1 Boundary Conditions</w:t>
      </w:r>
    </w:p>
    <w:p>
      <w:pPr>
        <w:pStyle w:val="FirstParagraph"/>
      </w:pPr>
      <w:r>
        <w:t xml:space="preserve">This note applies when a user-facing system presents digital access through ownership, purchase, collection, or library language while the underlying structure remains dependent on revocable platform conditions.</w:t>
      </w:r>
    </w:p>
    <w:p>
      <w:pPr>
        <w:pStyle w:val="BodyText"/>
      </w:pPr>
      <w:r>
        <w:t xml:space="preserve">The boundary is crossed when:</w:t>
      </w:r>
    </w:p>
    <w:p>
      <w:pPr>
        <w:pStyle w:val="BodyText"/>
      </w:pPr>
      <w:r>
        <w:t xml:space="preserve">purchase-like interface</w:t>
      </w:r>
      <w:r>
        <w:t xml:space="preserve"> </w:t>
      </w:r>
      <w:r>
        <w:t xml:space="preserve">→ treated as durable possession</w:t>
      </w:r>
    </w:p>
    <w:p>
      <w:pPr>
        <w:pStyle w:val="BodyText"/>
      </w:pPr>
      <w:r>
        <w:t xml:space="preserve">or:</w:t>
      </w:r>
    </w:p>
    <w:p>
      <w:pPr>
        <w:pStyle w:val="BodyText"/>
      </w:pPr>
      <w:r>
        <w:t xml:space="preserve">library presence</w:t>
      </w:r>
      <w:r>
        <w:t xml:space="preserve"> </w:t>
      </w:r>
      <w:r>
        <w:t xml:space="preserve">→ treated as ownership evidence</w:t>
      </w:r>
    </w:p>
    <w:p>
      <w:pPr>
        <w:pStyle w:val="BodyText"/>
      </w:pPr>
      <w:r>
        <w:t xml:space="preserve">without adequate disclosure of revocation, licensing, platform, preservation, or transfer limits.</w:t>
      </w:r>
    </w:p>
    <w:p>
      <w:pPr>
        <w:pStyle w:val="BodyText"/>
      </w:pPr>
      <w:r>
        <w:t xml:space="preserve">It does not apply merely because a product is digital. It applies when digital access is represented through ownership surfaces while lacking the structural properties users normally associate with ownership.</w:t>
      </w:r>
    </w:p>
    <w:bookmarkEnd w:id="44"/>
    <w:bookmarkStart w:id="45" w:name="non-applicability"/>
    <w:p>
      <w:pPr>
        <w:pStyle w:val="Heading3"/>
      </w:pPr>
      <w:r>
        <w:t xml:space="preserve">11.2 Non-Applicability</w:t>
      </w:r>
    </w:p>
    <w:p>
      <w:pPr>
        <w:pStyle w:val="FirstParagraph"/>
      </w:pPr>
      <w:r>
        <w:t xml:space="preserve">This note should not be used to claim that all digital distribution is invalid, all licenses are deceptive, all platforms are illegitimate, or all physical media is structurally superior.</w:t>
      </w:r>
    </w:p>
    <w:p>
      <w:pPr>
        <w:pStyle w:val="BodyText"/>
      </w:pPr>
      <w:r>
        <w:t xml:space="preserve">It does not apply well when:</w:t>
      </w:r>
    </w:p>
    <w:p>
      <w:pPr>
        <w:pStyle w:val="BodyText"/>
      </w:pPr>
      <w:r>
        <w:t xml:space="preserve">access is clearly subscription-based</w:t>
      </w:r>
    </w:p>
    <w:p>
      <w:pPr>
        <w:pStyle w:val="BodyText"/>
      </w:pPr>
      <w:r>
        <w:t xml:space="preserve">revocation conditions are explicit and prominent</w:t>
      </w:r>
    </w:p>
    <w:p>
      <w:pPr>
        <w:pStyle w:val="BodyText"/>
      </w:pPr>
      <w:r>
        <w:t xml:space="preserve">the user is not asked to interpret access as ownership</w:t>
      </w:r>
    </w:p>
    <w:p>
      <w:pPr>
        <w:pStyle w:val="BodyText"/>
      </w:pPr>
      <w:r>
        <w:t xml:space="preserve">offline preservation rights are supplied</w:t>
      </w:r>
    </w:p>
    <w:p>
      <w:pPr>
        <w:pStyle w:val="BodyText"/>
      </w:pPr>
      <w:r>
        <w:t xml:space="preserve">transfer, refund, replacement, or migration remedies exist</w:t>
      </w:r>
    </w:p>
    <w:p>
      <w:pPr>
        <w:pStyle w:val="BodyText"/>
      </w:pPr>
      <w:r>
        <w:t xml:space="preserve">the item is rented, streamed, or temporarily accessed without purchase-like framing</w:t>
      </w:r>
    </w:p>
    <w:p>
      <w:pPr>
        <w:pStyle w:val="BodyText"/>
      </w:pPr>
      <w:r>
        <w:t xml:space="preserve">the use case does not create collection, preservation, resale, memory, or durable-access expectations</w:t>
      </w:r>
    </w:p>
    <w:p>
      <w:pPr>
        <w:pStyle w:val="BodyText"/>
      </w:pPr>
      <w:r>
        <w:t xml:space="preserve">The narrower concern is:</w:t>
      </w:r>
    </w:p>
    <w:p>
      <w:pPr>
        <w:pStyle w:val="BodyText"/>
      </w:pPr>
      <w:r>
        <w:t xml:space="preserve">ownership-like interface produces possession expectations while the system retains revocable access control.</w:t>
      </w:r>
    </w:p>
    <w:p>
      <w:r>
        <w:pict>
          <v:rect style="width:0;height:1.5pt" o:hralign="center" o:hrstd="t" o:hr="t"/>
        </w:pict>
      </w:r>
    </w:p>
    <w:bookmarkEnd w:id="45"/>
    <w:bookmarkEnd w:id="46"/>
    <w:bookmarkStart w:id="47" w:name="public-orientation-and-method-boundary"/>
    <w:p>
      <w:pPr>
        <w:pStyle w:val="Heading2"/>
      </w:pPr>
      <w:r>
        <w:t xml:space="preserve">12. Public Orientation and Method Boundary</w:t>
      </w:r>
    </w:p>
    <w:p>
      <w:pPr>
        <w:pStyle w:val="FirstParagraph"/>
      </w:pPr>
      <w:r>
        <w:t xml:space="preserve">This document is designed as a public conceptual entry. It provides a definition, mechanism, diagnostic orientation, and limit statement. It omits non-public editorial records, private source materials, non-public working materials, and implementation details.</w:t>
      </w:r>
    </w:p>
    <w:p>
      <w:pPr>
        <w:pStyle w:val="BodyText"/>
      </w:pPr>
      <w:r>
        <w:t xml:space="preserve">The entry is not a substitute for empirical research, legal analysis, professional judgment, technical testing, or domain-specific governance. It should not be used to score people or institutions, automate high-stakes decisions, or infer misconduct from conceptual similarity.</w:t>
      </w:r>
    </w:p>
    <w:p>
      <w:pPr>
        <w:pStyle w:val="BodyText"/>
      </w:pPr>
      <w:r>
        <w:t xml:space="preserve">Examples and application domains are illustrative. A case should be classified under</w:t>
      </w:r>
      <w:r>
        <w:t xml:space="preserve"> </w:t>
      </w:r>
      <w:r>
        <w:rPr>
          <w:bCs/>
          <w:b/>
        </w:rPr>
        <w:t xml:space="preserve">Purchased Access / Revocable Library Boundary</w:t>
      </w:r>
      <w:r>
        <w:t xml:space="preserve"> </w:t>
      </w:r>
      <w:r>
        <w:t xml:space="preserve">only when the relevant structure can be demonstrated from available evidence.</w:t>
      </w:r>
    </w:p>
    <w:p>
      <w:r>
        <w:pict>
          <v:rect style="width:0;height:1.5pt" o:hralign="center" o:hrstd="t" o:hr="t"/>
        </w:pict>
      </w:r>
    </w:p>
    <w:bookmarkEnd w:id="47"/>
    <w:bookmarkStart w:id="53" w:name="limitations"/>
    <w:p>
      <w:pPr>
        <w:pStyle w:val="Heading2"/>
      </w:pPr>
      <w:r>
        <w:t xml:space="preserve">13. Limitations</w:t>
      </w:r>
    </w:p>
    <w:bookmarkStart w:id="48" w:name="legal-ownership-varies"/>
    <w:p>
      <w:pPr>
        <w:pStyle w:val="Heading3"/>
      </w:pPr>
      <w:r>
        <w:t xml:space="preserve">1. Legal ownership varies</w:t>
      </w:r>
    </w:p>
    <w:p>
      <w:pPr>
        <w:pStyle w:val="FirstParagraph"/>
      </w:pPr>
      <w:r>
        <w:t xml:space="preserve">The note does not determine property, consumer, copyright, or contract law.</w:t>
      </w:r>
    </w:p>
    <w:bookmarkEnd w:id="48"/>
    <w:bookmarkStart w:id="49" w:name="physical-media-are-not-permanent"/>
    <w:p>
      <w:pPr>
        <w:pStyle w:val="Heading3"/>
      </w:pPr>
      <w:r>
        <w:t xml:space="preserve">2. Physical media are not permanent</w:t>
      </w:r>
    </w:p>
    <w:p>
      <w:pPr>
        <w:pStyle w:val="FirstParagraph"/>
      </w:pPr>
      <w:r>
        <w:t xml:space="preserve">Physical objects can degrade, become obsolete, or carry legal restrictions.</w:t>
      </w:r>
    </w:p>
    <w:bookmarkEnd w:id="49"/>
    <w:bookmarkStart w:id="50" w:name="some-users-prefer-access"/>
    <w:p>
      <w:pPr>
        <w:pStyle w:val="Heading3"/>
      </w:pPr>
      <w:r>
        <w:t xml:space="preserve">3. Some users prefer access</w:t>
      </w:r>
    </w:p>
    <w:p>
      <w:pPr>
        <w:pStyle w:val="FirstParagraph"/>
      </w:pPr>
      <w:r>
        <w:t xml:space="preserve">Convenience and portability may outweigh possession for particular uses.</w:t>
      </w:r>
    </w:p>
    <w:bookmarkEnd w:id="50"/>
    <w:bookmarkStart w:id="51" w:name="clear-licensing-can-align-expectations"/>
    <w:p>
      <w:pPr>
        <w:pStyle w:val="Heading3"/>
      </w:pPr>
      <w:r>
        <w:t xml:space="preserve">4. Clear licensing can align expectations</w:t>
      </w:r>
    </w:p>
    <w:p>
      <w:pPr>
        <w:pStyle w:val="FirstParagraph"/>
      </w:pPr>
      <w:r>
        <w:t xml:space="preserve">The problem is reduced when the access type and revocation conditions are prominent.</w:t>
      </w:r>
    </w:p>
    <w:bookmarkEnd w:id="51"/>
    <w:bookmarkStart w:id="52" w:name="remedies-differ"/>
    <w:p>
      <w:pPr>
        <w:pStyle w:val="Heading3"/>
      </w:pPr>
      <w:r>
        <w:t xml:space="preserve">5. Remedies differ</w:t>
      </w:r>
    </w:p>
    <w:p>
      <w:pPr>
        <w:pStyle w:val="FirstParagraph"/>
      </w:pPr>
      <w:r>
        <w:t xml:space="preserve">Refund, migration, offline access, archival copy, and replacement are not equivalent but can reduce the gap.</w:t>
      </w:r>
    </w:p>
    <w:p>
      <w:r>
        <w:pict>
          <v:rect style="width:0;height:1.5pt" o:hralign="center" o:hrstd="t" o:hr="t"/>
        </w:pict>
      </w:r>
    </w:p>
    <w:bookmarkEnd w:id="52"/>
    <w:bookmarkEnd w:id="53"/>
    <w:bookmarkStart w:id="54" w:name="minimal-formulation"/>
    <w:p>
      <w:pPr>
        <w:pStyle w:val="Heading2"/>
      </w:pPr>
      <w:r>
        <w:t xml:space="preserve">14. Minimal Formulation</w:t>
      </w:r>
    </w:p>
    <w:p>
      <w:pPr>
        <w:pStyle w:val="FirstParagraph"/>
      </w:pPr>
      <w:r>
        <w:t xml:space="preserve">purchase ≠ ownership</w:t>
      </w:r>
    </w:p>
    <w:p>
      <w:pPr>
        <w:pStyle w:val="BodyText"/>
      </w:pPr>
      <w:r>
        <w:t xml:space="preserve">library entry ≠ possession</w:t>
      </w:r>
    </w:p>
    <w:p>
      <w:pPr>
        <w:pStyle w:val="BodyText"/>
      </w:pPr>
      <w:r>
        <w:t xml:space="preserve">account access ≠ durable ownership</w:t>
      </w:r>
    </w:p>
    <w:p>
      <w:pPr>
        <w:pStyle w:val="BodyText"/>
      </w:pPr>
      <w:r>
        <w:t xml:space="preserve">download access ≠ preservation right</w:t>
      </w:r>
    </w:p>
    <w:p>
      <w:pPr>
        <w:pStyle w:val="BodyText"/>
      </w:pPr>
      <w:r>
        <w:t xml:space="preserve">platform convenience ≠ user control</w:t>
      </w:r>
    </w:p>
    <w:p>
      <w:pPr>
        <w:pStyle w:val="BodyText"/>
      </w:pPr>
      <w:r>
        <w:t xml:space="preserve">licensed access ≠ transferable property</w:t>
      </w:r>
    </w:p>
    <w:p>
      <w:pPr>
        <w:pStyle w:val="BodyText"/>
      </w:pPr>
      <w:r>
        <w:t xml:space="preserve">purchase record ≠ permanent access</w:t>
      </w:r>
    </w:p>
    <w:p>
      <w:pPr>
        <w:pStyle w:val="BodyText"/>
      </w:pPr>
      <w:r>
        <w:t xml:space="preserve">content availability ≠ memory continuity</w:t>
      </w:r>
    </w:p>
    <w:p>
      <w:pPr>
        <w:pStyle w:val="BodyText"/>
      </w:pPr>
      <w:r>
        <w:t xml:space="preserve">digital collection ≠ archival stability</w:t>
      </w:r>
    </w:p>
    <w:p>
      <w:pPr>
        <w:pStyle w:val="BodyText"/>
      </w:pPr>
      <w:r>
        <w:t xml:space="preserve">library interface ≠ ownership guarantee</w:t>
      </w:r>
    </w:p>
    <w:p>
      <w:pPr>
        <w:pStyle w:val="BodyText"/>
      </w:pPr>
      <w:r>
        <w:t xml:space="preserve">owned-item language ≠ possession structure</w:t>
      </w:r>
    </w:p>
    <w:p>
      <w:pPr>
        <w:pStyle w:val="BodyText"/>
      </w:pPr>
      <w:r>
        <w:t xml:space="preserve">store closure ≠ obligation closure</w:t>
      </w:r>
    </w:p>
    <w:p>
      <w:pPr>
        <w:pStyle w:val="BodyText"/>
      </w:pPr>
      <w:r>
        <w:t xml:space="preserve">removal notice ≠ adequate remedy</w:t>
      </w:r>
    </w:p>
    <w:p>
      <w:pPr>
        <w:pStyle w:val="BodyText"/>
      </w:pPr>
      <w:r>
        <w:t xml:space="preserve">access permission ≠ cultural preservation</w:t>
      </w:r>
    </w:p>
    <w:p>
      <w:pPr>
        <w:pStyle w:val="BodyText"/>
      </w:pPr>
      <w:r>
        <w:t xml:space="preserve">legal purchase ≠ independent copy</w:t>
      </w:r>
    </w:p>
    <w:p>
      <w:pPr>
        <w:pStyle w:val="BodyText"/>
      </w:pPr>
      <w:r>
        <w:t xml:space="preserve">service continuity ≠ collection continuity</w:t>
      </w:r>
    </w:p>
    <w:p>
      <w:pPr>
        <w:pStyle w:val="BodyText"/>
      </w:pPr>
      <w:r>
        <w:t xml:space="preserve">what remains visible in the library may not remain controllable by the user</w:t>
      </w:r>
    </w:p>
    <w:p>
      <w:pPr>
        <w:pStyle w:val="BodyText"/>
      </w:pPr>
      <w:r>
        <w:t xml:space="preserve">The object was sold as a library item but governed as temporary permission.</w:t>
      </w:r>
    </w:p>
    <w:p>
      <w:pPr>
        <w:pStyle w:val="BodyText"/>
      </w:pPr>
      <w:r>
        <w:t xml:space="preserve">Alternative compressed form:</w:t>
      </w:r>
    </w:p>
    <w:p>
      <w:pPr>
        <w:pStyle w:val="BodyText"/>
      </w:pPr>
      <w:r>
        <w:t xml:space="preserve">The library remained visible after ownership had already been structurally removed.</w:t>
      </w:r>
    </w:p>
    <w:p>
      <w:r>
        <w:pict>
          <v:rect style="width:0;height:1.5pt" o:hralign="center" o:hrstd="t" o:hr="t"/>
        </w:pict>
      </w:r>
    </w:p>
    <w:bookmarkEnd w:id="54"/>
    <w:bookmarkStart w:id="55" w:name="conclusion"/>
    <w:p>
      <w:pPr>
        <w:pStyle w:val="Heading2"/>
      </w:pPr>
      <w:r>
        <w:t xml:space="preserve">15. Conclusion</w:t>
      </w:r>
    </w:p>
    <w:p>
      <w:pPr>
        <w:pStyle w:val="FirstParagraph"/>
      </w:pPr>
      <w:r>
        <w:t xml:space="preserve">A purchase surface can organize expectation as ownership while the underlying relation remains revocable access. The mismatch is not created only at the moment of removal; it is built into the relation between interface language, platform dependency, and user control.</w:t>
      </w:r>
    </w:p>
    <w:p>
      <w:pPr>
        <w:pStyle w:val="BodyText"/>
      </w:pPr>
      <w:r>
        <w:t xml:space="preserve">The boundary can be made more honest by clearly naming the access type, specifying revocation and preservation limits, and distinguishing a purchase record from durable possession.</w:t>
      </w:r>
    </w:p>
    <w:p>
      <w:r>
        <w:pict>
          <v:rect style="width:0;height:1.5pt" o:hralign="center" o:hrstd="t" o:hr="t"/>
        </w:pict>
      </w:r>
    </w:p>
    <w:bookmarkEnd w:id="55"/>
    <w:bookmarkStart w:id="56" w:name="naming-declaration"/>
    <w:p>
      <w:pPr>
        <w:pStyle w:val="Heading2"/>
      </w:pPr>
      <w:r>
        <w:t xml:space="preserve">Naming Declaration</w:t>
      </w:r>
    </w:p>
    <w:p>
      <w:pPr>
        <w:pStyle w:val="FirstParagraph"/>
      </w:pPr>
      <w:r>
        <w:t xml:space="preserve">Purchased Access / Revocable Library Boundary is a Meta-Writing Ecology term for the boundary between purchase-like user experience and revocable platform-mediated access.</w:t>
      </w:r>
    </w:p>
    <w:p>
      <w:pPr>
        <w:pStyle w:val="BodyText"/>
      </w:pPr>
      <w:r>
        <w:t xml:space="preserve">The term purchased access refers to a transaction or interface condition in which a user pays for a digital item and the item is presented as part of a library, collection, account, or owned-item surface.</w:t>
      </w:r>
    </w:p>
    <w:p>
      <w:pPr>
        <w:pStyle w:val="BodyText"/>
      </w:pPr>
      <w:r>
        <w:t xml:space="preserve">The term revocable library refers to a platform-mediated collection layer whose items remain dependent on licensing, DRM, account, store, server, region, device, or provider conditions that may change after purchase.</w:t>
      </w:r>
    </w:p>
    <w:p>
      <w:pPr>
        <w:pStyle w:val="BodyText"/>
      </w:pPr>
      <w:r>
        <w:t xml:space="preserve">The term does not refer to any specific company, console, store, film catalogue, game platform, publisher, legal jurisdiction, or licensing dispute.</w:t>
      </w:r>
    </w:p>
    <w:p>
      <w:pPr>
        <w:pStyle w:val="BodyText"/>
      </w:pPr>
      <w:r>
        <w:t xml:space="preserve">Within Meta-Writing Ecology, this note functions as a Cross-supporting Note. It clarifies how ownership language, platform infrastructure, memory carriers, access dependency, preservation burden, and user responsibility become misaligned in digital media systems.</w:t>
      </w:r>
    </w:p>
    <w:p>
      <w:pPr>
        <w:pStyle w:val="BodyText"/>
      </w:pPr>
      <w:r>
        <w:t xml:space="preserve">It should be used when a system sells, displays, or stabilizes user expectation through ownership surfaces while retaining the structural power to revoke, remove, limit, or disable access.</w:t>
      </w:r>
    </w:p>
    <w:bookmarkEnd w:id="56"/>
    <w:sectPr w:rsidR="00FC693F" w:rsidRPr="0006063C" w:rsidSect="00034616">
      <w:pgSz w:h="16838" w:w="11906"/>
      <w:pgMar w:bottom="1418" w:footer="700" w:gutter="0" w:header="700" w:left="1418" w:right="1418" w:top="141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before="0" w:line="540" w:lineRule="exact"/>
      <w:ind w:firstLine="480"/>
      <w:jc w:val="left"/>
    </w:pPr>
    <w:rPr>
      <w:rFonts w:ascii="Gelasio" w:cs="Gelasio" w:eastAsia="Gelasio" w:hAnsi="Gelasio"/>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240" w:before="360" w:line="240" w:lineRule="auto"/>
      <w:ind w:firstLine="0"/>
      <w:jc w:val="left"/>
      <w:outlineLvl w:val="0"/>
    </w:pPr>
    <w:rPr>
      <w:rFonts w:ascii="Gelasio" w:asciiTheme="majorHAnsi" w:cs="Gelasio" w:cstheme="majorBidi" w:eastAsia="Gelasio" w:eastAsiaTheme="majorEastAsia" w:hAnsi="Gelasio" w:hAnsiTheme="majorHAnsi"/>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widowControl/>
      <w:spacing w:after="240" w:before="360" w:line="240" w:lineRule="auto"/>
      <w:ind w:firstLine="0"/>
      <w:jc w:val="left"/>
      <w:outlineLvl w:val="1"/>
    </w:pPr>
    <w:rPr>
      <w:rFonts w:ascii="Gelasio" w:asciiTheme="majorHAnsi" w:cs="Gelasio" w:cstheme="majorBidi" w:eastAsia="Gelasio" w:eastAsiaTheme="majorEastAsia" w:hAnsi="Gelasio" w:hAnsiTheme="majorHAnsi"/>
      <w:b/>
      <w:bCs/>
      <w:i w:val="0"/>
      <w:color w:val="000000"/>
      <w:sz w:val="32"/>
      <w:szCs w:val="26"/>
    </w:rPr>
  </w:style>
  <w:style w:styleId="Heading3" w:type="paragraph">
    <w:name w:val="heading 3"/>
    <w:basedOn w:val="Normal"/>
    <w:next w:val="Normal"/>
    <w:link w:val="Heading3Char"/>
    <w:uiPriority w:val="9"/>
    <w:unhideWhenUsed/>
    <w:qFormat/>
    <w:rsid w:val="00FC693F"/>
    <w:pPr>
      <w:keepNext/>
      <w:keepLines/>
      <w:widowControl/>
      <w:spacing w:after="120" w:before="240" w:line="240" w:lineRule="auto"/>
      <w:ind w:firstLine="0"/>
      <w:jc w:val="left"/>
      <w:outlineLvl w:val="2"/>
    </w:pPr>
    <w:rPr>
      <w:rFonts w:ascii="Gelasio" w:asciiTheme="majorHAnsi" w:cs="Gelasio" w:cstheme="majorBidi" w:eastAsia="Gelasio" w:eastAsiaTheme="majorEastAsia" w:hAnsi="Gelasio" w:hAnsiTheme="majorHAnsi"/>
      <w:b/>
      <w:bCs/>
      <w:i w:val="0"/>
      <w:color w:val="000000"/>
      <w:sz w:val="28"/>
    </w:rPr>
  </w:style>
  <w:style w:styleId="Heading4" w:type="paragraph">
    <w:name w:val="heading 4"/>
    <w:basedOn w:val="Normal"/>
    <w:next w:val="Normal"/>
    <w:link w:val="Heading4Char"/>
    <w:uiPriority w:val="9"/>
    <w:semiHidden/>
    <w:unhideWhenUsed/>
    <w:qFormat/>
    <w:rsid w:val="00FC693F"/>
    <w:pPr>
      <w:keepNext/>
      <w:keepLines/>
      <w:widowControl/>
      <w:spacing w:after="80" w:before="200" w:line="240" w:lineRule="auto"/>
      <w:ind w:firstLine="0"/>
      <w:jc w:val="left"/>
      <w:outlineLvl w:val="3"/>
    </w:pPr>
    <w:rPr>
      <w:rFonts w:ascii="Gelasio" w:asciiTheme="majorHAnsi" w:cs="Gelasio" w:cstheme="majorBidi" w:eastAsia="Gelasio" w:eastAsiaTheme="majorEastAsia" w:hAnsi="Gelasio" w:hAnsiTheme="majorHAnsi"/>
      <w:b/>
      <w:bCs/>
      <w:i w:val="0"/>
      <w:iCs/>
      <w:color w:val="000000"/>
      <w:sz w:val="25"/>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0" w:before="0" w:line="540" w:lineRule="exact"/>
      <w:ind w:firstLine="0" w:left="0"/>
    </w:pPr>
    <w:rPr>
      <w:rFonts w:ascii="Gelasio" w:cs="Gelasio" w:eastAsia="Gelasio" w:hAnsi="Gelasio"/>
      <w:color w:val="000000"/>
      <w:sz w:val="24"/>
    </w:rPr>
  </w:style>
  <w:style w:customStyle="1" w:styleId="MWETitle" w:type="paragraph">
    <w:name w:val="MWE Title"/>
    <w:basedOn w:val="Normal"/>
    <w:pPr>
      <w:spacing w:after="0" w:before="0" w:line="240" w:lineRule="auto"/>
      <w:ind w:firstLine="0"/>
      <w:jc w:val="left"/>
    </w:pPr>
    <w:rPr>
      <w:rFonts w:ascii="Gelasio" w:cs="Gelasio" w:eastAsia="Gelasio" w:hAnsi="Gelasio"/>
      <w:b/>
      <w:i w:val="0"/>
      <w:color w:val="000000"/>
      <w:sz w:val="44"/>
    </w:rPr>
  </w:style>
  <w:style w:customStyle="1" w:styleId="MWESubtitle" w:type="paragraph">
    <w:name w:val="MWE Subtitle"/>
    <w:basedOn w:val="Normal"/>
    <w:pPr>
      <w:spacing w:after="0" w:before="0" w:line="240" w:lineRule="auto"/>
      <w:ind w:firstLine="0"/>
      <w:jc w:val="left"/>
    </w:pPr>
    <w:rPr>
      <w:rFonts w:ascii="Gelasio" w:cs="Gelasio" w:eastAsia="Gelasio" w:hAnsi="Gelasio"/>
      <w:b/>
      <w:i/>
      <w:color w:val="000000"/>
      <w:sz w:val="32"/>
    </w:rPr>
  </w:style>
  <w:style w:customStyle="1" w:styleId="MWEMeta" w:type="paragraph">
    <w:name w:val="MWE Meta"/>
    <w:basedOn w:val="Normal"/>
    <w:pPr>
      <w:spacing w:after="0" w:before="0" w:line="240" w:lineRule="auto"/>
      <w:ind w:firstLine="0"/>
      <w:jc w:val="left"/>
    </w:pPr>
    <w:rPr>
      <w:rFonts w:ascii="Gelasio" w:cs="Gelasio" w:eastAsia="Gelasio" w:hAnsi="Gelasio"/>
      <w:b/>
      <w:i/>
      <w:color w:val="000000"/>
      <w:sz w:val="24"/>
    </w:rPr>
  </w:style>
  <w:style w:customStyle="1" w:styleId="MWEAuthor" w:type="paragraph">
    <w:name w:val="MWE Author"/>
    <w:basedOn w:val="Normal"/>
    <w:pPr>
      <w:spacing w:after="0" w:before="0" w:line="240" w:lineRule="auto"/>
      <w:ind w:firstLine="0"/>
      <w:jc w:val="left"/>
    </w:pPr>
    <w:rPr>
      <w:rFonts w:ascii="Gelasio" w:cs="Gelasio" w:eastAsia="Gelasio" w:hAnsi="Gelasio"/>
      <w:b/>
      <w:i w:val="0"/>
      <w:color w:val="000000"/>
      <w:sz w:val="24"/>
    </w:rPr>
  </w:style>
  <w:style w:customStyle="1" w:styleId="MWEAffiliation" w:type="paragraph">
    <w:name w:val="MWE Affiliation"/>
    <w:basedOn w:val="Normal"/>
    <w:pPr>
      <w:spacing w:after="0" w:before="0" w:line="240" w:lineRule="auto"/>
      <w:ind w:firstLine="0"/>
      <w:jc w:val="left"/>
    </w:pPr>
    <w:rPr>
      <w:rFonts w:ascii="Gelasio" w:cs="Gelasio" w:eastAsia="Gelasio" w:hAnsi="Gelasio"/>
      <w:b/>
      <w:i w:val="0"/>
      <w:color w:val="000000"/>
      <w:sz w:val="24"/>
    </w:rPr>
  </w:style>
  <w:style w:customStyle="1" w:styleId="MWESpacer" w:type="paragraph">
    <w:name w:val="MWE Spacer"/>
    <w:basedOn w:val="Normal"/>
    <w:pPr>
      <w:spacing w:after="0" w:before="0" w:line="240" w:lineRule="auto"/>
      <w:ind w:firstLine="0"/>
      <w:jc w:val="left"/>
    </w:pPr>
    <w:rPr>
      <w:rFonts w:ascii="Gelasio" w:cs="Gelasio" w:eastAsia="Gelasio" w:hAnsi="Gelasio"/>
      <w:b w:val="0"/>
      <w:i w:val="0"/>
      <w:color w:val="000000"/>
      <w:sz w:val="24"/>
    </w:rPr>
  </w:style>
  <w:style w:customStyle="1" w:styleId="BlockText" w:type="paragraph">
    <w:name w:val="Block Text"/>
    <w:basedOn w:val="Normal"/>
    <w:pPr>
      <w:ind w:firstLine="0" w:left="480"/>
    </w:pPr>
    <w:rPr>
      <w:rFonts w:ascii="Gelasio" w:cs="Gelasio" w:eastAsia="Gelasio" w:hAnsi="Gelasio"/>
      <w:i w:val="0"/>
      <w:color w:val="000000"/>
      <w:sz w:val="24"/>
    </w:rPr>
  </w:style>
  <w:style w:customStyle="1" w:styleId="SourceCode" w:type="paragraph">
    <w:name w:val="Source Code"/>
    <w:basedOn w:val="Normal"/>
    <w:pPr>
      <w:spacing w:line="240" w:lineRule="auto"/>
      <w:ind w:firstLine="0" w:left="240"/>
    </w:pPr>
    <w:rPr>
      <w:rFonts w:ascii="DejaVu Sans Mono" w:cs="DejaVu Sans Mono" w:eastAsia="DejaVu Sans Mono" w:hAnsi="DejaVu Sans Mono"/>
      <w:color w:val="000000"/>
      <w:sz w:val="21"/>
    </w:rPr>
  </w:style>
  <w:style w:customStyle="1" w:styleId="VerbatimChar" w:type="character">
    <w:name w:val="Verbatim Char"/>
    <w:rPr>
      <w:rFonts w:ascii="DejaVu Sans Mono" w:cs="DejaVu Sans Mono" w:eastAsia="DejaVu Sans Mono" w:hAnsi="DejaVu Sans Mono"/>
      <w:color w:val="000000"/>
      <w:sz w:val="21"/>
    </w:rPr>
  </w:style>
  <w:style w:customStyle="1" w:styleId="ImageCaption" w:type="paragraph">
    <w:name w:val="Image Caption"/>
    <w:basedOn w:val="Normal"/>
    <w:pPr>
      <w:ind w:firstLine="0"/>
    </w:pPr>
    <w:rPr>
      <w:rFonts w:ascii="Gelasio" w:cs="Gelasio" w:eastAsia="Gelasio" w:hAnsi="Gelasio"/>
      <w:i/>
      <w:color w:val="000000"/>
      <w:sz w:val="21"/>
    </w:rPr>
  </w:style>
  <w:style w:customStyle="1" w:styleId="MWEReferences" w:type="paragraph">
    <w:name w:val="MWE References"/>
    <w:basedOn w:val="Normal"/>
    <w:pPr>
      <w:spacing w:line="540" w:lineRule="exact"/>
      <w:ind w:hanging="480" w:left="480"/>
    </w:pPr>
    <w:rPr>
      <w:rFonts w:ascii="Gelasio" w:cs="Gelasio" w:eastAsia="Gelasio" w:hAnsi="Gelasio"/>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Purchased Access / Revocable Library Boundary</dc:title>
  <dc:creator>Huang Tzuyuan</dc:creator>
  <cp:keywords/>
  <dcterms:created xsi:type="dcterms:W3CDTF">2026-07-17T14:37:42Z</dcterms:created>
  <dcterms:modified xsi:type="dcterms:W3CDTF">2026-07-17T14:37:42Z</dcterms:modified>
  <cp:lastModifiedBy/>
  <dc:description/>
  <cp:category/>
  <dc:subject/>
  <dc:identifier/>
  <cp:revision>1</cp:revision>
</cp:coreProperties>
</file>

<file path=docProps/custom.xml><?xml version="1.0" encoding="utf-8"?>
<Properties xmlns="http://schemas.openxmlformats.org/officeDocument/2006/custom-properties" xmlns:vt="http://schemas.openxmlformats.org/officeDocument/2006/docPropsVTypes"/>
</file>