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3"/>
        <w:spacing w:after="280" w:line="360" w:lineRule="auto"/>
        <w:ind w:firstLine="720"/>
        <w:rPr>
          <w:rFonts w:ascii="Arial" w:cs="Arial" w:eastAsia="Arial" w:hAnsi="Arial"/>
          <w:b w:val="1"/>
          <w:sz w:val="28"/>
          <w:szCs w:val="28"/>
        </w:rPr>
      </w:pPr>
      <w:r w:rsidDel="00000000" w:rsidR="00000000" w:rsidRPr="00000000">
        <w:rPr/>
        <w:drawing>
          <wp:inline distB="0" distT="0" distL="0" distR="0">
            <wp:extent cx="5760720" cy="37547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754755"/>
                    </a:xfrm>
                    <a:prstGeom prst="rect"/>
                    <a:ln/>
                  </pic:spPr>
                </pic:pic>
              </a:graphicData>
            </a:graphic>
          </wp:inline>
        </w:drawing>
      </w:r>
      <w:r w:rsidDel="00000000" w:rsidR="00000000" w:rsidRPr="00000000">
        <w:rPr>
          <w:rtl w:val="0"/>
        </w:rPr>
      </w:r>
    </w:p>
    <w:tbl>
      <w:tblPr>
        <w:tblStyle w:val="Table1"/>
        <w:tblW w:w="11388.999999999998" w:type="dxa"/>
        <w:jc w:val="left"/>
        <w:tblInd w:w="-1168.0" w:type="dxa"/>
        <w:tblLayout w:type="fixed"/>
        <w:tblLook w:val="0400"/>
      </w:tblPr>
      <w:tblGrid>
        <w:gridCol w:w="1732"/>
        <w:gridCol w:w="2172"/>
        <w:gridCol w:w="1791"/>
        <w:gridCol w:w="1773"/>
        <w:gridCol w:w="2149"/>
        <w:gridCol w:w="1772"/>
        <w:tblGridChange w:id="0">
          <w:tblGrid>
            <w:gridCol w:w="1732"/>
            <w:gridCol w:w="2172"/>
            <w:gridCol w:w="1791"/>
            <w:gridCol w:w="1773"/>
            <w:gridCol w:w="2149"/>
            <w:gridCol w:w="1772"/>
          </w:tblGrid>
        </w:tblGridChange>
      </w:tblGrid>
      <w:tr>
        <w:trPr>
          <w:cantSplit w:val="0"/>
          <w:tblHeader w:val="0"/>
        </w:trPr>
        <w:tc>
          <w:tcPr>
            <w:gridSpan w:val="3"/>
            <w:tcBorders>
              <w:top w:color="000000" w:space="0" w:sz="6" w:val="single"/>
              <w:left w:color="cccccc" w:space="0" w:sz="6" w:val="single"/>
              <w:bottom w:color="000000" w:space="0" w:sz="6" w:val="single"/>
              <w:right w:color="cccccc" w:space="0" w:sz="6" w:val="single"/>
            </w:tcBorders>
            <w:shd w:fill="ffffff" w:val="clear"/>
            <w:vAlign w:val="center"/>
          </w:tcPr>
          <w:p w:rsidR="00000000" w:rsidDel="00000000" w:rsidP="00000000" w:rsidRDefault="00000000" w:rsidRPr="00000000" w14:paraId="00000002">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Landsat 7</w:t>
            </w:r>
          </w:p>
        </w:tc>
        <w:tc>
          <w:tcPr>
            <w:gridSpan w:val="3"/>
            <w:tcBorders>
              <w:top w:color="000000" w:space="0" w:sz="6" w:val="single"/>
              <w:left w:color="cccccc" w:space="0" w:sz="6" w:val="single"/>
              <w:bottom w:color="000000" w:space="0" w:sz="6" w:val="single"/>
              <w:right w:color="cccccc" w:space="0" w:sz="6" w:val="single"/>
            </w:tcBorders>
            <w:shd w:fill="ffffff" w:val="clear"/>
            <w:vAlign w:val="center"/>
          </w:tcPr>
          <w:p w:rsidR="00000000" w:rsidDel="00000000" w:rsidP="00000000" w:rsidRDefault="00000000" w:rsidRPr="00000000" w14:paraId="00000005">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Landsat 8</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8">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Grup adı</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Bant genişliği (µm)</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A">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Çözünürlük (m)</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B">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Grup adı</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C">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Bant genişliği (µm)</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D">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u w:val="single"/>
                <w:rtl w:val="0"/>
              </w:rPr>
              <w:t xml:space="preserve">Çözünürlük (m)</w:t>
            </w:r>
            <w:r w:rsidDel="00000000" w:rsidR="00000000" w:rsidRPr="00000000">
              <w:rPr>
                <w:rtl w:val="0"/>
              </w:rPr>
            </w:r>
          </w:p>
        </w:tc>
      </w:tr>
      <w:tr>
        <w:trPr>
          <w:cantSplit w:val="0"/>
          <w:tblHeader w:val="0"/>
        </w:trPr>
        <w:tc>
          <w:tcPr>
            <w:gridSpan w:val="3"/>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0E">
            <w:pPr>
              <w:spacing w:after="0" w:line="240" w:lineRule="auto"/>
              <w:jc w:val="center"/>
              <w:rPr>
                <w:rFonts w:ascii="Helvetica Neue" w:cs="Helvetica Neue" w:eastAsia="Helvetica Neue" w:hAnsi="Helvetica Neue"/>
                <w:color w:val="4c4c4c"/>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1">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Grup 1 Sahil</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2">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0,43 – 0,45</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3">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4">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Grup 1 Mavi</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5">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0,45 – 0,52</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6">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7">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Grup 2 Mavi</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8">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0,45 – 0,51</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A">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2. Grup Yeşil</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B">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0,52 – 0,60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C">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D">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 Grup Yeşil</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E">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0,53 – 0,59</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1F">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0">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Grup 3 Kırmızı</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1">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0,63 – 0,69</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2">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3">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4 Kırmızı</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4">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0.64 – 0.67</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5">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6">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4 NIR</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7">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0.77 – 0.90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8">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9">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5 NIR</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A">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0.85 – 0.88</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B">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C">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5 SWIR 1</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D">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1.55 – 1.75</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E">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2F">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6 SWIR 1</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0">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1.57 – 1.65</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1">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2">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7 SWIR 2</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3">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2.09 – 2.35</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4">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5">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7 SWIR 2</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6">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2.11 – 2.29</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7">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8">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8 Tava</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0,52 – 0,90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A">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15</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B">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8 Tava</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C">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0,50 – 0,68</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D">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15</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E">
            <w:pPr>
              <w:spacing w:after="0" w:line="240" w:lineRule="auto"/>
              <w:jc w:val="center"/>
              <w:rPr>
                <w:rFonts w:ascii="Helvetica Neue" w:cs="Helvetica Neue" w:eastAsia="Helvetica Neue" w:hAnsi="Helvetica Neue"/>
                <w:color w:val="4c4c4c"/>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3F">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Grup 9 Sirk</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0">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1.36 – 1.38</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1">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w:t>
            </w:r>
          </w:p>
        </w:tc>
        <w:tc>
          <w:tcPr>
            <w:shd w:fill="ffffff" w:val="clea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4">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6 TIR</w:t>
            </w:r>
          </w:p>
        </w:tc>
        <w:tc>
          <w:tcPr>
            <w:vMerge w:val="restart"/>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5">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10.40 – 12.50</w:t>
            </w:r>
          </w:p>
        </w:tc>
        <w:tc>
          <w:tcPr>
            <w:vMerge w:val="restart"/>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6">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30/60</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7">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10 TIR 1</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8">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10.6 – 11.19</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100</w:t>
            </w:r>
          </w:p>
        </w:tc>
      </w:tr>
      <w:tr>
        <w:trPr>
          <w:cantSplit w:val="0"/>
          <w:tblHeader w:val="0"/>
        </w:trPr>
        <w:tc>
          <w:tcPr>
            <w:vMerge w:val="continue"/>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c4c4c"/>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c4c4c"/>
                <w:sz w:val="24"/>
                <w:szCs w:val="24"/>
              </w:rPr>
            </w:pPr>
            <w:r w:rsidDel="00000000" w:rsidR="00000000" w:rsidRPr="00000000">
              <w:rPr>
                <w:rtl w:val="0"/>
              </w:rPr>
            </w:r>
          </w:p>
        </w:tc>
        <w:tc>
          <w:tcPr>
            <w:vMerge w:val="continue"/>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c4c4c"/>
                <w:sz w:val="24"/>
                <w:szCs w:val="24"/>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D">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Bant 11 TIRS 2</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E">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11.5 – 12.51</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4F">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100</w:t>
            </w:r>
          </w:p>
        </w:tc>
      </w:tr>
    </w:tbl>
    <w:p w:rsidR="00000000" w:rsidDel="00000000" w:rsidP="00000000" w:rsidRDefault="00000000" w:rsidRPr="00000000" w14:paraId="00000050">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1">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2">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3">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4">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5">
      <w:pPr>
        <w:pStyle w:val="Heading3"/>
        <w:spacing w:after="280" w:before="280"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Bant Combination:</w:t>
      </w:r>
    </w:p>
    <w:tbl>
      <w:tblPr>
        <w:tblStyle w:val="Table2"/>
        <w:tblW w:w="8745.0" w:type="dxa"/>
        <w:jc w:val="left"/>
        <w:tblInd w:w="15.0" w:type="dxa"/>
        <w:tblLayout w:type="fixed"/>
        <w:tblLook w:val="0400"/>
      </w:tblPr>
      <w:tblGrid>
        <w:gridCol w:w="6555"/>
        <w:gridCol w:w="2190"/>
        <w:tblGridChange w:id="0">
          <w:tblGrid>
            <w:gridCol w:w="6555"/>
            <w:gridCol w:w="2190"/>
          </w:tblGrid>
        </w:tblGridChange>
      </w:tblGrid>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6">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Doğal renk</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7">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4 3 2</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e599" w:val="clear"/>
          </w:tcPr>
          <w:p w:rsidR="00000000" w:rsidDel="00000000" w:rsidP="00000000" w:rsidRDefault="00000000" w:rsidRPr="00000000" w14:paraId="00000058">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Yanlış Renk (kentsel)</w:t>
            </w:r>
          </w:p>
        </w:tc>
        <w:tc>
          <w:tcPr>
            <w:tcBorders>
              <w:top w:color="000000" w:space="0" w:sz="6" w:val="single"/>
              <w:left w:color="cccccc" w:space="0" w:sz="6" w:val="single"/>
              <w:bottom w:color="000000" w:space="0" w:sz="6" w:val="single"/>
              <w:right w:color="cccccc" w:space="0" w:sz="6" w:val="single"/>
            </w:tcBorders>
            <w:shd w:fill="ffe599" w:val="clear"/>
          </w:tcPr>
          <w:p w:rsidR="00000000" w:rsidDel="00000000" w:rsidP="00000000" w:rsidRDefault="00000000" w:rsidRPr="00000000" w14:paraId="0000005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7 6 4</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A">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Renkli Kızılötesi (bitki örtüsü)</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B">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5 4 3</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C">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Tarım</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D">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6 5 2</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E">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Atmosferik Penetrasyon</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5F">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7 6 5</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0">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Sağlıklı Bitki Örtüsü</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1">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5 6 2</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e599" w:val="clear"/>
          </w:tcPr>
          <w:p w:rsidR="00000000" w:rsidDel="00000000" w:rsidP="00000000" w:rsidRDefault="00000000" w:rsidRPr="00000000" w14:paraId="00000062">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Kara/Su</w:t>
            </w:r>
          </w:p>
        </w:tc>
        <w:tc>
          <w:tcPr>
            <w:tcBorders>
              <w:top w:color="000000" w:space="0" w:sz="6" w:val="single"/>
              <w:left w:color="cccccc" w:space="0" w:sz="6" w:val="single"/>
              <w:bottom w:color="000000" w:space="0" w:sz="6" w:val="single"/>
              <w:right w:color="cccccc" w:space="0" w:sz="6" w:val="single"/>
            </w:tcBorders>
            <w:shd w:fill="ffe599" w:val="clear"/>
          </w:tcPr>
          <w:p w:rsidR="00000000" w:rsidDel="00000000" w:rsidP="00000000" w:rsidRDefault="00000000" w:rsidRPr="00000000" w14:paraId="00000063">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5 6 4</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4">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Atmosferik Temizleme ile Doğal</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5">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7 5 3</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6">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Kısa dalga Kızılötesi</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7">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7 5 4</w:t>
            </w:r>
          </w:p>
        </w:tc>
      </w:tr>
      <w:tr>
        <w:trPr>
          <w:cantSplit w:val="0"/>
          <w:tblHeader w:val="0"/>
        </w:trPr>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8">
            <w:pPr>
              <w:spacing w:after="0" w:line="240" w:lineRule="auto"/>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Bitki örtüsü analizi</w:t>
            </w:r>
          </w:p>
        </w:tc>
        <w:tc>
          <w:tcPr>
            <w:tcBorders>
              <w:top w:color="000000" w:space="0" w:sz="6" w:val="single"/>
              <w:left w:color="cccccc" w:space="0" w:sz="6" w:val="single"/>
              <w:bottom w:color="000000" w:space="0" w:sz="6" w:val="single"/>
              <w:right w:color="cccccc" w:space="0" w:sz="6" w:val="single"/>
            </w:tcBorders>
            <w:shd w:fill="ffffff" w:val="clear"/>
          </w:tcPr>
          <w:p w:rsidR="00000000" w:rsidDel="00000000" w:rsidP="00000000" w:rsidRDefault="00000000" w:rsidRPr="00000000" w14:paraId="00000069">
            <w:pPr>
              <w:spacing w:after="0" w:line="240" w:lineRule="auto"/>
              <w:jc w:val="center"/>
              <w:rPr>
                <w:rFonts w:ascii="Helvetica Neue" w:cs="Helvetica Neue" w:eastAsia="Helvetica Neue" w:hAnsi="Helvetica Neue"/>
                <w:color w:val="4c4c4c"/>
                <w:sz w:val="24"/>
                <w:szCs w:val="24"/>
              </w:rPr>
            </w:pPr>
            <w:r w:rsidDel="00000000" w:rsidR="00000000" w:rsidRPr="00000000">
              <w:rPr>
                <w:rFonts w:ascii="Helvetica Neue" w:cs="Helvetica Neue" w:eastAsia="Helvetica Neue" w:hAnsi="Helvetica Neue"/>
                <w:color w:val="4c4c4c"/>
                <w:sz w:val="24"/>
                <w:szCs w:val="24"/>
                <w:rtl w:val="0"/>
              </w:rPr>
              <w:t xml:space="preserve">6 5 4</w:t>
            </w:r>
          </w:p>
        </w:tc>
      </w:tr>
    </w:tbl>
    <w:p w:rsidR="00000000" w:rsidDel="00000000" w:rsidP="00000000" w:rsidRDefault="00000000" w:rsidRPr="00000000" w14:paraId="0000006A">
      <w:pPr>
        <w:pStyle w:val="Heading3"/>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B">
      <w:pPr>
        <w:pStyle w:val="Heading3"/>
        <w:spacing w:after="280" w:before="280" w:line="360" w:lineRule="auto"/>
        <w:rPr>
          <w:rFonts w:ascii="Arial" w:cs="Arial" w:eastAsia="Arial" w:hAnsi="Arial"/>
          <w:sz w:val="24"/>
          <w:szCs w:val="24"/>
        </w:rPr>
      </w:pPr>
      <w:r w:rsidDel="00000000" w:rsidR="00000000" w:rsidRPr="00000000">
        <w:rPr>
          <w:rFonts w:ascii="Arial" w:cs="Arial" w:eastAsia="Arial" w:hAnsi="Arial"/>
          <w:b w:val="1"/>
          <w:sz w:val="28"/>
          <w:szCs w:val="28"/>
          <w:rtl w:val="0"/>
        </w:rPr>
        <w:t xml:space="preserve">Normalized Difference Vegetation Index (NDVI):</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NDVI = (NIR – Red) / (NIR + Red)</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Landsat </w:t>
      </w:r>
      <w:r w:rsidDel="00000000" w:rsidR="00000000" w:rsidRPr="00000000">
        <w:rPr>
          <w:rFonts w:ascii="Arial" w:cs="Arial" w:eastAsia="Arial" w:hAnsi="Arial"/>
          <w:rtl w:val="0"/>
        </w:rPr>
        <w:t xml:space="preserve">4-5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NDVI = (Band 4 – Band 3) / (Band 4 + Band 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Landsat 8-9 data, NDVI = (Band 5 – Band 4) / (Band 5 + Band 4)</w:t>
      </w:r>
    </w:p>
    <w:p w:rsidR="00000000" w:rsidDel="00000000" w:rsidP="00000000" w:rsidRDefault="00000000" w:rsidRPr="00000000" w14:paraId="0000006F">
      <w:pPr>
        <w:numPr>
          <w:ilvl w:val="0"/>
          <w:numId w:val="1"/>
        </w:numPr>
        <w:spacing w:after="0"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NDVI = -1 to 0 Su kütlelerini temsil eder</w:t>
      </w:r>
    </w:p>
    <w:p w:rsidR="00000000" w:rsidDel="00000000" w:rsidP="00000000" w:rsidRDefault="00000000" w:rsidRPr="00000000" w14:paraId="00000070">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NDVI = -0.1 to 0.1 Çorak kayaları, kumu veya karı temsil eder</w:t>
      </w:r>
    </w:p>
    <w:p w:rsidR="00000000" w:rsidDel="00000000" w:rsidP="00000000" w:rsidRDefault="00000000" w:rsidRPr="00000000" w14:paraId="00000071">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NDVI = 0.2 to 0.5 Çalıları ve otlakları veya yaşlanan bitkileri temsil eder</w:t>
      </w:r>
    </w:p>
    <w:p w:rsidR="00000000" w:rsidDel="00000000" w:rsidP="00000000" w:rsidRDefault="00000000" w:rsidRPr="00000000" w14:paraId="00000072">
      <w:pPr>
        <w:numPr>
          <w:ilvl w:val="0"/>
          <w:numId w:val="1"/>
        </w:numPr>
        <w:spacing w:after="280" w:before="0" w:line="360" w:lineRule="auto"/>
        <w:ind w:left="720" w:hanging="360"/>
        <w:rPr>
          <w:rFonts w:ascii="Arial" w:cs="Arial" w:eastAsia="Arial" w:hAnsi="Arial"/>
        </w:rPr>
      </w:pPr>
      <w:r w:rsidDel="00000000" w:rsidR="00000000" w:rsidRPr="00000000">
        <w:rPr>
          <w:rFonts w:ascii="Arial" w:cs="Arial" w:eastAsia="Arial" w:hAnsi="Arial"/>
          <w:rtl w:val="0"/>
        </w:rPr>
        <w:t xml:space="preserve">NDVI = 0.6 to 1.0 Yoğun bitki örtüsünü veya tropikal yağmur ormanlarını temsil eder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Quattrocento Sans" w:cs="Quattrocento Sans" w:eastAsia="Quattrocento Sans" w:hAnsi="Quattrocento Sans"/>
          <w:b w:val="0"/>
          <w:i w:val="0"/>
          <w:smallCaps w:val="0"/>
          <w:strike w:val="0"/>
          <w:color w:val="2d3748"/>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Sağlıklı bitki örtüsü (klorofil), diğer dalga boylarına kıyasla daha yakın kızılötesi (NIR) ve yeşil ışığı yansıtır. Ancak daha fazla kırmızı ve mavi ışığı emer.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Quattrocento Sans" w:cs="Quattrocento Sans" w:eastAsia="Quattrocento Sans" w:hAnsi="Quattrocento Sans"/>
          <w:b w:val="0"/>
          <w:i w:val="0"/>
          <w:smallCaps w:val="0"/>
          <w:strike w:val="0"/>
          <w:color w:val="2d3748"/>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Bu nedenle gözlerimiz bitki örtüsünü </w:t>
      </w:r>
      <w:r w:rsidDel="00000000" w:rsidR="00000000" w:rsidRPr="00000000">
        <w:rPr>
          <w:rFonts w:ascii="Quattrocento Sans" w:cs="Quattrocento Sans" w:eastAsia="Quattrocento Sans" w:hAnsi="Quattrocento Sans"/>
          <w:b w:val="1"/>
          <w:i w:val="0"/>
          <w:smallCaps w:val="0"/>
          <w:strike w:val="0"/>
          <w:color w:val="2d3748"/>
          <w:sz w:val="26"/>
          <w:szCs w:val="26"/>
          <w:u w:val="none"/>
          <w:shd w:fill="auto" w:val="clear"/>
          <w:vertAlign w:val="baseline"/>
          <w:rtl w:val="0"/>
        </w:rPr>
        <w:t xml:space="preserve">yeşil renk</w:t>
      </w:r>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 olarak görür . Yakın-kızılötesini görebilseydiniz, o zaman bitki örtüsü için de güçlü olurdu. </w:t>
      </w:r>
      <w:hyperlink r:id="rId8">
        <w:r w:rsidDel="00000000" w:rsidR="00000000" w:rsidRPr="00000000">
          <w:rPr>
            <w:rFonts w:ascii="Quattrocento Sans" w:cs="Quattrocento Sans" w:eastAsia="Quattrocento Sans" w:hAnsi="Quattrocento Sans"/>
            <w:b w:val="1"/>
            <w:i w:val="0"/>
            <w:smallCaps w:val="0"/>
            <w:strike w:val="0"/>
            <w:color w:val="0000ff"/>
            <w:sz w:val="26"/>
            <w:szCs w:val="26"/>
            <w:u w:val="single"/>
            <w:shd w:fill="auto" w:val="clear"/>
            <w:vertAlign w:val="baseline"/>
            <w:rtl w:val="0"/>
          </w:rPr>
          <w:t xml:space="preserve">Landsat</w:t>
        </w:r>
      </w:hyperlink>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 ve </w:t>
      </w:r>
      <w:hyperlink r:id="rId9">
        <w:r w:rsidDel="00000000" w:rsidR="00000000" w:rsidRPr="00000000">
          <w:rPr>
            <w:rFonts w:ascii="Quattrocento Sans" w:cs="Quattrocento Sans" w:eastAsia="Quattrocento Sans" w:hAnsi="Quattrocento Sans"/>
            <w:b w:val="1"/>
            <w:i w:val="0"/>
            <w:smallCaps w:val="0"/>
            <w:strike w:val="0"/>
            <w:color w:val="0000ff"/>
            <w:sz w:val="26"/>
            <w:szCs w:val="26"/>
            <w:u w:val="single"/>
            <w:shd w:fill="auto" w:val="clear"/>
            <w:vertAlign w:val="baseline"/>
            <w:rtl w:val="0"/>
          </w:rPr>
          <w:t xml:space="preserve">Sentinel-2</w:t>
        </w:r>
      </w:hyperlink>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 gibi uydu sensörlerinin her ikisi de NIR ve kırmızı ile gerekli bantlara sahiptir.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Quattrocento Sans" w:cs="Quattrocento Sans" w:eastAsia="Quattrocento Sans" w:hAnsi="Quattrocento Sans"/>
          <w:b w:val="0"/>
          <w:i w:val="0"/>
          <w:smallCaps w:val="0"/>
          <w:strike w:val="0"/>
          <w:color w:val="2d3748"/>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Bu formülün sonucu -1 ile +1 arasında bir değer üretir. Kırmızı kanalda düşük yansıma (veya düşük değerler) ve NIR kanalında yüksek yansıma varsa, bu yüksek bir NDVI değeri verecektir. Ve tam tersi.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Quattrocento Sans" w:cs="Quattrocento Sans" w:eastAsia="Quattrocento Sans" w:hAnsi="Quattrocento Sans"/>
          <w:b w:val="0"/>
          <w:i w:val="0"/>
          <w:smallCaps w:val="0"/>
          <w:strike w:val="0"/>
          <w:color w:val="2d3748"/>
          <w:sz w:val="26"/>
          <w:szCs w:val="2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Genel olarak, NDVI sağlıklı bitki örtüsünü ölçmenin standart bir yoludur. NDVI değerleriniz yüksek olduğunda, daha sağlıklı bitki örtüsüne sahip olursunuz. Düşük NDVI'nız olduğunda, daha az bitkiniz olur veya hiç bitkiniz olmaz. Genel olarak, bitki örtüsünün zamanla değiştiğini görmek istiyorsanız, o zaman </w:t>
      </w:r>
      <w:hyperlink r:id="rId10">
        <w:r w:rsidDel="00000000" w:rsidR="00000000" w:rsidRPr="00000000">
          <w:rPr>
            <w:rFonts w:ascii="Quattrocento Sans" w:cs="Quattrocento Sans" w:eastAsia="Quattrocento Sans" w:hAnsi="Quattrocento Sans"/>
            <w:b w:val="1"/>
            <w:i w:val="0"/>
            <w:smallCaps w:val="0"/>
            <w:strike w:val="0"/>
            <w:color w:val="0000ff"/>
            <w:sz w:val="26"/>
            <w:szCs w:val="26"/>
            <w:u w:val="single"/>
            <w:shd w:fill="auto" w:val="clear"/>
            <w:vertAlign w:val="baseline"/>
            <w:rtl w:val="0"/>
          </w:rPr>
          <w:t xml:space="preserve">atmosferik düzeltme</w:t>
        </w:r>
      </w:hyperlink>
      <w:r w:rsidDel="00000000" w:rsidR="00000000" w:rsidRPr="00000000">
        <w:rPr>
          <w:rFonts w:ascii="Quattrocento Sans" w:cs="Quattrocento Sans" w:eastAsia="Quattrocento Sans" w:hAnsi="Quattrocento Sans"/>
          <w:b w:val="0"/>
          <w:i w:val="0"/>
          <w:smallCaps w:val="0"/>
          <w:strike w:val="0"/>
          <w:color w:val="2d3748"/>
          <w:sz w:val="26"/>
          <w:szCs w:val="26"/>
          <w:u w:val="none"/>
          <w:shd w:fill="auto" w:val="clear"/>
          <w:vertAlign w:val="baseline"/>
          <w:rtl w:val="0"/>
        </w:rPr>
        <w:t xml:space="preserve"> yapmanız gerekecektir </w:t>
      </w:r>
    </w:p>
    <w:p w:rsidR="00000000" w:rsidDel="00000000" w:rsidP="00000000" w:rsidRDefault="00000000" w:rsidRPr="00000000" w14:paraId="00000077">
      <w:pPr>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8">
      <w:pPr>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9">
      <w:pPr>
        <w:spacing w:after="280" w:before="280"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A">
      <w:pPr>
        <w:spacing w:after="280" w:before="280" w:line="36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Normalized Difference Built-up Index (NDBI):</w:t>
      </w:r>
    </w:p>
    <w:p w:rsidR="00000000" w:rsidDel="00000000" w:rsidP="00000000" w:rsidRDefault="00000000" w:rsidRPr="00000000" w14:paraId="0000007B">
      <w:pPr>
        <w:spacing w:after="280" w:before="280" w:line="240" w:lineRule="auto"/>
        <w:rPr>
          <w:rFonts w:ascii="Source Serif Pro" w:cs="Source Serif Pro" w:eastAsia="Source Serif Pro" w:hAnsi="Source Serif Pro"/>
          <w:sz w:val="24"/>
          <w:szCs w:val="24"/>
        </w:rPr>
      </w:pPr>
      <w:r w:rsidDel="00000000" w:rsidR="00000000" w:rsidRPr="00000000">
        <w:rPr>
          <w:rFonts w:ascii="Source Serif Pro" w:cs="Source Serif Pro" w:eastAsia="Source Serif Pro" w:hAnsi="Source Serif Pro"/>
          <w:b w:val="1"/>
          <w:sz w:val="30"/>
          <w:szCs w:val="30"/>
          <w:rtl w:val="0"/>
        </w:rPr>
        <w:t xml:space="preserve">NDBI = (SWIR – NIR) / (SWIR + NIR)</w:t>
      </w:r>
      <w:r w:rsidDel="00000000" w:rsidR="00000000" w:rsidRPr="00000000">
        <w:rPr>
          <w:rtl w:val="0"/>
        </w:rPr>
      </w:r>
    </w:p>
    <w:p w:rsidR="00000000" w:rsidDel="00000000" w:rsidP="00000000" w:rsidRDefault="00000000" w:rsidRPr="00000000" w14:paraId="0000007C">
      <w:pPr>
        <w:spacing w:after="280" w:before="280" w:line="240" w:lineRule="auto"/>
        <w:rPr>
          <w:rFonts w:ascii="Source Serif Pro" w:cs="Source Serif Pro" w:eastAsia="Source Serif Pro" w:hAnsi="Source Serif Pro"/>
          <w:sz w:val="24"/>
          <w:szCs w:val="24"/>
        </w:rPr>
      </w:pPr>
      <w:r w:rsidDel="00000000" w:rsidR="00000000" w:rsidRPr="00000000">
        <w:rPr>
          <w:rFonts w:ascii="Source Serif Pro" w:cs="Source Serif Pro" w:eastAsia="Source Serif Pro" w:hAnsi="Source Serif Pro"/>
          <w:sz w:val="24"/>
          <w:szCs w:val="24"/>
          <w:rtl w:val="0"/>
        </w:rPr>
        <w:t xml:space="preserve">For Landsat 7 data, NDBI = (Band 5 – Band 4) / (Band 5 + Band 4)</w:t>
      </w:r>
    </w:p>
    <w:p w:rsidR="00000000" w:rsidDel="00000000" w:rsidP="00000000" w:rsidRDefault="00000000" w:rsidRPr="00000000" w14:paraId="0000007D">
      <w:pPr>
        <w:spacing w:after="280" w:before="280" w:line="240" w:lineRule="auto"/>
        <w:rPr>
          <w:rFonts w:ascii="Source Serif Pro" w:cs="Source Serif Pro" w:eastAsia="Source Serif Pro" w:hAnsi="Source Serif Pro"/>
          <w:sz w:val="24"/>
          <w:szCs w:val="24"/>
        </w:rPr>
      </w:pPr>
      <w:r w:rsidDel="00000000" w:rsidR="00000000" w:rsidRPr="00000000">
        <w:rPr>
          <w:rFonts w:ascii="Source Serif Pro" w:cs="Source Serif Pro" w:eastAsia="Source Serif Pro" w:hAnsi="Source Serif Pro"/>
          <w:sz w:val="24"/>
          <w:szCs w:val="24"/>
          <w:rtl w:val="0"/>
        </w:rPr>
        <w:t xml:space="preserve">For Landsat 8 data, NDBI = (Band 6 – Band 5) / (Band 6 + Band 5)</w:t>
      </w:r>
    </w:p>
    <w:p w:rsidR="00000000" w:rsidDel="00000000" w:rsidP="00000000" w:rsidRDefault="00000000" w:rsidRPr="00000000" w14:paraId="0000007E">
      <w:pPr>
        <w:spacing w:after="280" w:before="280" w:line="240" w:lineRule="auto"/>
        <w:rPr>
          <w:rFonts w:ascii="Source Serif Pro" w:cs="Source Serif Pro" w:eastAsia="Source Serif Pro" w:hAnsi="Source Serif Pro"/>
          <w:sz w:val="24"/>
          <w:szCs w:val="24"/>
        </w:rPr>
      </w:pPr>
      <w:r w:rsidDel="00000000" w:rsidR="00000000" w:rsidRPr="00000000">
        <w:rPr>
          <w:rFonts w:ascii="Arial" w:cs="Arial" w:eastAsia="Arial" w:hAnsi="Arial"/>
          <w:color w:val="283030"/>
          <w:sz w:val="21"/>
          <w:szCs w:val="21"/>
          <w:highlight w:val="white"/>
          <w:rtl w:val="0"/>
        </w:rPr>
        <w:t xml:space="preserve">Bu endeks, yakın kızılötesi (NIR) bölgeye kıyasla kısa dalga kızılötesi (SWIR) bölgesinde tipik olarak daha yüksek bir yansımanın olduğu kentsel alanları vurgular. Uygulamalar, havza akışı tahminlerini ve arazi kullanım planlamasını içerir.</w:t>
      </w:r>
      <w:r w:rsidDel="00000000" w:rsidR="00000000" w:rsidRPr="00000000">
        <w:rPr>
          <w:rtl w:val="0"/>
        </w:rPr>
      </w:r>
    </w:p>
    <w:p w:rsidR="00000000" w:rsidDel="00000000" w:rsidP="00000000" w:rsidRDefault="00000000" w:rsidRPr="00000000" w14:paraId="0000007F">
      <w:pPr>
        <w:spacing w:after="280" w:before="280" w:line="360" w:lineRule="auto"/>
        <w:rPr>
          <w:rFonts w:ascii="Arial" w:cs="Arial" w:eastAsia="Arial" w:hAnsi="Arial"/>
          <w:b w:val="1"/>
          <w:sz w:val="24"/>
          <w:szCs w:val="24"/>
        </w:rPr>
      </w:pPr>
      <w:r w:rsidDel="00000000" w:rsidR="00000000" w:rsidRPr="00000000">
        <w:rPr>
          <w:rFonts w:ascii="Arial" w:cs="Arial" w:eastAsia="Arial" w:hAnsi="Arial"/>
          <w:b w:val="1"/>
          <w:sz w:val="28"/>
          <w:szCs w:val="28"/>
          <w:rtl w:val="0"/>
        </w:rPr>
        <w:t xml:space="preserve">Normalized Difference Water Index (NDWI):</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NDWI = (NIR – SWIR) / (NIR + SWIR)</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Landsat 7 data, NDWI = (Band 4 – Band 5) / (Band 4 + Band 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Landsat 8 data, NDWI = (Band 5 – Band 6) / (Band 5 + Band 6)</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66666"/>
          <w:sz w:val="22"/>
          <w:szCs w:val="22"/>
          <w:highlight w:val="white"/>
          <w:u w:val="none"/>
          <w:vertAlign w:val="baseline"/>
          <w:rtl w:val="0"/>
        </w:rPr>
        <w:t xml:space="preserve">Yangın riskini değerlendirmek için NDWI indeksi, bitki örtüsündeki nemin varlığını belirlemek için kullanılır. Daha yüksek NDWI değerleri yeterli nemi gösterirken, düşük bir değer su stresini gösterir. NDWI ürünü boyutsuzdur ve sert ağaç içeriğinin yanı sıra bitki örtüsü ve örtü tipine bağlı olarak -1 ile +1 arasında değişir. Yüksek NDWI değerleri (mavi), yüksek bitki su içeriğine ve yüksek bitki fraksiyonunun kaplanmasına karşılık gelir. Su stresi dönemlerinde NDWI oranı düşecektir.</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Arial"/>
  <w:font w:name="Source Serif Pro"/>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Balk3">
    <w:name w:val="heading 3"/>
    <w:basedOn w:val="Normal"/>
    <w:link w:val="Balk3Char"/>
    <w:uiPriority w:val="9"/>
    <w:qFormat w:val="1"/>
    <w:rsid w:val="00BD676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tr-TR"/>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NormalWeb">
    <w:name w:val="Normal (Web)"/>
    <w:basedOn w:val="Normal"/>
    <w:uiPriority w:val="99"/>
    <w:unhideWhenUsed w:val="1"/>
    <w:rsid w:val="00BD6768"/>
    <w:pPr>
      <w:spacing w:after="100" w:afterAutospacing="1" w:before="100" w:beforeAutospacing="1" w:line="240" w:lineRule="auto"/>
    </w:pPr>
    <w:rPr>
      <w:rFonts w:ascii="Times New Roman" w:cs="Times New Roman" w:eastAsia="Times New Roman" w:hAnsi="Times New Roman"/>
      <w:sz w:val="24"/>
      <w:szCs w:val="24"/>
      <w:lang w:eastAsia="tr-TR"/>
    </w:rPr>
  </w:style>
  <w:style w:type="character" w:styleId="Gl">
    <w:name w:val="Strong"/>
    <w:basedOn w:val="VarsaylanParagrafYazTipi"/>
    <w:uiPriority w:val="22"/>
    <w:qFormat w:val="1"/>
    <w:rsid w:val="00BD6768"/>
    <w:rPr>
      <w:b w:val="1"/>
      <w:bCs w:val="1"/>
    </w:rPr>
  </w:style>
  <w:style w:type="character" w:styleId="Balk3Char" w:customStyle="1">
    <w:name w:val="Başlık 3 Char"/>
    <w:basedOn w:val="VarsaylanParagrafYazTipi"/>
    <w:link w:val="Balk3"/>
    <w:uiPriority w:val="9"/>
    <w:rsid w:val="00BD6768"/>
    <w:rPr>
      <w:rFonts w:ascii="Times New Roman" w:cs="Times New Roman" w:eastAsia="Times New Roman" w:hAnsi="Times New Roman"/>
      <w:b w:val="1"/>
      <w:bCs w:val="1"/>
      <w:sz w:val="27"/>
      <w:szCs w:val="27"/>
      <w:lang w:eastAsia="tr-TR"/>
    </w:rPr>
  </w:style>
  <w:style w:type="character" w:styleId="Kpr">
    <w:name w:val="Hyperlink"/>
    <w:basedOn w:val="VarsaylanParagrafYazTipi"/>
    <w:uiPriority w:val="99"/>
    <w:semiHidden w:val="1"/>
    <w:unhideWhenUsed w:val="1"/>
    <w:rsid w:val="007D717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sgeography.com/atmospheric-correction/" TargetMode="External"/><Relationship Id="rId9" Type="http://schemas.openxmlformats.org/officeDocument/2006/relationships/hyperlink" Target="https://gisgeography.com/how-to-download-sentinel-satellite-da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sgeography.com/landsat-program-satellite-imagery-ba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Crr5Pw1A9HKaeHdaDWzh2XJvA==">CgMxLjA4AHIhMUhwZ1Z3MVAxVGpreDA3LS1NZGstUWs4UDRUTDNZVnUz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2022-05-17T09:48:00Z</dcterms:created>
  <dc:creator>Ahmet Kargın</dc:creator>
</cp:coreProperties>
</file>