
<file path=[Content_Types].xml><?xml version="1.0" encoding="utf-8"?>
<Types xmlns="http://schemas.openxmlformats.org/package/2006/content-types">
  <Default ContentType="application/xml" Extension="xml"/>
  <Default ContentType="application/x-font-ttf" Extension="ttf"/>
  <Default ContentType="image/png" Extension="png"/>
  <Default ContentType="application/vnd.openxmlformats-package.relationships+xml" Extension="rels"/>
  <Override ContentType="application/vnd.openxmlformats-officedocument.wordprocessingml.settings+xml" PartName="/word/settings.xml"/>
  <Override ContentType="application/xml" PartName="/customXML/item1.xml"/>
  <Override ContentType="application/vnd.openxmlformats-officedocument.custom-properties+xml" PartName="/docProps/custom.xml"/>
  <Override ContentType="application/vnd.openxmlformats-officedocument.customXmlProperties+xml" PartName="/customXML/itemProps1.xml"/>
  <Override ContentType="application/vnd.openxmlformats-officedocument.wordprocessingml.styles+xml" PartName="/word/styles.xml"/>
  <Override ContentType="application/vnd.openxmlformats-officedocument.wordprocessingml.footer+xml" PartName="/word/footer2.xml"/>
  <Override ContentType="application/vnd.openxmlformats-officedocument.wordprocessingml.footer+xml" PartName="/word/footer1.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package.core-properties+xml" PartName="/docProps/core.xml"/>
  <Override ContentType="application/vnd.openxmlformats-officedocument.wordprocessingml.document.main+xml" PartName="/word/document.xml"/>
  <Override ContentType="application/vnd.openxmlformats-officedocument.theme+xml" PartName="/word/theme/theme1.xml"/>
  <Override ContentType="application/vnd.openxmlformats-officedocument.wordprocessingml.header+xml" PartName="/word/header3.xml"/>
  <Override ContentType="application/vnd.openxmlformats-officedocument.wordprocessingml.header+xml" PartName="/word/header2.xml"/>
  <Override ContentType="application/vnd.openxmlformats-officedocument.wordprocessingml.header+xml" PartName="/word/header1.xml"/>
</Types>
</file>

<file path=_rels/.rels><?xml version="1.0" encoding="UTF-8" standalone="yes"?><Relationships xmlns="http://schemas.openxmlformats.org/package/2006/relationships"><Relationship Id="rId1" Type="http://schemas.openxmlformats.org/officeDocument/2006/relationships/custom-properties" Target="docProps/custom.xml"/><Relationship Id="rId2" Type="http://schemas.openxmlformats.org/package/2006/relationships/metadata/core-properties" Target="docProps/core.xml"/><Relationship Id="rId3"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pBdr>
          <w:top w:space="0" w:sz="0" w:val="nil"/>
          <w:left w:space="0" w:sz="0" w:val="nil"/>
          <w:bottom w:space="0" w:sz="0" w:val="nil"/>
          <w:right w:space="0" w:sz="0" w:val="nil"/>
          <w:between w:space="0" w:sz="0" w:val="nil"/>
        </w:pBdr>
        <w:spacing w:before="240" w:lineRule="auto"/>
        <w:ind w:firstLine="720"/>
        <w:rPr>
          <w:i w:val="1"/>
        </w:rPr>
      </w:pPr>
      <w:r w:rsidDel="00000000" w:rsidR="00000000" w:rsidRPr="00000000">
        <w:rPr>
          <w:i w:val="1"/>
          <w:rtl w:val="0"/>
        </w:rPr>
        <w:t xml:space="preserve"> </w:t>
      </w:r>
      <w:r w:rsidDel="00000000" w:rsidR="00000000" w:rsidRPr="00000000">
        <w:rPr>
          <w:i w:val="1"/>
          <w:rtl w:val="0"/>
        </w:rPr>
        <w:t xml:space="preserve">Article</w:t>
      </w:r>
    </w:p>
    <w:p w:rsidR="00000000" w:rsidDel="00000000" w:rsidP="00000000" w:rsidRDefault="00000000" w:rsidRPr="00000000" w14:paraId="00000002">
      <w:pPr>
        <w:pBdr>
          <w:top w:space="0" w:sz="0" w:val="nil"/>
          <w:left w:space="0" w:sz="0" w:val="nil"/>
          <w:bottom w:space="0" w:sz="0" w:val="nil"/>
          <w:right w:space="0" w:sz="0" w:val="nil"/>
          <w:between w:space="0" w:sz="0" w:val="nil"/>
        </w:pBdr>
        <w:spacing w:after="240" w:lineRule="auto"/>
        <w:ind w:firstLine="720"/>
        <w:rPr>
          <w:b w:val="1"/>
        </w:rPr>
      </w:pPr>
      <w:r w:rsidDel="00000000" w:rsidR="00000000" w:rsidRPr="00000000">
        <w:rPr>
          <w:b w:val="1"/>
          <w:rtl w:val="0"/>
        </w:rPr>
        <w:t xml:space="preserve">Supporting Resilience Building and Mitigating Burnout: A Pilot Study Exploring an Evidence-Based mHealth Intervention for Healthcare Workers in Brazil</w:t>
      </w:r>
    </w:p>
    <w:p w:rsidR="00000000" w:rsidDel="00000000" w:rsidP="00000000" w:rsidRDefault="00000000" w:rsidRPr="00000000" w14:paraId="00000003">
      <w:pPr>
        <w:pBdr>
          <w:top w:space="0" w:sz="0" w:val="nil"/>
          <w:left w:space="0" w:sz="0" w:val="nil"/>
          <w:bottom w:space="0" w:sz="0" w:val="nil"/>
          <w:right w:space="0" w:sz="0" w:val="nil"/>
          <w:between w:space="0" w:sz="0" w:val="nil"/>
        </w:pBdr>
        <w:spacing w:after="360" w:lineRule="auto"/>
        <w:rPr>
          <w:b w:val="1"/>
        </w:rPr>
      </w:pPr>
      <w:r w:rsidDel="00000000" w:rsidR="00000000" w:rsidRPr="00000000">
        <w:rPr>
          <w:b w:val="1"/>
          <w:rtl w:val="0"/>
        </w:rPr>
        <w:t xml:space="preserve">Mario Rodrigues</w:t>
      </w:r>
      <w:r w:rsidDel="00000000" w:rsidR="00000000" w:rsidRPr="00000000">
        <w:rPr>
          <w:b w:val="1"/>
          <w:vertAlign w:val="superscript"/>
          <w:rtl w:val="0"/>
        </w:rPr>
        <w:t xml:space="preserve">1</w:t>
      </w:r>
      <w:r w:rsidDel="00000000" w:rsidR="00000000" w:rsidRPr="00000000">
        <w:rPr>
          <w:b w:val="1"/>
          <w:rtl w:val="0"/>
        </w:rPr>
        <w:t xml:space="preserve">, Daniela Achette</w:t>
      </w:r>
      <w:r w:rsidDel="00000000" w:rsidR="00000000" w:rsidRPr="00000000">
        <w:rPr>
          <w:b w:val="1"/>
          <w:vertAlign w:val="superscript"/>
          <w:rtl w:val="0"/>
        </w:rPr>
        <w:t xml:space="preserve">2</w:t>
      </w:r>
      <w:r w:rsidDel="00000000" w:rsidR="00000000" w:rsidRPr="00000000">
        <w:rPr>
          <w:b w:val="1"/>
          <w:rtl w:val="0"/>
        </w:rPr>
        <w:t xml:space="preserve">, Cristiana Costa Gomes</w:t>
      </w:r>
      <w:r w:rsidDel="00000000" w:rsidR="00000000" w:rsidRPr="00000000">
        <w:rPr>
          <w:b w:val="1"/>
          <w:vertAlign w:val="superscript"/>
          <w:rtl w:val="0"/>
        </w:rPr>
        <w:t xml:space="preserve">3</w:t>
      </w:r>
      <w:r w:rsidDel="00000000" w:rsidR="00000000" w:rsidRPr="00000000">
        <w:rPr>
          <w:b w:val="1"/>
          <w:rtl w:val="0"/>
        </w:rPr>
        <w:t xml:space="preserve">, Dara L. James</w:t>
      </w:r>
      <w:r w:rsidDel="00000000" w:rsidR="00000000" w:rsidRPr="00000000">
        <w:rPr>
          <w:b w:val="1"/>
          <w:vertAlign w:val="superscript"/>
          <w:rtl w:val="0"/>
        </w:rPr>
        <w:t xml:space="preserve">4</w:t>
      </w:r>
      <w:r w:rsidDel="00000000" w:rsidR="00000000" w:rsidRPr="00000000">
        <w:rPr>
          <w:b w:val="1"/>
          <w:rtl w:val="0"/>
        </w:rPr>
        <w:t xml:space="preserve">, Ademir Jose Petenate</w:t>
      </w:r>
      <w:r w:rsidDel="00000000" w:rsidR="00000000" w:rsidRPr="00000000">
        <w:rPr>
          <w:b w:val="1"/>
          <w:vertAlign w:val="superscript"/>
          <w:rtl w:val="0"/>
        </w:rPr>
        <w:t xml:space="preserve">5</w:t>
      </w:r>
      <w:r w:rsidDel="00000000" w:rsidR="00000000" w:rsidRPr="00000000">
        <w:rPr>
          <w:b w:val="1"/>
          <w:rtl w:val="0"/>
        </w:rPr>
        <w:t xml:space="preserve">, Maria Eduarda Teixeira Caetano</w:t>
      </w:r>
      <w:r w:rsidDel="00000000" w:rsidR="00000000" w:rsidRPr="00000000">
        <w:rPr>
          <w:b w:val="1"/>
          <w:vertAlign w:val="superscript"/>
          <w:rtl w:val="0"/>
        </w:rPr>
        <w:t xml:space="preserve">6</w:t>
      </w:r>
      <w:r w:rsidDel="00000000" w:rsidR="00000000" w:rsidRPr="00000000">
        <w:rPr>
          <w:b w:val="1"/>
          <w:rtl w:val="0"/>
        </w:rPr>
        <w:t xml:space="preserve">, Beatriz Caires Pego</w:t>
      </w:r>
      <w:r w:rsidDel="00000000" w:rsidR="00000000" w:rsidRPr="00000000">
        <w:rPr>
          <w:b w:val="1"/>
          <w:vertAlign w:val="superscript"/>
          <w:rtl w:val="0"/>
        </w:rPr>
        <w:t xml:space="preserve">7</w:t>
      </w:r>
      <w:r w:rsidDel="00000000" w:rsidR="00000000" w:rsidRPr="00000000">
        <w:rPr>
          <w:b w:val="1"/>
          <w:rtl w:val="0"/>
        </w:rPr>
        <w:t xml:space="preserve">,  Melina Ferreira Herculano</w:t>
      </w:r>
      <w:r w:rsidDel="00000000" w:rsidR="00000000" w:rsidRPr="00000000">
        <w:rPr>
          <w:b w:val="1"/>
          <w:vertAlign w:val="superscript"/>
          <w:rtl w:val="0"/>
        </w:rPr>
        <w:t xml:space="preserve">8 </w:t>
      </w:r>
      <w:r w:rsidDel="00000000" w:rsidR="00000000" w:rsidRPr="00000000">
        <w:rPr>
          <w:b w:val="1"/>
          <w:rtl w:val="0"/>
        </w:rPr>
        <w:t xml:space="preserve">, Sarah Mullane</w:t>
      </w:r>
      <w:r w:rsidDel="00000000" w:rsidR="00000000" w:rsidRPr="00000000">
        <w:rPr>
          <w:b w:val="1"/>
          <w:vertAlign w:val="superscript"/>
          <w:rtl w:val="0"/>
        </w:rPr>
        <w:t xml:space="preserve">9</w:t>
      </w:r>
      <w:r w:rsidDel="00000000" w:rsidR="00000000" w:rsidRPr="00000000">
        <w:rPr>
          <w:b w:val="1"/>
          <w:rtl w:val="0"/>
        </w:rPr>
        <w:t xml:space="preserve">, Meyrielle Belotti</w:t>
      </w:r>
      <w:r w:rsidDel="00000000" w:rsidR="00000000" w:rsidRPr="00000000">
        <w:rPr>
          <w:b w:val="1"/>
          <w:vertAlign w:val="superscript"/>
          <w:rtl w:val="0"/>
        </w:rPr>
        <w:t xml:space="preserve">10</w:t>
      </w:r>
      <w:r w:rsidDel="00000000" w:rsidR="00000000" w:rsidRPr="00000000">
        <w:rPr>
          <w:b w:val="1"/>
          <w:rtl w:val="0"/>
        </w:rPr>
        <w:t xml:space="preserve">, Tanya Kapoor</w:t>
      </w:r>
      <w:r w:rsidDel="00000000" w:rsidR="00000000" w:rsidRPr="00000000">
        <w:rPr>
          <w:b w:val="1"/>
          <w:vertAlign w:val="superscript"/>
          <w:rtl w:val="0"/>
        </w:rPr>
        <w:t xml:space="preserve">11</w:t>
      </w:r>
      <w:r w:rsidDel="00000000" w:rsidR="00000000" w:rsidRPr="00000000">
        <w:rPr>
          <w:b w:val="1"/>
          <w:rtl w:val="0"/>
        </w:rPr>
        <w:t xml:space="preserve">, Anna Dixon</w:t>
      </w:r>
      <w:r w:rsidDel="00000000" w:rsidR="00000000" w:rsidRPr="00000000">
        <w:rPr>
          <w:b w:val="1"/>
          <w:vertAlign w:val="superscript"/>
          <w:rtl w:val="0"/>
        </w:rPr>
        <w:t xml:space="preserve">12</w:t>
      </w:r>
      <w:r w:rsidDel="00000000" w:rsidR="00000000" w:rsidRPr="00000000">
        <w:rPr>
          <w:b w:val="1"/>
          <w:rtl w:val="0"/>
        </w:rPr>
        <w:t xml:space="preserve">, Lilianna Bagnoli</w:t>
      </w:r>
      <w:r w:rsidDel="00000000" w:rsidR="00000000" w:rsidRPr="00000000">
        <w:rPr>
          <w:b w:val="1"/>
          <w:vertAlign w:val="superscript"/>
          <w:rtl w:val="0"/>
        </w:rPr>
        <w:t xml:space="preserve">13</w:t>
      </w:r>
      <w:r w:rsidDel="00000000" w:rsidR="00000000" w:rsidRPr="00000000">
        <w:rPr>
          <w:b w:val="1"/>
          <w:rtl w:val="0"/>
        </w:rPr>
        <w:t xml:space="preserve">, Samantha Paige</w:t>
      </w:r>
      <w:r w:rsidDel="00000000" w:rsidR="00000000" w:rsidRPr="00000000">
        <w:rPr>
          <w:b w:val="1"/>
          <w:vertAlign w:val="superscript"/>
          <w:rtl w:val="0"/>
        </w:rPr>
        <w:t xml:space="preserve">14</w:t>
      </w:r>
      <w:r w:rsidDel="00000000" w:rsidR="00000000" w:rsidRPr="00000000">
        <w:rPr>
          <w:b w:val="1"/>
          <w:rtl w:val="0"/>
        </w:rPr>
        <w:t xml:space="preserve">,  Paulo Borem</w:t>
      </w:r>
      <w:r w:rsidDel="00000000" w:rsidR="00000000" w:rsidRPr="00000000">
        <w:rPr>
          <w:b w:val="1"/>
          <w:vertAlign w:val="superscript"/>
          <w:rtl w:val="0"/>
        </w:rPr>
        <w:t xml:space="preserve">15</w:t>
      </w:r>
      <w:r w:rsidDel="00000000" w:rsidR="00000000" w:rsidRPr="00000000">
        <w:rPr>
          <w:rtl w:val="0"/>
        </w:rPr>
      </w:r>
    </w:p>
    <w:p w:rsidR="00000000" w:rsidDel="00000000" w:rsidP="00000000" w:rsidRDefault="00000000" w:rsidRPr="00000000" w14:paraId="00000004">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720"/>
        <w:jc w:val="left"/>
        <w:rPr/>
      </w:pPr>
      <w:r w:rsidDel="00000000" w:rsidR="00000000" w:rsidRPr="00000000">
        <w:rPr>
          <w:rtl w:val="0"/>
        </w:rPr>
        <w:t xml:space="preserve">1Psychologist, Syrian-Lebanese Hospital: mario.rodrigues@hsl.org.br</w:t>
      </w:r>
    </w:p>
    <w:p w:rsidR="00000000" w:rsidDel="00000000" w:rsidP="00000000" w:rsidRDefault="00000000" w:rsidRPr="00000000" w14:paraId="00000005">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720"/>
        <w:jc w:val="left"/>
        <w:rPr/>
      </w:pPr>
      <w:r w:rsidDel="00000000" w:rsidR="00000000" w:rsidRPr="00000000">
        <w:rPr>
          <w:rtl w:val="0"/>
        </w:rPr>
        <w:t xml:space="preserve">2 Psychology coordinator, Syrian-Lebanese Hospital: daniela.achette@hsl.org.br</w:t>
      </w:r>
      <w:r w:rsidDel="00000000" w:rsidR="00000000" w:rsidRPr="00000000">
        <w:rPr>
          <w:rtl w:val="0"/>
        </w:rPr>
      </w:r>
    </w:p>
    <w:p w:rsidR="00000000" w:rsidDel="00000000" w:rsidP="00000000" w:rsidRDefault="00000000" w:rsidRPr="00000000" w14:paraId="00000006">
      <w:pPr>
        <w:pBdr>
          <w:top w:space="0" w:sz="0" w:val="nil"/>
          <w:left w:space="0" w:sz="0" w:val="nil"/>
          <w:bottom w:space="0" w:sz="0" w:val="nil"/>
          <w:right w:space="0" w:sz="0" w:val="nil"/>
          <w:between w:space="0" w:sz="0" w:val="nil"/>
        </w:pBdr>
        <w:ind w:firstLine="720"/>
        <w:rPr/>
      </w:pPr>
      <w:r w:rsidDel="00000000" w:rsidR="00000000" w:rsidRPr="00000000">
        <w:rPr>
          <w:rtl w:val="0"/>
        </w:rPr>
        <w:t xml:space="preserve">3 Dados Cristiana</w:t>
      </w:r>
    </w:p>
    <w:p w:rsidR="00000000" w:rsidDel="00000000" w:rsidP="00000000" w:rsidRDefault="00000000" w:rsidRPr="00000000" w14:paraId="00000007">
      <w:pPr>
        <w:pBdr>
          <w:top w:space="0" w:sz="0" w:val="nil"/>
          <w:left w:space="0" w:sz="0" w:val="nil"/>
          <w:bottom w:space="0" w:sz="0" w:val="nil"/>
          <w:right w:space="0" w:sz="0" w:val="nil"/>
          <w:between w:space="0" w:sz="0" w:val="nil"/>
        </w:pBdr>
        <w:ind w:firstLine="720"/>
        <w:rPr/>
      </w:pPr>
      <w:r w:rsidDel="00000000" w:rsidR="00000000" w:rsidRPr="00000000">
        <w:rPr>
          <w:rtl w:val="0"/>
        </w:rPr>
        <w:t xml:space="preserve">4 Artech; </w:t>
      </w:r>
      <w:hyperlink r:id="rId7">
        <w:r w:rsidDel="00000000" w:rsidR="00000000" w:rsidRPr="00000000">
          <w:rPr>
            <w:rtl w:val="0"/>
          </w:rPr>
          <w:t xml:space="preserve">DJames13@its.jnj.com</w:t>
        </w:r>
      </w:hyperlink>
      <w:r w:rsidDel="00000000" w:rsidR="00000000" w:rsidRPr="00000000">
        <w:rPr>
          <w:rtl w:val="0"/>
        </w:rPr>
        <w:t xml:space="preserve">; darithjames@gmail.com</w:t>
      </w:r>
    </w:p>
    <w:p w:rsidR="00000000" w:rsidDel="00000000" w:rsidP="00000000" w:rsidRDefault="00000000" w:rsidRPr="00000000" w14:paraId="00000008">
      <w:pPr>
        <w:pBdr>
          <w:top w:space="0" w:sz="0" w:val="nil"/>
          <w:left w:space="0" w:sz="0" w:val="nil"/>
          <w:bottom w:space="0" w:sz="0" w:val="nil"/>
          <w:right w:space="0" w:sz="0" w:val="nil"/>
          <w:between w:space="0" w:sz="0" w:val="nil"/>
        </w:pBdr>
        <w:ind w:firstLine="720"/>
        <w:rPr/>
      </w:pPr>
      <w:r w:rsidDel="00000000" w:rsidR="00000000" w:rsidRPr="00000000">
        <w:rPr>
          <w:rtl w:val="0"/>
        </w:rPr>
        <w:t xml:space="preserve">5 Faculty, IHI, Ph.D. ademirjp@gmail.com</w:t>
      </w:r>
    </w:p>
    <w:p w:rsidR="00000000" w:rsidDel="00000000" w:rsidP="00000000" w:rsidRDefault="00000000" w:rsidRPr="00000000" w14:paraId="00000009">
      <w:pPr>
        <w:pBdr>
          <w:top w:space="0" w:sz="0" w:val="nil"/>
          <w:left w:space="0" w:sz="0" w:val="nil"/>
          <w:bottom w:space="0" w:sz="0" w:val="nil"/>
          <w:right w:space="0" w:sz="0" w:val="nil"/>
          <w:between w:space="0" w:sz="0" w:val="nil"/>
        </w:pBdr>
        <w:ind w:firstLine="720"/>
        <w:rPr/>
      </w:pPr>
      <w:r w:rsidDel="00000000" w:rsidR="00000000" w:rsidRPr="00000000">
        <w:rPr>
          <w:rtl w:val="0"/>
        </w:rPr>
        <w:t xml:space="preserve">6  Federal University of Espírito Santo: maria.caetano@edu.ufes.br</w:t>
      </w:r>
    </w:p>
    <w:p w:rsidR="00000000" w:rsidDel="00000000" w:rsidP="00000000" w:rsidRDefault="00000000" w:rsidRPr="00000000" w14:paraId="0000000A">
      <w:pPr>
        <w:pBdr>
          <w:top w:space="0" w:sz="0" w:val="nil"/>
          <w:left w:space="0" w:sz="0" w:val="nil"/>
          <w:bottom w:space="0" w:sz="0" w:val="nil"/>
          <w:right w:space="0" w:sz="0" w:val="nil"/>
          <w:between w:space="0" w:sz="0" w:val="nil"/>
        </w:pBdr>
        <w:ind w:firstLine="720"/>
        <w:rPr/>
      </w:pPr>
      <w:r w:rsidDel="00000000" w:rsidR="00000000" w:rsidRPr="00000000">
        <w:rPr>
          <w:rtl w:val="0"/>
        </w:rPr>
        <w:t xml:space="preserve">7  Federal University of Espírito Santo beatriz.pego@edu.ufes.br</w:t>
      </w:r>
    </w:p>
    <w:p w:rsidR="00000000" w:rsidDel="00000000" w:rsidP="00000000" w:rsidRDefault="00000000" w:rsidRPr="00000000" w14:paraId="0000000B">
      <w:pPr>
        <w:pBdr>
          <w:top w:space="0" w:sz="0" w:val="nil"/>
          <w:left w:space="0" w:sz="0" w:val="nil"/>
          <w:bottom w:space="0" w:sz="0" w:val="nil"/>
          <w:right w:space="0" w:sz="0" w:val="nil"/>
          <w:between w:space="0" w:sz="0" w:val="nil"/>
        </w:pBdr>
        <w:ind w:firstLine="720"/>
        <w:rPr/>
      </w:pPr>
      <w:r w:rsidDel="00000000" w:rsidR="00000000" w:rsidRPr="00000000">
        <w:rPr>
          <w:rtl w:val="0"/>
        </w:rPr>
        <w:t xml:space="preserve">8 Federal University of Espírito Santo: melina.herculano@edu.ufes.br</w:t>
      </w:r>
    </w:p>
    <w:p w:rsidR="00000000" w:rsidDel="00000000" w:rsidP="00000000" w:rsidRDefault="00000000" w:rsidRPr="00000000" w14:paraId="0000000C">
      <w:pPr>
        <w:pBdr>
          <w:top w:space="0" w:sz="0" w:val="nil"/>
          <w:left w:space="0" w:sz="0" w:val="nil"/>
          <w:bottom w:space="0" w:sz="0" w:val="nil"/>
          <w:right w:space="0" w:sz="0" w:val="nil"/>
          <w:between w:space="0" w:sz="0" w:val="nil"/>
        </w:pBdr>
        <w:ind w:left="0" w:firstLine="0"/>
        <w:rPr/>
      </w:pPr>
      <w:r w:rsidDel="00000000" w:rsidR="00000000" w:rsidRPr="00000000">
        <w:rPr>
          <w:rtl w:val="0"/>
        </w:rPr>
        <w:t xml:space="preserve">            9 Director, Johnson &amp; Johnson Foundation; SMullan1@its.jnj.com</w:t>
      </w:r>
    </w:p>
    <w:p w:rsidR="00000000" w:rsidDel="00000000" w:rsidP="00000000" w:rsidRDefault="00000000" w:rsidRPr="00000000" w14:paraId="0000000D">
      <w:pPr>
        <w:pBdr>
          <w:top w:space="0" w:sz="0" w:val="nil"/>
          <w:left w:space="0" w:sz="0" w:val="nil"/>
          <w:bottom w:space="0" w:sz="0" w:val="nil"/>
          <w:right w:space="0" w:sz="0" w:val="nil"/>
          <w:between w:space="0" w:sz="0" w:val="nil"/>
        </w:pBdr>
        <w:ind w:firstLine="720"/>
        <w:rPr/>
      </w:pPr>
      <w:r w:rsidDel="00000000" w:rsidR="00000000" w:rsidRPr="00000000">
        <w:rPr>
          <w:rtl w:val="0"/>
        </w:rPr>
        <w:t xml:space="preserve">10  Federal University of Espírito Santo: meyrielle.belotti@ufes.br</w:t>
      </w:r>
    </w:p>
    <w:p w:rsidR="00000000" w:rsidDel="00000000" w:rsidP="00000000" w:rsidRDefault="00000000" w:rsidRPr="00000000" w14:paraId="0000000E">
      <w:pPr>
        <w:pBdr>
          <w:top w:space="0" w:sz="0" w:val="nil"/>
          <w:left w:space="0" w:sz="0" w:val="nil"/>
          <w:bottom w:space="0" w:sz="0" w:val="nil"/>
          <w:right w:space="0" w:sz="0" w:val="nil"/>
          <w:between w:space="0" w:sz="0" w:val="nil"/>
        </w:pBdr>
        <w:ind w:firstLine="720"/>
        <w:rPr/>
      </w:pPr>
      <w:r w:rsidDel="00000000" w:rsidR="00000000" w:rsidRPr="00000000">
        <w:rPr>
          <w:rtl w:val="0"/>
        </w:rPr>
        <w:t xml:space="preserve">11. Dimagi Project Manager, tkapoor@dimagi.com</w:t>
      </w:r>
    </w:p>
    <w:p w:rsidR="00000000" w:rsidDel="00000000" w:rsidP="00000000" w:rsidRDefault="00000000" w:rsidRPr="00000000" w14:paraId="0000000F">
      <w:pPr>
        <w:pBdr>
          <w:top w:space="0" w:sz="0" w:val="nil"/>
          <w:left w:space="0" w:sz="0" w:val="nil"/>
          <w:bottom w:space="0" w:sz="0" w:val="nil"/>
          <w:right w:space="0" w:sz="0" w:val="nil"/>
          <w:between w:space="0" w:sz="0" w:val="nil"/>
        </w:pBdr>
        <w:ind w:firstLine="720"/>
        <w:rPr/>
      </w:pPr>
      <w:r w:rsidDel="00000000" w:rsidR="00000000" w:rsidRPr="00000000">
        <w:rPr>
          <w:rtl w:val="0"/>
        </w:rPr>
        <w:t xml:space="preserve">12. PhD, Applied Research Scientist, Dimagi</w:t>
      </w:r>
    </w:p>
    <w:p w:rsidR="00000000" w:rsidDel="00000000" w:rsidP="00000000" w:rsidRDefault="00000000" w:rsidRPr="00000000" w14:paraId="00000010">
      <w:pPr>
        <w:pBdr>
          <w:top w:space="0" w:sz="0" w:val="nil"/>
          <w:left w:space="0" w:sz="0" w:val="nil"/>
          <w:bottom w:space="0" w:sz="0" w:val="nil"/>
          <w:right w:space="0" w:sz="0" w:val="nil"/>
          <w:between w:space="0" w:sz="0" w:val="nil"/>
        </w:pBdr>
        <w:ind w:firstLine="720"/>
        <w:rPr/>
      </w:pPr>
      <w:r w:rsidDel="00000000" w:rsidR="00000000" w:rsidRPr="00000000">
        <w:rPr>
          <w:rtl w:val="0"/>
        </w:rPr>
        <w:t xml:space="preserve">13. Associate Director, Impact Lab, Dimagi</w:t>
      </w:r>
    </w:p>
    <w:p w:rsidR="00000000" w:rsidDel="00000000" w:rsidP="00000000" w:rsidRDefault="00000000" w:rsidRPr="00000000" w14:paraId="00000011">
      <w:pPr>
        <w:pBdr>
          <w:top w:space="0" w:sz="0" w:val="nil"/>
          <w:left w:space="0" w:sz="0" w:val="nil"/>
          <w:bottom w:space="0" w:sz="0" w:val="nil"/>
          <w:right w:space="0" w:sz="0" w:val="nil"/>
          <w:between w:space="0" w:sz="0" w:val="nil"/>
        </w:pBdr>
        <w:ind w:firstLine="720"/>
        <w:rPr/>
      </w:pPr>
      <w:r w:rsidDel="00000000" w:rsidR="00000000" w:rsidRPr="00000000">
        <w:rPr>
          <w:rtl w:val="0"/>
        </w:rPr>
        <w:t xml:space="preserve">14. Johnson &amp; Johnson; </w:t>
      </w:r>
      <w:hyperlink r:id="rId8">
        <w:r w:rsidDel="00000000" w:rsidR="00000000" w:rsidRPr="00000000">
          <w:rPr>
            <w:rtl w:val="0"/>
          </w:rPr>
          <w:t xml:space="preserve">SPaige@its.jnj.com</w:t>
        </w:r>
      </w:hyperlink>
      <w:r w:rsidDel="00000000" w:rsidR="00000000" w:rsidRPr="00000000">
        <w:rPr>
          <w:rtl w:val="0"/>
        </w:rPr>
        <w:t xml:space="preserve">; </w:t>
      </w:r>
      <w:r w:rsidDel="00000000" w:rsidR="00000000" w:rsidRPr="00000000">
        <w:rPr>
          <w:rtl w:val="0"/>
        </w:rPr>
        <w:t xml:space="preserve"> </w:t>
      </w:r>
      <w:r w:rsidDel="00000000" w:rsidR="00000000" w:rsidRPr="00000000">
        <w:rPr>
          <w:rtl w:val="0"/>
        </w:rPr>
        <w:t xml:space="preserve">Samantha.r.paige@gmail.com</w:t>
      </w:r>
      <w:r w:rsidDel="00000000" w:rsidR="00000000" w:rsidRPr="00000000">
        <w:rPr>
          <w:rtl w:val="0"/>
        </w:rPr>
      </w:r>
    </w:p>
    <w:p w:rsidR="00000000" w:rsidDel="00000000" w:rsidP="00000000" w:rsidRDefault="00000000" w:rsidRPr="00000000" w14:paraId="00000012">
      <w:pPr>
        <w:pBdr>
          <w:top w:space="0" w:sz="0" w:val="nil"/>
          <w:left w:space="0" w:sz="0" w:val="nil"/>
          <w:bottom w:space="0" w:sz="0" w:val="nil"/>
          <w:right w:space="0" w:sz="0" w:val="nil"/>
          <w:between w:space="0" w:sz="0" w:val="nil"/>
        </w:pBdr>
        <w:ind w:firstLine="720"/>
        <w:rPr/>
      </w:pPr>
      <w:r w:rsidDel="00000000" w:rsidR="00000000" w:rsidRPr="00000000">
        <w:rPr>
          <w:rtl w:val="0"/>
        </w:rPr>
        <w:t xml:space="preserve">15. Senior Director, IHI. MD</w:t>
      </w:r>
      <w:r w:rsidDel="00000000" w:rsidR="00000000" w:rsidRPr="00000000">
        <w:rPr>
          <w:rtl w:val="0"/>
        </w:rPr>
        <w:t xml:space="preserve">. pborem@ihi.org</w:t>
      </w:r>
    </w:p>
    <w:p w:rsidR="00000000" w:rsidDel="00000000" w:rsidP="00000000" w:rsidRDefault="00000000" w:rsidRPr="00000000" w14:paraId="00000013">
      <w:pPr>
        <w:pBdr>
          <w:top w:space="0" w:sz="0" w:val="nil"/>
          <w:left w:space="0" w:sz="0" w:val="nil"/>
          <w:bottom w:space="0" w:sz="0" w:val="nil"/>
          <w:right w:space="0" w:sz="0" w:val="nil"/>
          <w:between w:space="0" w:sz="0" w:val="nil"/>
        </w:pBdr>
        <w:ind w:firstLine="720"/>
        <w:rPr/>
      </w:pPr>
      <w:r w:rsidDel="00000000" w:rsidR="00000000" w:rsidRPr="00000000">
        <w:rPr>
          <w:rtl w:val="0"/>
        </w:rPr>
      </w:r>
    </w:p>
    <w:p w:rsidR="00000000" w:rsidDel="00000000" w:rsidP="00000000" w:rsidRDefault="00000000" w:rsidRPr="00000000" w14:paraId="00000014">
      <w:pPr>
        <w:pBdr>
          <w:top w:space="0" w:sz="0" w:val="nil"/>
          <w:left w:space="0" w:sz="0" w:val="nil"/>
          <w:bottom w:space="0" w:sz="0" w:val="nil"/>
          <w:right w:space="0" w:sz="0" w:val="nil"/>
          <w:between w:space="0" w:sz="0" w:val="nil"/>
        </w:pBdr>
        <w:ind w:firstLine="720"/>
        <w:jc w:val="both"/>
        <w:rPr/>
      </w:pPr>
      <w:r w:rsidDel="00000000" w:rsidR="00000000" w:rsidRPr="00000000">
        <w:rPr>
          <w:b w:val="1"/>
          <w:rtl w:val="0"/>
        </w:rPr>
        <w:t xml:space="preserve">*</w:t>
      </w:r>
      <w:r w:rsidDel="00000000" w:rsidR="00000000" w:rsidRPr="00000000">
        <w:rPr>
          <w:rtl w:val="0"/>
        </w:rPr>
        <w:tab/>
        <w:t xml:space="preserve">Correspondence: e-mail@e-mail.com; Tel.: (optional; include country code; if there are multiple corresponding authors, add author initials)</w:t>
      </w:r>
    </w:p>
    <w:p w:rsidR="00000000" w:rsidDel="00000000" w:rsidP="00000000" w:rsidRDefault="00000000" w:rsidRPr="00000000" w14:paraId="00000015">
      <w:pPr>
        <w:pBdr>
          <w:top w:space="0" w:sz="0" w:val="nil"/>
          <w:left w:space="0" w:sz="0" w:val="nil"/>
          <w:bottom w:space="0" w:sz="0" w:val="nil"/>
          <w:right w:space="0" w:sz="0" w:val="nil"/>
          <w:between w:space="0" w:sz="0" w:val="nil"/>
        </w:pBdr>
        <w:spacing w:before="240" w:lineRule="auto"/>
        <w:ind w:firstLine="720"/>
        <w:rPr/>
      </w:pPr>
      <w:r w:rsidDel="00000000" w:rsidR="00000000" w:rsidRPr="00000000">
        <w:rPr>
          <w:b w:val="1"/>
          <w:rtl w:val="0"/>
        </w:rPr>
        <w:t xml:space="preserve">Abstract: </w:t>
      </w:r>
      <w:r w:rsidDel="00000000" w:rsidR="00000000" w:rsidRPr="00000000">
        <w:rPr>
          <w:rtl w:val="0"/>
        </w:rPr>
      </w:r>
    </w:p>
    <w:p w:rsidR="00000000" w:rsidDel="00000000" w:rsidP="00000000" w:rsidRDefault="00000000" w:rsidRPr="00000000" w14:paraId="00000016">
      <w:pPr>
        <w:pBdr>
          <w:top w:space="0" w:sz="0" w:val="nil"/>
          <w:left w:space="0" w:sz="0" w:val="nil"/>
          <w:bottom w:space="0" w:sz="0" w:val="nil"/>
          <w:right w:space="0" w:sz="0" w:val="nil"/>
          <w:between w:space="0" w:sz="0" w:val="nil"/>
        </w:pBdr>
        <w:spacing w:before="240" w:lineRule="auto"/>
        <w:ind w:firstLine="720"/>
        <w:rPr/>
      </w:pPr>
      <w:r w:rsidDel="00000000" w:rsidR="00000000" w:rsidRPr="00000000">
        <w:rPr>
          <w:b w:val="1"/>
          <w:rtl w:val="0"/>
        </w:rPr>
        <w:t xml:space="preserve">Background: </w:t>
      </w:r>
      <w:r w:rsidDel="00000000" w:rsidR="00000000" w:rsidRPr="00000000">
        <w:rPr>
          <w:rtl w:val="0"/>
        </w:rPr>
        <w:t xml:space="preserve">Burnout among healthcare workers (HCWs) is a critical issue negatively impacting individual well-being and patient care. Reduced well-being and resilience are associated with burnout and may simultaneously act as a buffer to protect against burnout. </w:t>
      </w:r>
      <w:r w:rsidDel="00000000" w:rsidR="00000000" w:rsidRPr="00000000">
        <w:rPr>
          <w:b w:val="1"/>
          <w:rtl w:val="0"/>
        </w:rPr>
        <w:t xml:space="preserve">Methods:</w:t>
      </w:r>
      <w:r w:rsidDel="00000000" w:rsidR="00000000" w:rsidRPr="00000000">
        <w:rPr>
          <w:rtl w:val="0"/>
        </w:rPr>
        <w:t xml:space="preserve"> This single-group six-month pilot study explored the utilization of the</w:t>
      </w:r>
      <w:r w:rsidDel="00000000" w:rsidR="00000000" w:rsidRPr="00000000">
        <w:rPr>
          <w:rtl w:val="0"/>
        </w:rPr>
        <w:t xml:space="preserve"> </w:t>
      </w:r>
      <w:r w:rsidDel="00000000" w:rsidR="00000000" w:rsidRPr="00000000">
        <w:rPr>
          <w:color w:val="3f3f3f"/>
          <w:rtl w:val="0"/>
        </w:rPr>
        <w:t xml:space="preserve">CommCare</w:t>
      </w:r>
      <w:r w:rsidDel="00000000" w:rsidR="00000000" w:rsidRPr="00000000">
        <w:rPr>
          <w:color w:val="3f3f3f"/>
          <w:rtl w:val="0"/>
        </w:rPr>
        <w:t xml:space="preserve"> Companion Application© (CCA©) </w:t>
      </w:r>
      <w:r w:rsidDel="00000000" w:rsidR="00000000" w:rsidRPr="00000000">
        <w:rPr>
          <w:rtl w:val="0"/>
        </w:rPr>
        <w:t xml:space="preserve">[1]</w:t>
      </w:r>
      <w:r w:rsidDel="00000000" w:rsidR="00000000" w:rsidRPr="00000000">
        <w:rPr>
          <w:color w:val="3f3f3f"/>
          <w:rtl w:val="0"/>
        </w:rPr>
        <w:t xml:space="preserve"> </w:t>
      </w:r>
      <w:r w:rsidDel="00000000" w:rsidR="00000000" w:rsidRPr="00000000">
        <w:rPr>
          <w:rtl w:val="0"/>
        </w:rPr>
        <w:t xml:space="preserve">to increase resilience and well-being and decrease burnout among HCS in Brazil. The intervention was delivered remotely and included 82 messages (3 per week) through the app portal, designed to improve outcomes of resilience and well-being and consequently reduce burnout. Self-reported data were collected at baseline and endline; data about the app usability was collected at endline. </w:t>
      </w:r>
      <w:r w:rsidDel="00000000" w:rsidR="00000000" w:rsidRPr="00000000">
        <w:rPr>
          <w:b w:val="1"/>
          <w:rtl w:val="0"/>
        </w:rPr>
        <w:t xml:space="preserve">Results</w:t>
      </w:r>
      <w:r w:rsidDel="00000000" w:rsidR="00000000" w:rsidRPr="00000000">
        <w:rPr>
          <w:rtl w:val="0"/>
        </w:rPr>
        <w:t xml:space="preserve">: Among the 36 participants, resilience increased 1% and approached significance (</w:t>
      </w:r>
      <w:r w:rsidDel="00000000" w:rsidR="00000000" w:rsidRPr="00000000">
        <w:rPr>
          <w:i w:val="1"/>
          <w:rtl w:val="0"/>
        </w:rPr>
        <w:t xml:space="preserve">p-value = 0.064</w:t>
      </w:r>
      <w:r w:rsidDel="00000000" w:rsidR="00000000" w:rsidRPr="00000000">
        <w:rPr>
          <w:rtl w:val="0"/>
        </w:rPr>
        <w:t xml:space="preserve">); no changes in well-being or burnout were observed. Participants found the app user-friendly, intuitive, and easy to use. </w:t>
      </w:r>
      <w:r w:rsidDel="00000000" w:rsidR="00000000" w:rsidRPr="00000000">
        <w:rPr>
          <w:b w:val="1"/>
          <w:rtl w:val="0"/>
        </w:rPr>
        <w:t xml:space="preserve">Conclusions</w:t>
      </w:r>
      <w:r w:rsidDel="00000000" w:rsidR="00000000" w:rsidRPr="00000000">
        <w:rPr>
          <w:rtl w:val="0"/>
        </w:rPr>
        <w:t xml:space="preserve">: This study demonstrated that the use of an app has promise to improve resilience among HCWs. A larger study that tests tailored message delivery would be a promising approach. The potential impact of this mHealth app needs further and more rigorous exploration to better understand how it may improve well-being among HCWs.</w:t>
      </w:r>
      <w:r w:rsidDel="00000000" w:rsidR="00000000" w:rsidRPr="00000000">
        <w:rPr>
          <w:rtl w:val="0"/>
        </w:rPr>
      </w:r>
    </w:p>
    <w:p w:rsidR="00000000" w:rsidDel="00000000" w:rsidP="00000000" w:rsidRDefault="00000000" w:rsidRPr="00000000" w14:paraId="00000017">
      <w:pPr>
        <w:pBdr>
          <w:top w:space="0" w:sz="0" w:val="nil"/>
          <w:left w:space="0" w:sz="0" w:val="nil"/>
          <w:bottom w:space="0" w:sz="0" w:val="nil"/>
          <w:right w:space="0" w:sz="0" w:val="nil"/>
          <w:between w:space="0" w:sz="0" w:val="nil"/>
        </w:pBdr>
        <w:spacing w:before="240" w:lineRule="auto"/>
        <w:ind w:firstLine="720"/>
        <w:rPr/>
      </w:pPr>
      <w:r w:rsidDel="00000000" w:rsidR="00000000" w:rsidRPr="00000000">
        <w:rPr>
          <w:b w:val="1"/>
          <w:rtl w:val="0"/>
        </w:rPr>
        <w:t xml:space="preserve">Keywords: </w:t>
      </w:r>
      <w:r w:rsidDel="00000000" w:rsidR="00000000" w:rsidRPr="00000000">
        <w:rPr>
          <w:rtl w:val="0"/>
        </w:rPr>
        <w:t xml:space="preserve">well-being; stress; healthcare providers; resilience; burnout; mHealth</w:t>
      </w:r>
    </w:p>
    <w:p w:rsidR="00000000" w:rsidDel="00000000" w:rsidP="00000000" w:rsidRDefault="00000000" w:rsidRPr="00000000" w14:paraId="00000018">
      <w:pPr>
        <w:pBdr>
          <w:top w:space="0" w:sz="0" w:val="nil"/>
          <w:left w:space="0" w:sz="0" w:val="nil"/>
          <w:bottom w:space="0" w:sz="0" w:val="nil"/>
          <w:right w:space="0" w:sz="0" w:val="nil"/>
          <w:between w:space="0" w:sz="0" w:val="nil"/>
        </w:pBdr>
        <w:spacing w:before="240" w:lineRule="auto"/>
        <w:ind w:firstLine="720"/>
        <w:rPr/>
      </w:pPr>
      <w:r w:rsidDel="00000000" w:rsidR="00000000" w:rsidRPr="00000000">
        <w:rPr>
          <w:rtl w:val="0"/>
        </w:rPr>
      </w:r>
    </w:p>
    <w:p w:rsidR="00000000" w:rsidDel="00000000" w:rsidP="00000000" w:rsidRDefault="00000000" w:rsidRPr="00000000" w14:paraId="00000019">
      <w:pPr>
        <w:pBdr>
          <w:top w:space="0" w:sz="0" w:val="nil"/>
          <w:left w:space="0" w:sz="0" w:val="nil"/>
          <w:bottom w:space="0" w:sz="0" w:val="nil"/>
          <w:right w:space="0" w:sz="0" w:val="nil"/>
          <w:between w:space="0" w:sz="0" w:val="nil"/>
        </w:pBdr>
        <w:spacing w:before="240" w:lineRule="auto"/>
        <w:ind w:firstLine="720"/>
        <w:rPr/>
      </w:pPr>
      <w:r w:rsidDel="00000000" w:rsidR="00000000" w:rsidRPr="00000000">
        <w:rPr>
          <w:rtl w:val="0"/>
        </w:rPr>
      </w:r>
    </w:p>
    <w:p w:rsidR="00000000" w:rsidDel="00000000" w:rsidP="00000000" w:rsidRDefault="00000000" w:rsidRPr="00000000" w14:paraId="0000001A">
      <w:pPr>
        <w:pBdr>
          <w:top w:space="0" w:sz="0" w:val="nil"/>
          <w:left w:space="0" w:sz="0" w:val="nil"/>
          <w:bottom w:space="0" w:sz="0" w:val="nil"/>
          <w:right w:space="0" w:sz="0" w:val="nil"/>
          <w:between w:space="0" w:sz="0" w:val="nil"/>
        </w:pBdr>
        <w:spacing w:after="60" w:before="240" w:line="228" w:lineRule="auto"/>
        <w:rPr>
          <w:b w:val="1"/>
        </w:rPr>
      </w:pPr>
      <w:r w:rsidDel="00000000" w:rsidR="00000000" w:rsidRPr="00000000">
        <w:rPr>
          <w:b w:val="1"/>
          <w:rtl w:val="0"/>
        </w:rPr>
        <w:t xml:space="preserve">1. </w:t>
      </w:r>
      <w:r w:rsidDel="00000000" w:rsidR="00000000" w:rsidRPr="00000000">
        <w:rPr>
          <w:rtl w:val="0"/>
        </w:rPr>
        <w:t xml:space="preserve">     </w:t>
      </w:r>
      <w:r w:rsidDel="00000000" w:rsidR="00000000" w:rsidRPr="00000000">
        <w:rPr>
          <w:b w:val="1"/>
          <w:rtl w:val="0"/>
        </w:rPr>
        <w:t xml:space="preserve">Introduction</w:t>
      </w:r>
    </w:p>
    <w:p w:rsidR="00000000" w:rsidDel="00000000" w:rsidP="00000000" w:rsidRDefault="00000000" w:rsidRPr="00000000" w14:paraId="0000001B">
      <w:pPr>
        <w:pBdr>
          <w:top w:space="0" w:sz="0" w:val="nil"/>
          <w:left w:space="0" w:sz="0" w:val="nil"/>
          <w:bottom w:space="0" w:sz="0" w:val="nil"/>
          <w:right w:space="0" w:sz="0" w:val="nil"/>
          <w:between w:space="0" w:sz="0" w:val="nil"/>
        </w:pBdr>
        <w:spacing w:line="228" w:lineRule="auto"/>
        <w:ind w:firstLine="720"/>
        <w:rPr/>
      </w:pPr>
      <w:r w:rsidDel="00000000" w:rsidR="00000000" w:rsidRPr="00000000">
        <w:rPr>
          <w:b w:val="1"/>
          <w:rtl w:val="0"/>
        </w:rPr>
        <w:t xml:space="preserve">​​</w:t>
      </w:r>
      <w:r w:rsidDel="00000000" w:rsidR="00000000" w:rsidRPr="00000000">
        <w:rPr>
          <w:rtl w:val="0"/>
        </w:rPr>
        <w:tab/>
        <w:t xml:space="preserve">Healthcare systems are a fundamental cornerstone of societal well-being, tasked with the complex responsibility of helping people to preserve and promote health. Within the dynamic and demanding environment of healthcare systems, healthcare workers (HCWs) navigate a multiplex      landscape characterized by  demands of patient care, administrative tasks, long shift hours and lots of uncertainties in a fluid and dynamic environment. While HCW is a broad and varied term across literature, for purposes of the current study specifically located in Brazil, HCWs are described as “any individual working in a healthcare facility in the public healthcare system in Brazil”. One of the frequent consequences of working in such a demanding environment is burnout, which is defined as occupational stress given the nature of their work environment [2]. Burnout is specifically characterized by emotional exhaustion, depersonalization, and a diminished sense of personal accomplishment is  described “as a psychological syndrome that arises in response to chronic interpersonal stressors at work” [3]. Burnout is strongly associated with </w:t>
      </w:r>
      <w:r w:rsidDel="00000000" w:rsidR="00000000" w:rsidRPr="00000000">
        <w:rPr>
          <w:color w:val="212121"/>
          <w:highlight w:val="white"/>
          <w:rtl w:val="0"/>
        </w:rPr>
        <w:t xml:space="preserve">increased absenteeism, reduced productivity, physical and mental health problems, poor social relationships, and reduced job satisfaction</w:t>
      </w:r>
      <w:r w:rsidDel="00000000" w:rsidR="00000000" w:rsidRPr="00000000">
        <w:rPr>
          <w:color w:val="212121"/>
          <w:rtl w:val="0"/>
        </w:rPr>
        <w:t xml:space="preserve"> [4-5-</w:t>
      </w:r>
      <w:r w:rsidDel="00000000" w:rsidR="00000000" w:rsidRPr="00000000">
        <w:rPr>
          <w:rtl w:val="0"/>
        </w:rPr>
        <w:t xml:space="preserve">6]. A 2020 study of &gt;2500 HCWs from 60 countries reported that over 50% reported burnout [7]. HCWs experiencing burnout may feel less prepared for and/or less capable of taking care of themselves and their patients [8]. Additionally, they may be more likely to leave the healthcare system early, leading to an ongoing shortage of trained health personnel and, consequently, increasing wear and tear among HCWs who remain in the system. This burden is      particularly relevant in environments with fewer resources such as supplies, equipment, and funding [9]. Providing tools and strategies to enhance resiliency, well-being and reduce burnout are critical for the HCW both personally and professionally. </w:t>
      </w:r>
    </w:p>
    <w:p w:rsidR="00000000" w:rsidDel="00000000" w:rsidP="00000000" w:rsidRDefault="00000000" w:rsidRPr="00000000" w14:paraId="0000001C">
      <w:pPr>
        <w:pBdr>
          <w:top w:space="0" w:sz="0" w:val="nil"/>
          <w:left w:space="0" w:sz="0" w:val="nil"/>
          <w:bottom w:space="0" w:sz="0" w:val="nil"/>
          <w:right w:space="0" w:sz="0" w:val="nil"/>
          <w:between w:space="0" w:sz="0" w:val="nil"/>
        </w:pBdr>
        <w:spacing w:line="228" w:lineRule="auto"/>
        <w:ind w:firstLine="720"/>
        <w:rPr/>
      </w:pPr>
      <w:r w:rsidDel="00000000" w:rsidR="00000000" w:rsidRPr="00000000">
        <w:rPr>
          <w:rtl w:val="0"/>
        </w:rPr>
        <w:t xml:space="preserve">          Researchers have highlighted the importance of resilience as a crucial factor in overcoming the difficulties arising from the adverse conditions HCWs are subjected to in a high-stress work environment and potential for occupational burnout [8]. Resilience, like burnout, has varied definitions within specific contexts and populations, and is used to “describe and explain the complexities of individual and group responses to traumatic and stressful situations” </w:t>
      </w:r>
      <w:r w:rsidDel="00000000" w:rsidR="00000000" w:rsidRPr="00000000">
        <w:rPr>
          <w:rtl w:val="0"/>
        </w:rPr>
        <w:t xml:space="preserve">[10].</w:t>
      </w:r>
      <w:r w:rsidDel="00000000" w:rsidR="00000000" w:rsidRPr="00000000">
        <w:rPr>
          <w:rtl w:val="0"/>
        </w:rPr>
        <w:t xml:space="preserve"> Thus, the concept of resilience is an important personality trait considered to be protective against both physical and mental exhaustion. While resilience is often associated with individual personality traits, it is also influenced by broader factors. As Shanafelt &amp; Noseworthy (2016) highlight, the work environment, organizational culture, and community context all play significant roles in shaping an individual's resilience [11].</w:t>
      </w:r>
    </w:p>
    <w:p w:rsidR="00000000" w:rsidDel="00000000" w:rsidP="00000000" w:rsidRDefault="00000000" w:rsidRPr="00000000" w14:paraId="0000001D">
      <w:pPr>
        <w:pBdr>
          <w:top w:space="0" w:sz="0" w:val="nil"/>
          <w:left w:space="0" w:sz="0" w:val="nil"/>
          <w:bottom w:space="0" w:sz="0" w:val="nil"/>
          <w:right w:space="0" w:sz="0" w:val="nil"/>
          <w:between w:space="0" w:sz="0" w:val="nil"/>
        </w:pBdr>
        <w:spacing w:line="228" w:lineRule="auto"/>
        <w:ind w:firstLine="720"/>
        <w:rPr/>
      </w:pPr>
      <w:r w:rsidDel="00000000" w:rsidR="00000000" w:rsidRPr="00000000">
        <w:rPr>
          <w:rtl w:val="0"/>
        </w:rPr>
        <w:t xml:space="preserve">While globally, there has been an increased focus on improving the efficiency of healthcare systems and addressing broader factors that contribute to occupational burnout, there are fewer systemic initiatives to prevent burnout at the individual level for HCWs. Furthermore, although there is evidence indicating that such initiatives can be effective, those implemented have used a wide diversity of presentation modalities and evaluation methods.  </w:t>
      </w:r>
      <w:r w:rsidDel="00000000" w:rsidR="00000000" w:rsidRPr="00000000">
        <w:rPr>
          <w:color w:val="3f3f3f"/>
          <w:rtl w:val="0"/>
        </w:rPr>
        <w:t xml:space="preserve">Systemic interventions aimed at improving resilience, well-being, and reducing burnout among healthcare workers are limited, hindering our ability to comprehensively advance knowledge in these areas; a</w:t>
      </w:r>
      <w:r w:rsidDel="00000000" w:rsidR="00000000" w:rsidRPr="00000000">
        <w:rPr>
          <w:rtl w:val="0"/>
        </w:rPr>
        <w:t xml:space="preserve">s a result, HCWs often lack access to much needed resources, support and infrastructure to maintain their own health and well-being which may further contribute to greater stress and burnout.</w:t>
      </w:r>
    </w:p>
    <w:p w:rsidR="00000000" w:rsidDel="00000000" w:rsidP="00000000" w:rsidRDefault="00000000" w:rsidRPr="00000000" w14:paraId="0000001E">
      <w:pPr>
        <w:pBdr>
          <w:top w:space="0" w:sz="0" w:val="nil"/>
          <w:left w:space="0" w:sz="0" w:val="nil"/>
          <w:bottom w:space="0" w:sz="0" w:val="nil"/>
          <w:right w:space="0" w:sz="0" w:val="nil"/>
          <w:between w:space="0" w:sz="0" w:val="nil"/>
        </w:pBdr>
        <w:spacing w:line="228" w:lineRule="auto"/>
        <w:ind w:firstLine="720"/>
        <w:rPr>
          <w:strike w:val="1"/>
        </w:rPr>
      </w:pPr>
      <w:r w:rsidDel="00000000" w:rsidR="00000000" w:rsidRPr="00000000">
        <w:rPr>
          <w:rtl w:val="0"/>
        </w:rPr>
        <w:t xml:space="preserve">In response to this crisis, the Johnson &amp; Johnson Center for Health Worker Innovation created The Resilience Message Program.</w:t>
      </w:r>
      <w:r w:rsidDel="00000000" w:rsidR="00000000" w:rsidRPr="00000000">
        <w:rPr>
          <w:sz w:val="21"/>
          <w:szCs w:val="21"/>
          <w:rtl w:val="0"/>
        </w:rPr>
        <w:t xml:space="preserve"> </w:t>
      </w:r>
      <w:r w:rsidDel="00000000" w:rsidR="00000000" w:rsidRPr="00000000">
        <w:rPr>
          <w:rtl w:val="0"/>
        </w:rPr>
        <w:t xml:space="preserve">This program was designed to deliver evidence-based, free and adaptable messages using the </w:t>
      </w:r>
      <w:r w:rsidDel="00000000" w:rsidR="00000000" w:rsidRPr="00000000">
        <w:rPr>
          <w:color w:val="3f3f3f"/>
          <w:rtl w:val="0"/>
        </w:rPr>
        <w:t xml:space="preserve">CCA©</w:t>
      </w:r>
      <w:r w:rsidDel="00000000" w:rsidR="00000000" w:rsidRPr="00000000">
        <w:rPr>
          <w:rtl w:val="0"/>
        </w:rPr>
        <w:t xml:space="preserve"> to build HCW resilience skills and to prepare individuals to face daily life challenges, especially in the working environment. This program was previously piloted in small interventions in Nigeria and Mexico. This program is part of a more comprehensive initiative called The Resilience Collaborative (TRC), which was founded by Johnson &amp; Johnson during the COVID-19 pandemic [12].</w:t>
      </w:r>
      <w:r w:rsidDel="00000000" w:rsidR="00000000" w:rsidRPr="00000000">
        <w:rPr>
          <w:rtl w:val="0"/>
        </w:rPr>
      </w:r>
    </w:p>
    <w:p w:rsidR="00000000" w:rsidDel="00000000" w:rsidP="00000000" w:rsidRDefault="00000000" w:rsidRPr="00000000" w14:paraId="0000001F">
      <w:pPr>
        <w:pBdr>
          <w:top w:space="0" w:sz="0" w:val="nil"/>
          <w:left w:space="0" w:sz="0" w:val="nil"/>
          <w:bottom w:space="0" w:sz="0" w:val="nil"/>
          <w:right w:space="0" w:sz="0" w:val="nil"/>
          <w:between w:space="0" w:sz="0" w:val="nil"/>
        </w:pBdr>
        <w:spacing w:line="228" w:lineRule="auto"/>
        <w:ind w:firstLine="720"/>
        <w:rPr/>
      </w:pPr>
      <w:r w:rsidDel="00000000" w:rsidR="00000000" w:rsidRPr="00000000">
        <w:rPr>
          <w:rtl w:val="0"/>
        </w:rPr>
        <w:t xml:space="preserve">Based on a previous study carried out by the Johnson &amp; Johnson Center for Health Worker Innovation in 2021, five behaviors were identified as being essential for promoting resilience among HCWs: 1) managing behavioral and cognitive stress; 2) the practice of mindfulness and relaxations; 3) engagement in self-care; 4) connecting with purpose; and 5) connecting with others</w:t>
      </w:r>
      <w:r w:rsidDel="00000000" w:rsidR="00000000" w:rsidRPr="00000000">
        <w:rPr>
          <w:rtl w:val="0"/>
        </w:rPr>
        <w:t xml:space="preserve"> [13].</w:t>
      </w:r>
      <w:r w:rsidDel="00000000" w:rsidR="00000000" w:rsidRPr="00000000">
        <w:rPr>
          <w:rtl w:val="0"/>
        </w:rPr>
        <w:t xml:space="preserve"> Currently, mental health interventions delivered through digital apps are gaining popularity due to their low cost, scalable and easy to access [14-15]. Further, smartphones are central to everyday living for most [16] and X% of HCWs in Brazil use smartphone in their daily practice. Recent literature has demonstrated that mHealth apps can improve mental health, including reduced symptoms of anxiety and depression [17]. Some features of these apps such as continuous feedback, progress visibility, notifications, and reminder systems, which are evidence-based techniques proven to increase app engagement and change health-related behaviors [18].</w:t>
      </w:r>
    </w:p>
    <w:p w:rsidR="00000000" w:rsidDel="00000000" w:rsidP="00000000" w:rsidRDefault="00000000" w:rsidRPr="00000000" w14:paraId="00000020">
      <w:pPr>
        <w:pBdr>
          <w:top w:space="0" w:sz="0" w:val="nil"/>
          <w:left w:space="0" w:sz="0" w:val="nil"/>
          <w:bottom w:space="0" w:sz="0" w:val="nil"/>
          <w:right w:space="0" w:sz="0" w:val="nil"/>
          <w:between w:space="0" w:sz="0" w:val="nil"/>
        </w:pBdr>
        <w:spacing w:line="228" w:lineRule="auto"/>
        <w:ind w:firstLine="720"/>
        <w:rPr/>
      </w:pPr>
      <w:r w:rsidDel="00000000" w:rsidR="00000000" w:rsidRPr="00000000">
        <w:rPr>
          <w:rtl w:val="0"/>
        </w:rPr>
        <w:t xml:space="preserve">In the face of mounting pressures and increasing demands on HCWs, understanding the interplay between resilience, well-being and burnout has emerged as a primary concern. The current work sought to understand the impacts of the use of an mHealth app called CCA to help HCWs  improve their resiliency and well-being and reduce burnout</w:t>
      </w:r>
    </w:p>
    <w:p w:rsidR="00000000" w:rsidDel="00000000" w:rsidP="00000000" w:rsidRDefault="00000000" w:rsidRPr="00000000" w14:paraId="00000021">
      <w:pPr>
        <w:pBdr>
          <w:top w:space="0" w:sz="0" w:val="nil"/>
          <w:left w:space="0" w:sz="0" w:val="nil"/>
          <w:bottom w:space="0" w:sz="0" w:val="nil"/>
          <w:right w:space="0" w:sz="0" w:val="nil"/>
          <w:between w:space="0" w:sz="0" w:val="nil"/>
        </w:pBdr>
        <w:spacing w:line="228" w:lineRule="auto"/>
        <w:ind w:firstLine="720"/>
        <w:rPr/>
      </w:pPr>
      <w:r w:rsidDel="00000000" w:rsidR="00000000" w:rsidRPr="00000000">
        <w:rPr>
          <w:rtl w:val="0"/>
        </w:rPr>
        <w:t xml:space="preserve">The aims of the current pilot study were to: 1) explore changes in resilience, well-being and burnout from pre- to post-intervention; 2) evaluate the usability of the mHealth app; 3) analyze the frequency of adoption of the behaviors suggested in the mHealth app messaging program. Our primary research question was: Can a 6-month mHealth app improve outcomes of resilience, well-being and burnout among HCWs in Brazil?</w:t>
      </w:r>
    </w:p>
    <w:p w:rsidR="00000000" w:rsidDel="00000000" w:rsidP="00000000" w:rsidRDefault="00000000" w:rsidRPr="00000000" w14:paraId="00000022">
      <w:pPr>
        <w:spacing w:after="60" w:before="240" w:line="207" w:lineRule="auto"/>
        <w:ind w:firstLine="720"/>
        <w:rPr>
          <w:b w:val="1"/>
        </w:rPr>
      </w:pPr>
      <w:r w:rsidDel="00000000" w:rsidR="00000000" w:rsidRPr="00000000">
        <w:rPr>
          <w:b w:val="1"/>
          <w:rtl w:val="0"/>
        </w:rPr>
        <w:t xml:space="preserve">2. Materials and Methods</w:t>
      </w:r>
    </w:p>
    <w:p w:rsidR="00000000" w:rsidDel="00000000" w:rsidP="00000000" w:rsidRDefault="00000000" w:rsidRPr="00000000" w14:paraId="00000023">
      <w:pPr>
        <w:spacing w:after="60" w:before="240" w:lineRule="auto"/>
        <w:ind w:firstLine="720"/>
        <w:rPr>
          <w:b w:val="1"/>
        </w:rPr>
      </w:pPr>
      <w:r w:rsidDel="00000000" w:rsidR="00000000" w:rsidRPr="00000000">
        <w:rPr>
          <w:b w:val="1"/>
          <w:rtl w:val="0"/>
        </w:rPr>
        <w:t xml:space="preserve">Study Design:</w:t>
      </w:r>
    </w:p>
    <w:p w:rsidR="00000000" w:rsidDel="00000000" w:rsidP="00000000" w:rsidRDefault="00000000" w:rsidRPr="00000000" w14:paraId="00000024">
      <w:pPr>
        <w:spacing w:after="60" w:before="240" w:lineRule="auto"/>
        <w:ind w:firstLine="720"/>
        <w:rPr>
          <w:b w:val="1"/>
        </w:rPr>
      </w:pPr>
      <w:r w:rsidDel="00000000" w:rsidR="00000000" w:rsidRPr="00000000">
        <w:rPr>
          <w:rtl w:val="0"/>
        </w:rPr>
        <w:t xml:space="preserve">The current single-group pilot study employed a pre/post design to assess the impact of the </w:t>
      </w:r>
      <w:r w:rsidDel="00000000" w:rsidR="00000000" w:rsidRPr="00000000">
        <w:rPr>
          <w:color w:val="3f3f3f"/>
          <w:rtl w:val="0"/>
        </w:rPr>
        <w:t xml:space="preserve"> CCA©</w:t>
      </w:r>
      <w:r w:rsidDel="00000000" w:rsidR="00000000" w:rsidRPr="00000000">
        <w:rPr>
          <w:rtl w:val="0"/>
        </w:rPr>
        <w:t xml:space="preserve"> on the outcomes of resilience, well-being and burnout among HCWs from the Unified Public Health System or </w:t>
      </w:r>
      <w:r w:rsidDel="00000000" w:rsidR="00000000" w:rsidRPr="00000000">
        <w:rPr>
          <w:i w:val="1"/>
          <w:rtl w:val="0"/>
        </w:rPr>
        <w:t xml:space="preserve">Sistema Único de Saúde</w:t>
      </w:r>
      <w:r w:rsidDel="00000000" w:rsidR="00000000" w:rsidRPr="00000000">
        <w:rPr>
          <w:rtl w:val="0"/>
        </w:rPr>
        <w:t xml:space="preserve"> (SUS) in Brazil over the six-month intervention with baseline (pre-intervention) and endline (post-intervention) timepoints. Additionally, we sought to understand usability of the mHealth app and adoption of behaviors suggested via the app messaging program.  </w:t>
      </w:r>
      <w:r w:rsidDel="00000000" w:rsidR="00000000" w:rsidRPr="00000000">
        <w:rPr>
          <w:rtl w:val="0"/>
        </w:rPr>
      </w:r>
    </w:p>
    <w:p w:rsidR="00000000" w:rsidDel="00000000" w:rsidP="00000000" w:rsidRDefault="00000000" w:rsidRPr="00000000" w14:paraId="00000025">
      <w:pPr>
        <w:spacing w:after="60" w:before="240" w:line="207" w:lineRule="auto"/>
        <w:ind w:firstLine="720"/>
        <w:rPr>
          <w:b w:val="1"/>
        </w:rPr>
      </w:pPr>
      <w:r w:rsidDel="00000000" w:rsidR="00000000" w:rsidRPr="00000000">
        <w:rPr>
          <w:b w:val="1"/>
          <w:rtl w:val="0"/>
        </w:rPr>
        <w:t xml:space="preserve">Participants:</w:t>
      </w:r>
    </w:p>
    <w:p w:rsidR="00000000" w:rsidDel="00000000" w:rsidP="00000000" w:rsidRDefault="00000000" w:rsidRPr="00000000" w14:paraId="00000026">
      <w:pPr>
        <w:ind w:firstLine="720"/>
        <w:rPr/>
      </w:pPr>
      <w:r w:rsidDel="00000000" w:rsidR="00000000" w:rsidRPr="00000000">
        <w:rPr>
          <w:rtl w:val="0"/>
        </w:rPr>
        <w:t xml:space="preserve">Participant inclusion criteria were: 1) HCWs from the SUS in Brazil; 2) having achieved a high school degree, technical, or higher education level; and 3) owned a device compatible with the Android operating system. For convenience we invited HCWs from institutions that were participating in a Breakthrough Series (BTS) Collaborative called Reconectar  to improve Joy in Work (JIW) [19], a collaboration between Johnson &amp; Johnson, </w:t>
      </w:r>
      <w:r w:rsidDel="00000000" w:rsidR="00000000" w:rsidRPr="00000000">
        <w:rPr>
          <w:i w:val="1"/>
          <w:rtl w:val="0"/>
        </w:rPr>
        <w:t xml:space="preserve">Sírio Libanês Hospital</w:t>
      </w:r>
      <w:r w:rsidDel="00000000" w:rsidR="00000000" w:rsidRPr="00000000">
        <w:rPr>
          <w:rtl w:val="0"/>
        </w:rPr>
        <w:t xml:space="preserve">, and the Institute for Healthcare Improvement. Exclusion criteria were those who did not agree to sign informed consent and those who did not participate in the app training sessions. To recruit participants, we contacted leaders of organizations involved in the Reconectar, requesting that they ask HCWs within their organizations to consider participating in the study. Recruitment strategies included the development of promotional materials, including short films, brochures, flyers, a PowerPoint presentation, and technical documentation about the study, including the ethics committee's approval. Additionally, a letter addressed to the organization's leadership explained the objectives of the study. Participation was voluntary, and no financial incentives were provided. HCWs interested in joining the study received an invitation letter containing a link to the detailed informed consent form. After agreeing to participate, participants were emailed a SurveyMonkey link to complete the online baseline surveys. After completing the baseline surveys, participants were provided with instructions on how to install the CCA. Further, they received training materials, including instructional videos on how to use the app. The researchers offered six virtual sessions to guide app installation and usage. Once the app was installed, participants were provided with their login credentials, allowing them to login and start using the app.</w:t>
      </w:r>
    </w:p>
    <w:p w:rsidR="00000000" w:rsidDel="00000000" w:rsidP="00000000" w:rsidRDefault="00000000" w:rsidRPr="00000000" w14:paraId="00000027">
      <w:pPr>
        <w:ind w:firstLine="720"/>
        <w:rPr/>
      </w:pPr>
      <w:r w:rsidDel="00000000" w:rsidR="00000000" w:rsidRPr="00000000">
        <w:rPr>
          <w:rtl w:val="0"/>
        </w:rPr>
      </w:r>
    </w:p>
    <w:p w:rsidR="00000000" w:rsidDel="00000000" w:rsidP="00000000" w:rsidRDefault="00000000" w:rsidRPr="00000000" w14:paraId="00000028">
      <w:pPr>
        <w:ind w:firstLine="720"/>
        <w:rPr/>
      </w:pPr>
      <w:r w:rsidDel="00000000" w:rsidR="00000000" w:rsidRPr="00000000">
        <w:rPr>
          <w:rtl w:val="0"/>
        </w:rPr>
      </w:r>
    </w:p>
    <w:p w:rsidR="00000000" w:rsidDel="00000000" w:rsidP="00000000" w:rsidRDefault="00000000" w:rsidRPr="00000000" w14:paraId="00000029">
      <w:pPr>
        <w:rPr>
          <w:b w:val="1"/>
        </w:rPr>
      </w:pPr>
      <w:r w:rsidDel="00000000" w:rsidR="00000000" w:rsidRPr="00000000">
        <w:rPr>
          <w:b w:val="1"/>
          <w:rtl w:val="0"/>
        </w:rPr>
        <w:t xml:space="preserve">Table 1</w:t>
      </w:r>
    </w:p>
    <w:p w:rsidR="00000000" w:rsidDel="00000000" w:rsidP="00000000" w:rsidRDefault="00000000" w:rsidRPr="00000000" w14:paraId="0000002A">
      <w:pPr>
        <w:rPr/>
      </w:pPr>
      <w:r w:rsidDel="00000000" w:rsidR="00000000" w:rsidRPr="00000000">
        <w:rPr>
          <w:rtl w:val="0"/>
        </w:rPr>
        <w:t xml:space="preserve">Demographic distribution of the participants. N=36</w:t>
      </w:r>
    </w:p>
    <w:tbl>
      <w:tblPr>
        <w:tblStyle w:val="Table1"/>
        <w:tblW w:w="7083.0" w:type="dxa"/>
        <w:jc w:val="center"/>
        <w:tblBorders>
          <w:top w:color="000000" w:space="0" w:sz="8" w:val="single"/>
          <w:left w:color="000000" w:space="0" w:sz="4" w:val="single"/>
          <w:bottom w:color="000000" w:space="0" w:sz="8" w:val="single"/>
          <w:right w:color="000000" w:space="0" w:sz="4" w:val="single"/>
          <w:insideH w:color="000000" w:space="0" w:sz="4" w:val="single"/>
          <w:insideV w:color="000000" w:space="0" w:sz="4" w:val="single"/>
        </w:tblBorders>
        <w:tblLayout w:type="fixed"/>
        <w:tblLook w:val="06A0"/>
      </w:tblPr>
      <w:tblGrid>
        <w:gridCol w:w="2830"/>
        <w:gridCol w:w="1276"/>
        <w:gridCol w:w="2977"/>
        <w:tblGridChange w:id="0">
          <w:tblGrid>
            <w:gridCol w:w="2830"/>
            <w:gridCol w:w="1276"/>
            <w:gridCol w:w="2977"/>
          </w:tblGrid>
        </w:tblGridChange>
      </w:tblGrid>
      <w:tr>
        <w:trPr>
          <w:cantSplit w:val="0"/>
          <w:trHeight w:val="320" w:hRule="atLeast"/>
          <w:tblHeader w:val="0"/>
        </w:trPr>
        <w:tc>
          <w:tcPr>
            <w:tcBorders>
              <w:top w:color="000000" w:space="0" w:sz="4" w:val="single"/>
              <w:bottom w:color="000000" w:space="0" w:sz="4" w:val="single"/>
            </w:tcBorders>
            <w:vAlign w:val="center"/>
          </w:tcPr>
          <w:p w:rsidR="00000000" w:rsidDel="00000000" w:rsidP="00000000" w:rsidRDefault="00000000" w:rsidRPr="00000000" w14:paraId="0000002B">
            <w:pPr>
              <w:ind w:firstLine="720"/>
              <w:jc w:val="center"/>
              <w:rPr>
                <w:rFonts w:ascii="Times New Roman" w:cs="Times New Roman" w:eastAsia="Times New Roman" w:hAnsi="Times New Roman"/>
                <w:b w:val="0"/>
                <w:smallCaps w:val="0"/>
              </w:rPr>
            </w:pPr>
            <w:r w:rsidDel="00000000" w:rsidR="00000000" w:rsidRPr="00000000">
              <w:rPr>
                <w:rFonts w:ascii="Times New Roman" w:cs="Times New Roman" w:eastAsia="Times New Roman" w:hAnsi="Times New Roman"/>
                <w:b w:val="0"/>
                <w:smallCaps w:val="0"/>
                <w:rtl w:val="0"/>
              </w:rPr>
              <w:t xml:space="preserve">VariableS</w:t>
            </w:r>
          </w:p>
        </w:tc>
        <w:tc>
          <w:tcPr>
            <w:tcBorders>
              <w:top w:color="000000" w:space="0" w:sz="4" w:val="single"/>
              <w:bottom w:color="000000" w:space="0" w:sz="4" w:val="single"/>
            </w:tcBorders>
          </w:tcPr>
          <w:p w:rsidR="00000000" w:rsidDel="00000000" w:rsidP="00000000" w:rsidRDefault="00000000" w:rsidRPr="00000000" w14:paraId="0000002C">
            <w:pPr>
              <w:rPr>
                <w:rFonts w:ascii="Times New Roman" w:cs="Times New Roman" w:eastAsia="Times New Roman" w:hAnsi="Times New Roman"/>
                <w:b w:val="0"/>
                <w:smallCaps w:val="0"/>
              </w:rPr>
            </w:pPr>
            <w:r w:rsidDel="00000000" w:rsidR="00000000" w:rsidRPr="00000000">
              <w:rPr>
                <w:rFonts w:ascii="Times New Roman" w:cs="Times New Roman" w:eastAsia="Times New Roman" w:hAnsi="Times New Roman"/>
                <w:b w:val="0"/>
                <w:smallCaps w:val="0"/>
                <w:rtl w:val="0"/>
              </w:rPr>
              <w:t xml:space="preserve">n</w:t>
            </w:r>
          </w:p>
        </w:tc>
        <w:tc>
          <w:tcPr>
            <w:tcBorders>
              <w:top w:color="000000" w:space="0" w:sz="4" w:val="single"/>
              <w:bottom w:color="000000" w:space="0" w:sz="4" w:val="single"/>
            </w:tcBorders>
          </w:tcPr>
          <w:p w:rsidR="00000000" w:rsidDel="00000000" w:rsidP="00000000" w:rsidRDefault="00000000" w:rsidRPr="00000000" w14:paraId="0000002D">
            <w:pPr>
              <w:ind w:firstLine="720"/>
              <w:jc w:val="center"/>
              <w:rPr>
                <w:rFonts w:ascii="Times New Roman" w:cs="Times New Roman" w:eastAsia="Times New Roman" w:hAnsi="Times New Roman"/>
                <w:b w:val="0"/>
                <w:smallCaps w:val="0"/>
              </w:rPr>
            </w:pPr>
            <w:r w:rsidDel="00000000" w:rsidR="00000000" w:rsidRPr="00000000">
              <w:rPr>
                <w:rFonts w:ascii="Times New Roman" w:cs="Times New Roman" w:eastAsia="Times New Roman" w:hAnsi="Times New Roman"/>
                <w:b w:val="0"/>
                <w:smallCaps w:val="0"/>
                <w:rtl w:val="0"/>
              </w:rPr>
              <w:t xml:space="preserve">%</w:t>
            </w:r>
          </w:p>
        </w:tc>
      </w:tr>
      <w:tr>
        <w:trPr>
          <w:cantSplit w:val="0"/>
          <w:trHeight w:val="320" w:hRule="atLeast"/>
          <w:tblHeader w:val="0"/>
        </w:trPr>
        <w:tc>
          <w:tcPr>
            <w:tcBorders>
              <w:top w:color="000000" w:space="0" w:sz="4" w:val="single"/>
            </w:tcBorders>
          </w:tcPr>
          <w:p w:rsidR="00000000" w:rsidDel="00000000" w:rsidP="00000000" w:rsidRDefault="00000000" w:rsidRPr="00000000" w14:paraId="0000002E">
            <w:pPr>
              <w:jc w:val="both"/>
              <w:rPr>
                <w:rFonts w:ascii="Times New Roman" w:cs="Times New Roman" w:eastAsia="Times New Roman" w:hAnsi="Times New Roman"/>
                <w:b w:val="0"/>
                <w:smallCaps w:val="0"/>
              </w:rPr>
            </w:pPr>
            <w:r w:rsidDel="00000000" w:rsidR="00000000" w:rsidRPr="00000000">
              <w:rPr>
                <w:rFonts w:ascii="Times New Roman" w:cs="Times New Roman" w:eastAsia="Times New Roman" w:hAnsi="Times New Roman"/>
                <w:b w:val="0"/>
                <w:smallCaps w:val="0"/>
                <w:rtl w:val="0"/>
              </w:rPr>
              <w:t xml:space="preserve">Age range  (years)</w:t>
            </w:r>
          </w:p>
        </w:tc>
        <w:tc>
          <w:tcPr>
            <w:tcBorders>
              <w:top w:color="000000" w:space="0" w:sz="4" w:val="single"/>
            </w:tcBorders>
          </w:tcPr>
          <w:p w:rsidR="00000000" w:rsidDel="00000000" w:rsidP="00000000" w:rsidRDefault="00000000" w:rsidRPr="00000000" w14:paraId="0000002F">
            <w:pPr>
              <w:rPr>
                <w:rFonts w:ascii="Times New Roman" w:cs="Times New Roman" w:eastAsia="Times New Roman" w:hAnsi="Times New Roman"/>
              </w:rPr>
            </w:pPr>
            <w:r w:rsidDel="00000000" w:rsidR="00000000" w:rsidRPr="00000000">
              <w:rPr>
                <w:rtl w:val="0"/>
              </w:rPr>
            </w:r>
          </w:p>
        </w:tc>
        <w:tc>
          <w:tcPr>
            <w:tcBorders>
              <w:top w:color="000000" w:space="0" w:sz="4" w:val="single"/>
            </w:tcBorders>
          </w:tcPr>
          <w:p w:rsidR="00000000" w:rsidDel="00000000" w:rsidP="00000000" w:rsidRDefault="00000000" w:rsidRPr="00000000" w14:paraId="00000030">
            <w:pPr>
              <w:ind w:firstLine="720"/>
              <w:rPr>
                <w:rFonts w:ascii="Times New Roman" w:cs="Times New Roman" w:eastAsia="Times New Roman" w:hAnsi="Times New Roman"/>
              </w:rPr>
            </w:pPr>
            <w:r w:rsidDel="00000000" w:rsidR="00000000" w:rsidRPr="00000000">
              <w:rPr>
                <w:rtl w:val="0"/>
              </w:rPr>
            </w:r>
          </w:p>
        </w:tc>
      </w:tr>
      <w:tr>
        <w:trPr>
          <w:cantSplit w:val="0"/>
          <w:trHeight w:val="320" w:hRule="atLeast"/>
          <w:tblHeader w:val="0"/>
        </w:trPr>
        <w:tc>
          <w:tcPr/>
          <w:p w:rsidR="00000000" w:rsidDel="00000000" w:rsidP="00000000" w:rsidRDefault="00000000" w:rsidRPr="00000000" w14:paraId="00000031">
            <w:pPr>
              <w:jc w:val="both"/>
              <w:rPr>
                <w:rFonts w:ascii="Times New Roman" w:cs="Times New Roman" w:eastAsia="Times New Roman" w:hAnsi="Times New Roman"/>
                <w:b w:val="0"/>
                <w:smallCaps w:val="0"/>
              </w:rPr>
            </w:pPr>
            <w:r w:rsidDel="00000000" w:rsidR="00000000" w:rsidRPr="00000000">
              <w:rPr>
                <w:rFonts w:ascii="Times New Roman" w:cs="Times New Roman" w:eastAsia="Times New Roman" w:hAnsi="Times New Roman"/>
                <w:b w:val="0"/>
                <w:smallCaps w:val="0"/>
                <w:rtl w:val="0"/>
              </w:rPr>
              <w:t xml:space="preserve">25 to 34</w:t>
            </w:r>
          </w:p>
        </w:tc>
        <w:tc>
          <w:tcPr/>
          <w:p w:rsidR="00000000" w:rsidDel="00000000" w:rsidP="00000000" w:rsidRDefault="00000000" w:rsidRPr="00000000" w14:paraId="00000032">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2</w:t>
            </w:r>
          </w:p>
        </w:tc>
        <w:tc>
          <w:tcPr/>
          <w:p w:rsidR="00000000" w:rsidDel="00000000" w:rsidP="00000000" w:rsidRDefault="00000000" w:rsidRPr="00000000" w14:paraId="00000033">
            <w:pPr>
              <w:ind w:firstLine="72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5.56%</w:t>
            </w:r>
          </w:p>
        </w:tc>
      </w:tr>
      <w:tr>
        <w:trPr>
          <w:cantSplit w:val="0"/>
          <w:trHeight w:val="320" w:hRule="atLeast"/>
          <w:tblHeader w:val="0"/>
        </w:trPr>
        <w:tc>
          <w:tcPr/>
          <w:p w:rsidR="00000000" w:rsidDel="00000000" w:rsidP="00000000" w:rsidRDefault="00000000" w:rsidRPr="00000000" w14:paraId="00000034">
            <w:pPr>
              <w:jc w:val="both"/>
              <w:rPr>
                <w:rFonts w:ascii="Times New Roman" w:cs="Times New Roman" w:eastAsia="Times New Roman" w:hAnsi="Times New Roman"/>
                <w:b w:val="0"/>
                <w:smallCaps w:val="0"/>
              </w:rPr>
            </w:pPr>
            <w:r w:rsidDel="00000000" w:rsidR="00000000" w:rsidRPr="00000000">
              <w:rPr>
                <w:rFonts w:ascii="Times New Roman" w:cs="Times New Roman" w:eastAsia="Times New Roman" w:hAnsi="Times New Roman"/>
                <w:b w:val="0"/>
                <w:smallCaps w:val="0"/>
                <w:rtl w:val="0"/>
              </w:rPr>
              <w:t xml:space="preserve">25 to 34 </w:t>
            </w:r>
          </w:p>
        </w:tc>
        <w:tc>
          <w:tcPr/>
          <w:p w:rsidR="00000000" w:rsidDel="00000000" w:rsidP="00000000" w:rsidRDefault="00000000" w:rsidRPr="00000000" w14:paraId="00000035">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8</w:t>
            </w:r>
          </w:p>
        </w:tc>
        <w:tc>
          <w:tcPr/>
          <w:p w:rsidR="00000000" w:rsidDel="00000000" w:rsidP="00000000" w:rsidRDefault="00000000" w:rsidRPr="00000000" w14:paraId="00000036">
            <w:pPr>
              <w:ind w:firstLine="72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22.22%</w:t>
            </w:r>
          </w:p>
        </w:tc>
      </w:tr>
      <w:tr>
        <w:trPr>
          <w:cantSplit w:val="0"/>
          <w:trHeight w:val="320" w:hRule="atLeast"/>
          <w:tblHeader w:val="0"/>
        </w:trPr>
        <w:tc>
          <w:tcPr/>
          <w:p w:rsidR="00000000" w:rsidDel="00000000" w:rsidP="00000000" w:rsidRDefault="00000000" w:rsidRPr="00000000" w14:paraId="00000037">
            <w:pPr>
              <w:jc w:val="both"/>
              <w:rPr>
                <w:rFonts w:ascii="Times New Roman" w:cs="Times New Roman" w:eastAsia="Times New Roman" w:hAnsi="Times New Roman"/>
                <w:b w:val="0"/>
                <w:smallCaps w:val="0"/>
              </w:rPr>
            </w:pPr>
            <w:r w:rsidDel="00000000" w:rsidR="00000000" w:rsidRPr="00000000">
              <w:rPr>
                <w:rFonts w:ascii="Times New Roman" w:cs="Times New Roman" w:eastAsia="Times New Roman" w:hAnsi="Times New Roman"/>
                <w:b w:val="0"/>
                <w:smallCaps w:val="0"/>
                <w:rtl w:val="0"/>
              </w:rPr>
              <w:t xml:space="preserve">35 to 44</w:t>
            </w:r>
          </w:p>
        </w:tc>
        <w:tc>
          <w:tcPr/>
          <w:p w:rsidR="00000000" w:rsidDel="00000000" w:rsidP="00000000" w:rsidRDefault="00000000" w:rsidRPr="00000000" w14:paraId="00000038">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2</w:t>
            </w:r>
          </w:p>
        </w:tc>
        <w:tc>
          <w:tcPr/>
          <w:p w:rsidR="00000000" w:rsidDel="00000000" w:rsidP="00000000" w:rsidRDefault="00000000" w:rsidRPr="00000000" w14:paraId="00000039">
            <w:pPr>
              <w:ind w:firstLine="72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5.56%</w:t>
            </w:r>
          </w:p>
        </w:tc>
      </w:tr>
      <w:tr>
        <w:trPr>
          <w:cantSplit w:val="0"/>
          <w:trHeight w:val="320" w:hRule="atLeast"/>
          <w:tblHeader w:val="0"/>
        </w:trPr>
        <w:tc>
          <w:tcPr/>
          <w:p w:rsidR="00000000" w:rsidDel="00000000" w:rsidP="00000000" w:rsidRDefault="00000000" w:rsidRPr="00000000" w14:paraId="0000003A">
            <w:pPr>
              <w:jc w:val="both"/>
              <w:rPr>
                <w:rFonts w:ascii="Times New Roman" w:cs="Times New Roman" w:eastAsia="Times New Roman" w:hAnsi="Times New Roman"/>
                <w:b w:val="0"/>
                <w:smallCaps w:val="0"/>
              </w:rPr>
            </w:pPr>
            <w:r w:rsidDel="00000000" w:rsidR="00000000" w:rsidRPr="00000000">
              <w:rPr>
                <w:rFonts w:ascii="Times New Roman" w:cs="Times New Roman" w:eastAsia="Times New Roman" w:hAnsi="Times New Roman"/>
                <w:b w:val="0"/>
                <w:smallCaps w:val="0"/>
                <w:rtl w:val="0"/>
              </w:rPr>
              <w:t xml:space="preserve">35 to 44 </w:t>
            </w:r>
          </w:p>
        </w:tc>
        <w:tc>
          <w:tcPr/>
          <w:p w:rsidR="00000000" w:rsidDel="00000000" w:rsidP="00000000" w:rsidRDefault="00000000" w:rsidRPr="00000000" w14:paraId="0000003B">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9</w:t>
            </w:r>
          </w:p>
        </w:tc>
        <w:tc>
          <w:tcPr/>
          <w:p w:rsidR="00000000" w:rsidDel="00000000" w:rsidP="00000000" w:rsidRDefault="00000000" w:rsidRPr="00000000" w14:paraId="0000003C">
            <w:pPr>
              <w:ind w:firstLine="72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25.00%</w:t>
            </w:r>
          </w:p>
        </w:tc>
      </w:tr>
      <w:tr>
        <w:trPr>
          <w:cantSplit w:val="0"/>
          <w:trHeight w:val="320" w:hRule="atLeast"/>
          <w:tblHeader w:val="0"/>
        </w:trPr>
        <w:tc>
          <w:tcPr/>
          <w:p w:rsidR="00000000" w:rsidDel="00000000" w:rsidP="00000000" w:rsidRDefault="00000000" w:rsidRPr="00000000" w14:paraId="0000003D">
            <w:pPr>
              <w:jc w:val="both"/>
              <w:rPr>
                <w:rFonts w:ascii="Times New Roman" w:cs="Times New Roman" w:eastAsia="Times New Roman" w:hAnsi="Times New Roman"/>
                <w:b w:val="0"/>
                <w:smallCaps w:val="0"/>
              </w:rPr>
            </w:pPr>
            <w:r w:rsidDel="00000000" w:rsidR="00000000" w:rsidRPr="00000000">
              <w:rPr>
                <w:rFonts w:ascii="Times New Roman" w:cs="Times New Roman" w:eastAsia="Times New Roman" w:hAnsi="Times New Roman"/>
                <w:b w:val="0"/>
                <w:smallCaps w:val="0"/>
                <w:rtl w:val="0"/>
              </w:rPr>
              <w:t xml:space="preserve">45 to 54</w:t>
            </w:r>
          </w:p>
        </w:tc>
        <w:tc>
          <w:tcPr/>
          <w:p w:rsidR="00000000" w:rsidDel="00000000" w:rsidP="00000000" w:rsidRDefault="00000000" w:rsidRPr="00000000" w14:paraId="0000003E">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3</w:t>
            </w:r>
          </w:p>
        </w:tc>
        <w:tc>
          <w:tcPr/>
          <w:p w:rsidR="00000000" w:rsidDel="00000000" w:rsidP="00000000" w:rsidRDefault="00000000" w:rsidRPr="00000000" w14:paraId="0000003F">
            <w:pPr>
              <w:ind w:firstLine="72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8.33%</w:t>
            </w:r>
          </w:p>
        </w:tc>
      </w:tr>
      <w:tr>
        <w:trPr>
          <w:cantSplit w:val="0"/>
          <w:trHeight w:val="320" w:hRule="atLeast"/>
          <w:tblHeader w:val="0"/>
        </w:trPr>
        <w:tc>
          <w:tcPr/>
          <w:p w:rsidR="00000000" w:rsidDel="00000000" w:rsidP="00000000" w:rsidRDefault="00000000" w:rsidRPr="00000000" w14:paraId="00000040">
            <w:pPr>
              <w:jc w:val="both"/>
              <w:rPr>
                <w:rFonts w:ascii="Times New Roman" w:cs="Times New Roman" w:eastAsia="Times New Roman" w:hAnsi="Times New Roman"/>
                <w:b w:val="0"/>
                <w:smallCaps w:val="0"/>
              </w:rPr>
            </w:pPr>
            <w:r w:rsidDel="00000000" w:rsidR="00000000" w:rsidRPr="00000000">
              <w:rPr>
                <w:rFonts w:ascii="Times New Roman" w:cs="Times New Roman" w:eastAsia="Times New Roman" w:hAnsi="Times New Roman"/>
                <w:b w:val="0"/>
                <w:smallCaps w:val="0"/>
                <w:rtl w:val="0"/>
              </w:rPr>
              <w:t xml:space="preserve">45 to 54 </w:t>
            </w:r>
          </w:p>
        </w:tc>
        <w:tc>
          <w:tcPr/>
          <w:p w:rsidR="00000000" w:rsidDel="00000000" w:rsidP="00000000" w:rsidRDefault="00000000" w:rsidRPr="00000000" w14:paraId="00000041">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7</w:t>
            </w:r>
          </w:p>
        </w:tc>
        <w:tc>
          <w:tcPr/>
          <w:p w:rsidR="00000000" w:rsidDel="00000000" w:rsidP="00000000" w:rsidRDefault="00000000" w:rsidRPr="00000000" w14:paraId="00000042">
            <w:pPr>
              <w:ind w:firstLine="72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19.44%</w:t>
            </w:r>
          </w:p>
        </w:tc>
      </w:tr>
      <w:tr>
        <w:trPr>
          <w:cantSplit w:val="0"/>
          <w:trHeight w:val="320" w:hRule="atLeast"/>
          <w:tblHeader w:val="0"/>
        </w:trPr>
        <w:tc>
          <w:tcPr/>
          <w:p w:rsidR="00000000" w:rsidDel="00000000" w:rsidP="00000000" w:rsidRDefault="00000000" w:rsidRPr="00000000" w14:paraId="00000043">
            <w:pPr>
              <w:jc w:val="both"/>
              <w:rPr>
                <w:rFonts w:ascii="Times New Roman" w:cs="Times New Roman" w:eastAsia="Times New Roman" w:hAnsi="Times New Roman"/>
                <w:b w:val="0"/>
                <w:smallCaps w:val="0"/>
              </w:rPr>
            </w:pPr>
            <w:r w:rsidDel="00000000" w:rsidR="00000000" w:rsidRPr="00000000">
              <w:rPr>
                <w:rFonts w:ascii="Times New Roman" w:cs="Times New Roman" w:eastAsia="Times New Roman" w:hAnsi="Times New Roman"/>
                <w:b w:val="0"/>
                <w:smallCaps w:val="0"/>
                <w:rtl w:val="0"/>
              </w:rPr>
              <w:t xml:space="preserve">55 to 64</w:t>
            </w:r>
          </w:p>
        </w:tc>
        <w:tc>
          <w:tcPr/>
          <w:p w:rsidR="00000000" w:rsidDel="00000000" w:rsidP="00000000" w:rsidRDefault="00000000" w:rsidRPr="00000000" w14:paraId="00000044">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4</w:t>
            </w:r>
          </w:p>
        </w:tc>
        <w:tc>
          <w:tcPr/>
          <w:p w:rsidR="00000000" w:rsidDel="00000000" w:rsidP="00000000" w:rsidRDefault="00000000" w:rsidRPr="00000000" w14:paraId="00000045">
            <w:pPr>
              <w:ind w:firstLine="72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11.11%</w:t>
            </w:r>
          </w:p>
        </w:tc>
      </w:tr>
      <w:tr>
        <w:trPr>
          <w:cantSplit w:val="0"/>
          <w:trHeight w:val="320" w:hRule="atLeast"/>
          <w:tblHeader w:val="0"/>
        </w:trPr>
        <w:tc>
          <w:tcPr/>
          <w:p w:rsidR="00000000" w:rsidDel="00000000" w:rsidP="00000000" w:rsidRDefault="00000000" w:rsidRPr="00000000" w14:paraId="00000046">
            <w:pPr>
              <w:jc w:val="both"/>
              <w:rPr>
                <w:rFonts w:ascii="Times New Roman" w:cs="Times New Roman" w:eastAsia="Times New Roman" w:hAnsi="Times New Roman"/>
                <w:b w:val="0"/>
                <w:smallCaps w:val="0"/>
              </w:rPr>
            </w:pPr>
            <w:r w:rsidDel="00000000" w:rsidR="00000000" w:rsidRPr="00000000">
              <w:rPr>
                <w:rFonts w:ascii="Times New Roman" w:cs="Times New Roman" w:eastAsia="Times New Roman" w:hAnsi="Times New Roman"/>
                <w:b w:val="0"/>
                <w:smallCaps w:val="0"/>
                <w:rtl w:val="0"/>
              </w:rPr>
              <w:t xml:space="preserve">65 or more</w:t>
            </w:r>
          </w:p>
        </w:tc>
        <w:tc>
          <w:tcPr/>
          <w:p w:rsidR="00000000" w:rsidDel="00000000" w:rsidP="00000000" w:rsidRDefault="00000000" w:rsidRPr="00000000" w14:paraId="00000047">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1</w:t>
            </w:r>
          </w:p>
        </w:tc>
        <w:tc>
          <w:tcPr/>
          <w:p w:rsidR="00000000" w:rsidDel="00000000" w:rsidP="00000000" w:rsidRDefault="00000000" w:rsidRPr="00000000" w14:paraId="00000048">
            <w:pPr>
              <w:ind w:firstLine="72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2.78%</w:t>
            </w:r>
          </w:p>
        </w:tc>
      </w:tr>
      <w:tr>
        <w:trPr>
          <w:cantSplit w:val="0"/>
          <w:trHeight w:val="320" w:hRule="atLeast"/>
          <w:tblHeader w:val="0"/>
        </w:trPr>
        <w:tc>
          <w:tcPr/>
          <w:p w:rsidR="00000000" w:rsidDel="00000000" w:rsidP="00000000" w:rsidRDefault="00000000" w:rsidRPr="00000000" w14:paraId="00000049">
            <w:pPr>
              <w:jc w:val="both"/>
              <w:rPr>
                <w:rFonts w:ascii="Times New Roman" w:cs="Times New Roman" w:eastAsia="Times New Roman" w:hAnsi="Times New Roman"/>
                <w:b w:val="0"/>
                <w:smallCaps w:val="0"/>
              </w:rPr>
            </w:pPr>
            <w:r w:rsidDel="00000000" w:rsidR="00000000" w:rsidRPr="00000000">
              <w:rPr>
                <w:rFonts w:ascii="Times New Roman" w:cs="Times New Roman" w:eastAsia="Times New Roman" w:hAnsi="Times New Roman"/>
                <w:b w:val="0"/>
                <w:smallCaps w:val="0"/>
                <w:rtl w:val="0"/>
              </w:rPr>
              <w:t xml:space="preserve">Race/ethnicity</w:t>
            </w:r>
          </w:p>
        </w:tc>
        <w:tc>
          <w:tcPr/>
          <w:p w:rsidR="00000000" w:rsidDel="00000000" w:rsidP="00000000" w:rsidRDefault="00000000" w:rsidRPr="00000000" w14:paraId="0000004A">
            <w:pPr>
              <w:rPr>
                <w:rFonts w:ascii="Times New Roman" w:cs="Times New Roman" w:eastAsia="Times New Roman" w:hAnsi="Times New Roman"/>
              </w:rPr>
            </w:pPr>
            <w:r w:rsidDel="00000000" w:rsidR="00000000" w:rsidRPr="00000000">
              <w:rPr>
                <w:rtl w:val="0"/>
              </w:rPr>
            </w:r>
          </w:p>
        </w:tc>
        <w:tc>
          <w:tcPr/>
          <w:p w:rsidR="00000000" w:rsidDel="00000000" w:rsidP="00000000" w:rsidRDefault="00000000" w:rsidRPr="00000000" w14:paraId="0000004B">
            <w:pPr>
              <w:ind w:firstLine="720"/>
              <w:rPr>
                <w:rFonts w:ascii="Times New Roman" w:cs="Times New Roman" w:eastAsia="Times New Roman" w:hAnsi="Times New Roman"/>
              </w:rPr>
            </w:pPr>
            <w:r w:rsidDel="00000000" w:rsidR="00000000" w:rsidRPr="00000000">
              <w:rPr>
                <w:rtl w:val="0"/>
              </w:rPr>
            </w:r>
          </w:p>
        </w:tc>
      </w:tr>
      <w:tr>
        <w:trPr>
          <w:cantSplit w:val="0"/>
          <w:trHeight w:val="320" w:hRule="atLeast"/>
          <w:tblHeader w:val="0"/>
        </w:trPr>
        <w:tc>
          <w:tcPr/>
          <w:p w:rsidR="00000000" w:rsidDel="00000000" w:rsidP="00000000" w:rsidRDefault="00000000" w:rsidRPr="00000000" w14:paraId="0000004C">
            <w:pPr>
              <w:jc w:val="both"/>
              <w:rPr>
                <w:rFonts w:ascii="Times New Roman" w:cs="Times New Roman" w:eastAsia="Times New Roman" w:hAnsi="Times New Roman"/>
                <w:b w:val="0"/>
                <w:smallCaps w:val="0"/>
              </w:rPr>
            </w:pPr>
            <w:r w:rsidDel="00000000" w:rsidR="00000000" w:rsidRPr="00000000">
              <w:rPr>
                <w:rFonts w:ascii="Times New Roman" w:cs="Times New Roman" w:eastAsia="Times New Roman" w:hAnsi="Times New Roman"/>
                <w:b w:val="0"/>
                <w:smallCaps w:val="0"/>
                <w:rtl w:val="0"/>
              </w:rPr>
              <w:t xml:space="preserve">Black</w:t>
            </w:r>
          </w:p>
        </w:tc>
        <w:tc>
          <w:tcPr/>
          <w:p w:rsidR="00000000" w:rsidDel="00000000" w:rsidP="00000000" w:rsidRDefault="00000000" w:rsidRPr="00000000" w14:paraId="0000004D">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8</w:t>
            </w:r>
          </w:p>
        </w:tc>
        <w:tc>
          <w:tcPr/>
          <w:p w:rsidR="00000000" w:rsidDel="00000000" w:rsidP="00000000" w:rsidRDefault="00000000" w:rsidRPr="00000000" w14:paraId="0000004E">
            <w:pPr>
              <w:ind w:firstLine="72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22.22%</w:t>
            </w:r>
          </w:p>
        </w:tc>
      </w:tr>
      <w:tr>
        <w:trPr>
          <w:cantSplit w:val="0"/>
          <w:trHeight w:val="320" w:hRule="atLeast"/>
          <w:tblHeader w:val="0"/>
        </w:trPr>
        <w:tc>
          <w:tcPr/>
          <w:p w:rsidR="00000000" w:rsidDel="00000000" w:rsidP="00000000" w:rsidRDefault="00000000" w:rsidRPr="00000000" w14:paraId="0000004F">
            <w:pPr>
              <w:jc w:val="both"/>
              <w:rPr>
                <w:rFonts w:ascii="Times New Roman" w:cs="Times New Roman" w:eastAsia="Times New Roman" w:hAnsi="Times New Roman"/>
                <w:b w:val="0"/>
                <w:smallCaps w:val="0"/>
              </w:rPr>
            </w:pPr>
            <w:r w:rsidDel="00000000" w:rsidR="00000000" w:rsidRPr="00000000">
              <w:rPr>
                <w:rFonts w:ascii="Times New Roman" w:cs="Times New Roman" w:eastAsia="Times New Roman" w:hAnsi="Times New Roman"/>
                <w:b w:val="0"/>
                <w:smallCaps w:val="0"/>
                <w:rtl w:val="0"/>
              </w:rPr>
              <w:t xml:space="preserve">White</w:t>
            </w:r>
          </w:p>
        </w:tc>
        <w:tc>
          <w:tcPr/>
          <w:p w:rsidR="00000000" w:rsidDel="00000000" w:rsidP="00000000" w:rsidRDefault="00000000" w:rsidRPr="00000000" w14:paraId="00000050">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26</w:t>
            </w:r>
          </w:p>
        </w:tc>
        <w:tc>
          <w:tcPr/>
          <w:p w:rsidR="00000000" w:rsidDel="00000000" w:rsidP="00000000" w:rsidRDefault="00000000" w:rsidRPr="00000000" w14:paraId="00000051">
            <w:pPr>
              <w:ind w:firstLine="72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72.22%</w:t>
            </w:r>
          </w:p>
        </w:tc>
      </w:tr>
      <w:tr>
        <w:trPr>
          <w:cantSplit w:val="0"/>
          <w:trHeight w:val="320" w:hRule="atLeast"/>
          <w:tblHeader w:val="0"/>
        </w:trPr>
        <w:tc>
          <w:tcPr/>
          <w:p w:rsidR="00000000" w:rsidDel="00000000" w:rsidP="00000000" w:rsidRDefault="00000000" w:rsidRPr="00000000" w14:paraId="00000052">
            <w:pPr>
              <w:jc w:val="both"/>
              <w:rPr>
                <w:rFonts w:ascii="Times New Roman" w:cs="Times New Roman" w:eastAsia="Times New Roman" w:hAnsi="Times New Roman"/>
                <w:b w:val="0"/>
                <w:smallCaps w:val="0"/>
              </w:rPr>
            </w:pPr>
            <w:r w:rsidDel="00000000" w:rsidR="00000000" w:rsidRPr="00000000">
              <w:rPr>
                <w:rFonts w:ascii="Times New Roman" w:cs="Times New Roman" w:eastAsia="Times New Roman" w:hAnsi="Times New Roman"/>
                <w:b w:val="0"/>
                <w:smallCaps w:val="0"/>
                <w:rtl w:val="0"/>
              </w:rPr>
              <w:t xml:space="preserve">Yellow (Asian/indigenous)</w:t>
            </w:r>
          </w:p>
        </w:tc>
        <w:tc>
          <w:tcPr/>
          <w:p w:rsidR="00000000" w:rsidDel="00000000" w:rsidP="00000000" w:rsidRDefault="00000000" w:rsidRPr="00000000" w14:paraId="00000053">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2</w:t>
            </w:r>
          </w:p>
        </w:tc>
        <w:tc>
          <w:tcPr/>
          <w:p w:rsidR="00000000" w:rsidDel="00000000" w:rsidP="00000000" w:rsidRDefault="00000000" w:rsidRPr="00000000" w14:paraId="00000054">
            <w:pPr>
              <w:ind w:firstLine="72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5.56%</w:t>
            </w:r>
          </w:p>
        </w:tc>
      </w:tr>
      <w:tr>
        <w:trPr>
          <w:cantSplit w:val="0"/>
          <w:trHeight w:val="320" w:hRule="atLeast"/>
          <w:tblHeader w:val="0"/>
        </w:trPr>
        <w:tc>
          <w:tcPr/>
          <w:p w:rsidR="00000000" w:rsidDel="00000000" w:rsidP="00000000" w:rsidRDefault="00000000" w:rsidRPr="00000000" w14:paraId="00000055">
            <w:pPr>
              <w:jc w:val="both"/>
              <w:rPr>
                <w:rFonts w:ascii="Times New Roman" w:cs="Times New Roman" w:eastAsia="Times New Roman" w:hAnsi="Times New Roman"/>
                <w:b w:val="0"/>
                <w:smallCaps w:val="0"/>
              </w:rPr>
            </w:pPr>
            <w:r w:rsidDel="00000000" w:rsidR="00000000" w:rsidRPr="00000000">
              <w:rPr>
                <w:rFonts w:ascii="Times New Roman" w:cs="Times New Roman" w:eastAsia="Times New Roman" w:hAnsi="Times New Roman"/>
                <w:b w:val="0"/>
                <w:smallCaps w:val="0"/>
                <w:rtl w:val="0"/>
              </w:rPr>
              <w:t xml:space="preserve">Profession (cadre)</w:t>
            </w:r>
          </w:p>
        </w:tc>
        <w:tc>
          <w:tcPr/>
          <w:p w:rsidR="00000000" w:rsidDel="00000000" w:rsidP="00000000" w:rsidRDefault="00000000" w:rsidRPr="00000000" w14:paraId="00000056">
            <w:pPr>
              <w:rPr>
                <w:rFonts w:ascii="Times New Roman" w:cs="Times New Roman" w:eastAsia="Times New Roman" w:hAnsi="Times New Roman"/>
              </w:rPr>
            </w:pPr>
            <w:r w:rsidDel="00000000" w:rsidR="00000000" w:rsidRPr="00000000">
              <w:rPr>
                <w:rtl w:val="0"/>
              </w:rPr>
            </w:r>
          </w:p>
        </w:tc>
        <w:tc>
          <w:tcPr/>
          <w:p w:rsidR="00000000" w:rsidDel="00000000" w:rsidP="00000000" w:rsidRDefault="00000000" w:rsidRPr="00000000" w14:paraId="00000057">
            <w:pPr>
              <w:ind w:firstLine="720"/>
              <w:rPr>
                <w:rFonts w:ascii="Times New Roman" w:cs="Times New Roman" w:eastAsia="Times New Roman" w:hAnsi="Times New Roman"/>
              </w:rPr>
            </w:pPr>
            <w:r w:rsidDel="00000000" w:rsidR="00000000" w:rsidRPr="00000000">
              <w:rPr>
                <w:rtl w:val="0"/>
              </w:rPr>
            </w:r>
          </w:p>
        </w:tc>
      </w:tr>
      <w:tr>
        <w:trPr>
          <w:cantSplit w:val="0"/>
          <w:trHeight w:val="320" w:hRule="atLeast"/>
          <w:tblHeader w:val="0"/>
        </w:trPr>
        <w:tc>
          <w:tcPr/>
          <w:p w:rsidR="00000000" w:rsidDel="00000000" w:rsidP="00000000" w:rsidRDefault="00000000" w:rsidRPr="00000000" w14:paraId="00000058">
            <w:pPr>
              <w:jc w:val="both"/>
              <w:rPr>
                <w:rFonts w:ascii="Times New Roman" w:cs="Times New Roman" w:eastAsia="Times New Roman" w:hAnsi="Times New Roman"/>
                <w:b w:val="0"/>
                <w:smallCaps w:val="0"/>
              </w:rPr>
            </w:pPr>
            <w:r w:rsidDel="00000000" w:rsidR="00000000" w:rsidRPr="00000000">
              <w:rPr>
                <w:rFonts w:ascii="Times New Roman" w:cs="Times New Roman" w:eastAsia="Times New Roman" w:hAnsi="Times New Roman"/>
                <w:b w:val="0"/>
                <w:smallCaps w:val="0"/>
                <w:rtl w:val="0"/>
              </w:rPr>
              <w:t xml:space="preserve">Administrative (clerical)</w:t>
            </w:r>
          </w:p>
        </w:tc>
        <w:tc>
          <w:tcPr/>
          <w:p w:rsidR="00000000" w:rsidDel="00000000" w:rsidP="00000000" w:rsidRDefault="00000000" w:rsidRPr="00000000" w14:paraId="00000059">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6</w:t>
            </w:r>
          </w:p>
        </w:tc>
        <w:tc>
          <w:tcPr/>
          <w:p w:rsidR="00000000" w:rsidDel="00000000" w:rsidP="00000000" w:rsidRDefault="00000000" w:rsidRPr="00000000" w14:paraId="0000005A">
            <w:pPr>
              <w:ind w:firstLine="72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16.67%</w:t>
            </w:r>
          </w:p>
        </w:tc>
      </w:tr>
      <w:tr>
        <w:trPr>
          <w:cantSplit w:val="0"/>
          <w:trHeight w:val="320" w:hRule="atLeast"/>
          <w:tblHeader w:val="0"/>
        </w:trPr>
        <w:tc>
          <w:tcPr/>
          <w:p w:rsidR="00000000" w:rsidDel="00000000" w:rsidP="00000000" w:rsidRDefault="00000000" w:rsidRPr="00000000" w14:paraId="0000005B">
            <w:pPr>
              <w:jc w:val="both"/>
              <w:rPr>
                <w:rFonts w:ascii="Times New Roman" w:cs="Times New Roman" w:eastAsia="Times New Roman" w:hAnsi="Times New Roman"/>
                <w:b w:val="0"/>
                <w:smallCaps w:val="0"/>
              </w:rPr>
            </w:pPr>
            <w:r w:rsidDel="00000000" w:rsidR="00000000" w:rsidRPr="00000000">
              <w:rPr>
                <w:rFonts w:ascii="Times New Roman" w:cs="Times New Roman" w:eastAsia="Times New Roman" w:hAnsi="Times New Roman"/>
                <w:b w:val="0"/>
                <w:smallCaps w:val="0"/>
                <w:rtl w:val="0"/>
              </w:rPr>
              <w:t xml:space="preserve">Doctor</w:t>
            </w:r>
          </w:p>
        </w:tc>
        <w:tc>
          <w:tcPr/>
          <w:p w:rsidR="00000000" w:rsidDel="00000000" w:rsidP="00000000" w:rsidRDefault="00000000" w:rsidRPr="00000000" w14:paraId="0000005C">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3</w:t>
            </w:r>
          </w:p>
        </w:tc>
        <w:tc>
          <w:tcPr/>
          <w:p w:rsidR="00000000" w:rsidDel="00000000" w:rsidP="00000000" w:rsidRDefault="00000000" w:rsidRPr="00000000" w14:paraId="0000005D">
            <w:pPr>
              <w:ind w:firstLine="72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8.33%</w:t>
            </w:r>
          </w:p>
        </w:tc>
      </w:tr>
      <w:tr>
        <w:trPr>
          <w:cantSplit w:val="0"/>
          <w:trHeight w:val="320" w:hRule="atLeast"/>
          <w:tblHeader w:val="0"/>
        </w:trPr>
        <w:tc>
          <w:tcPr/>
          <w:p w:rsidR="00000000" w:rsidDel="00000000" w:rsidP="00000000" w:rsidRDefault="00000000" w:rsidRPr="00000000" w14:paraId="0000005E">
            <w:pPr>
              <w:jc w:val="both"/>
              <w:rPr>
                <w:rFonts w:ascii="Times New Roman" w:cs="Times New Roman" w:eastAsia="Times New Roman" w:hAnsi="Times New Roman"/>
                <w:b w:val="0"/>
                <w:smallCaps w:val="0"/>
              </w:rPr>
            </w:pPr>
            <w:r w:rsidDel="00000000" w:rsidR="00000000" w:rsidRPr="00000000">
              <w:rPr>
                <w:rFonts w:ascii="Times New Roman" w:cs="Times New Roman" w:eastAsia="Times New Roman" w:hAnsi="Times New Roman"/>
                <w:b w:val="0"/>
                <w:smallCaps w:val="0"/>
                <w:rtl w:val="0"/>
              </w:rPr>
              <w:t xml:space="preserve">Nurse technician</w:t>
            </w:r>
          </w:p>
        </w:tc>
        <w:tc>
          <w:tcPr/>
          <w:p w:rsidR="00000000" w:rsidDel="00000000" w:rsidP="00000000" w:rsidRDefault="00000000" w:rsidRPr="00000000" w14:paraId="0000005F">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2</w:t>
            </w:r>
          </w:p>
        </w:tc>
        <w:tc>
          <w:tcPr/>
          <w:p w:rsidR="00000000" w:rsidDel="00000000" w:rsidP="00000000" w:rsidRDefault="00000000" w:rsidRPr="00000000" w14:paraId="00000060">
            <w:pPr>
              <w:ind w:firstLine="72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5.56%</w:t>
            </w:r>
          </w:p>
        </w:tc>
      </w:tr>
      <w:tr>
        <w:trPr>
          <w:cantSplit w:val="0"/>
          <w:trHeight w:val="320" w:hRule="atLeast"/>
          <w:tblHeader w:val="0"/>
        </w:trPr>
        <w:tc>
          <w:tcPr/>
          <w:p w:rsidR="00000000" w:rsidDel="00000000" w:rsidP="00000000" w:rsidRDefault="00000000" w:rsidRPr="00000000" w14:paraId="00000061">
            <w:pPr>
              <w:jc w:val="both"/>
              <w:rPr>
                <w:rFonts w:ascii="Times New Roman" w:cs="Times New Roman" w:eastAsia="Times New Roman" w:hAnsi="Times New Roman"/>
                <w:b w:val="0"/>
                <w:smallCaps w:val="0"/>
              </w:rPr>
            </w:pPr>
            <w:r w:rsidDel="00000000" w:rsidR="00000000" w:rsidRPr="00000000">
              <w:rPr>
                <w:rFonts w:ascii="Times New Roman" w:cs="Times New Roman" w:eastAsia="Times New Roman" w:hAnsi="Times New Roman"/>
                <w:b w:val="0"/>
                <w:smallCaps w:val="0"/>
                <w:rtl w:val="0"/>
              </w:rPr>
              <w:t xml:space="preserve">Nursing assistant</w:t>
            </w:r>
          </w:p>
        </w:tc>
        <w:tc>
          <w:tcPr/>
          <w:p w:rsidR="00000000" w:rsidDel="00000000" w:rsidP="00000000" w:rsidRDefault="00000000" w:rsidRPr="00000000" w14:paraId="00000062">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2</w:t>
            </w:r>
          </w:p>
        </w:tc>
        <w:tc>
          <w:tcPr/>
          <w:p w:rsidR="00000000" w:rsidDel="00000000" w:rsidP="00000000" w:rsidRDefault="00000000" w:rsidRPr="00000000" w14:paraId="00000063">
            <w:pPr>
              <w:ind w:firstLine="72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5.56%</w:t>
            </w:r>
          </w:p>
        </w:tc>
      </w:tr>
      <w:tr>
        <w:trPr>
          <w:cantSplit w:val="0"/>
          <w:trHeight w:val="320" w:hRule="atLeast"/>
          <w:tblHeader w:val="0"/>
        </w:trPr>
        <w:tc>
          <w:tcPr/>
          <w:p w:rsidR="00000000" w:rsidDel="00000000" w:rsidP="00000000" w:rsidRDefault="00000000" w:rsidRPr="00000000" w14:paraId="00000064">
            <w:pPr>
              <w:jc w:val="both"/>
              <w:rPr>
                <w:rFonts w:ascii="Times New Roman" w:cs="Times New Roman" w:eastAsia="Times New Roman" w:hAnsi="Times New Roman"/>
                <w:b w:val="0"/>
                <w:smallCaps w:val="0"/>
              </w:rPr>
            </w:pPr>
            <w:r w:rsidDel="00000000" w:rsidR="00000000" w:rsidRPr="00000000">
              <w:rPr>
                <w:rFonts w:ascii="Times New Roman" w:cs="Times New Roman" w:eastAsia="Times New Roman" w:hAnsi="Times New Roman"/>
                <w:b w:val="0"/>
                <w:smallCaps w:val="0"/>
                <w:rtl w:val="0"/>
              </w:rPr>
              <w:t xml:space="preserve">Other</w:t>
            </w:r>
          </w:p>
        </w:tc>
        <w:tc>
          <w:tcPr/>
          <w:p w:rsidR="00000000" w:rsidDel="00000000" w:rsidP="00000000" w:rsidRDefault="00000000" w:rsidRPr="00000000" w14:paraId="00000065">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3</w:t>
            </w:r>
          </w:p>
        </w:tc>
        <w:tc>
          <w:tcPr/>
          <w:p w:rsidR="00000000" w:rsidDel="00000000" w:rsidP="00000000" w:rsidRDefault="00000000" w:rsidRPr="00000000" w14:paraId="00000066">
            <w:pPr>
              <w:ind w:firstLine="72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8.33%</w:t>
            </w:r>
          </w:p>
        </w:tc>
      </w:tr>
      <w:tr>
        <w:trPr>
          <w:cantSplit w:val="0"/>
          <w:trHeight w:val="320" w:hRule="atLeast"/>
          <w:tblHeader w:val="0"/>
        </w:trPr>
        <w:tc>
          <w:tcPr/>
          <w:p w:rsidR="00000000" w:rsidDel="00000000" w:rsidP="00000000" w:rsidRDefault="00000000" w:rsidRPr="00000000" w14:paraId="00000067">
            <w:pPr>
              <w:jc w:val="both"/>
              <w:rPr>
                <w:rFonts w:ascii="Times New Roman" w:cs="Times New Roman" w:eastAsia="Times New Roman" w:hAnsi="Times New Roman"/>
                <w:b w:val="0"/>
                <w:smallCaps w:val="0"/>
              </w:rPr>
            </w:pPr>
            <w:r w:rsidDel="00000000" w:rsidR="00000000" w:rsidRPr="00000000">
              <w:rPr>
                <w:rFonts w:ascii="Times New Roman" w:cs="Times New Roman" w:eastAsia="Times New Roman" w:hAnsi="Times New Roman"/>
                <w:b w:val="0"/>
                <w:smallCaps w:val="0"/>
                <w:rtl w:val="0"/>
              </w:rPr>
              <w:t xml:space="preserve">Pharmacist</w:t>
            </w:r>
          </w:p>
        </w:tc>
        <w:tc>
          <w:tcPr/>
          <w:p w:rsidR="00000000" w:rsidDel="00000000" w:rsidP="00000000" w:rsidRDefault="00000000" w:rsidRPr="00000000" w14:paraId="00000068">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2</w:t>
            </w:r>
          </w:p>
        </w:tc>
        <w:tc>
          <w:tcPr/>
          <w:p w:rsidR="00000000" w:rsidDel="00000000" w:rsidP="00000000" w:rsidRDefault="00000000" w:rsidRPr="00000000" w14:paraId="00000069">
            <w:pPr>
              <w:ind w:firstLine="72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5.56%</w:t>
            </w:r>
          </w:p>
        </w:tc>
      </w:tr>
      <w:tr>
        <w:trPr>
          <w:cantSplit w:val="0"/>
          <w:trHeight w:val="320" w:hRule="atLeast"/>
          <w:tblHeader w:val="0"/>
        </w:trPr>
        <w:tc>
          <w:tcPr/>
          <w:p w:rsidR="00000000" w:rsidDel="00000000" w:rsidP="00000000" w:rsidRDefault="00000000" w:rsidRPr="00000000" w14:paraId="0000006A">
            <w:pPr>
              <w:jc w:val="both"/>
              <w:rPr>
                <w:rFonts w:ascii="Times New Roman" w:cs="Times New Roman" w:eastAsia="Times New Roman" w:hAnsi="Times New Roman"/>
                <w:b w:val="0"/>
                <w:smallCaps w:val="0"/>
              </w:rPr>
            </w:pPr>
            <w:r w:rsidDel="00000000" w:rsidR="00000000" w:rsidRPr="00000000">
              <w:rPr>
                <w:rFonts w:ascii="Times New Roman" w:cs="Times New Roman" w:eastAsia="Times New Roman" w:hAnsi="Times New Roman"/>
                <w:b w:val="0"/>
                <w:smallCaps w:val="0"/>
                <w:rtl w:val="0"/>
              </w:rPr>
              <w:t xml:space="preserve">Physiotherapist</w:t>
            </w:r>
          </w:p>
        </w:tc>
        <w:tc>
          <w:tcPr/>
          <w:p w:rsidR="00000000" w:rsidDel="00000000" w:rsidP="00000000" w:rsidRDefault="00000000" w:rsidRPr="00000000" w14:paraId="0000006B">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2</w:t>
            </w:r>
          </w:p>
        </w:tc>
        <w:tc>
          <w:tcPr/>
          <w:p w:rsidR="00000000" w:rsidDel="00000000" w:rsidP="00000000" w:rsidRDefault="00000000" w:rsidRPr="00000000" w14:paraId="0000006C">
            <w:pPr>
              <w:ind w:firstLine="72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5.56%</w:t>
            </w:r>
          </w:p>
        </w:tc>
      </w:tr>
      <w:tr>
        <w:trPr>
          <w:cantSplit w:val="0"/>
          <w:trHeight w:val="320" w:hRule="atLeast"/>
          <w:tblHeader w:val="0"/>
        </w:trPr>
        <w:tc>
          <w:tcPr>
            <w:tcBorders>
              <w:bottom w:color="000000" w:space="0" w:sz="4" w:val="single"/>
            </w:tcBorders>
          </w:tcPr>
          <w:p w:rsidR="00000000" w:rsidDel="00000000" w:rsidP="00000000" w:rsidRDefault="00000000" w:rsidRPr="00000000" w14:paraId="0000006D">
            <w:pPr>
              <w:jc w:val="both"/>
              <w:rPr>
                <w:rFonts w:ascii="Times New Roman" w:cs="Times New Roman" w:eastAsia="Times New Roman" w:hAnsi="Times New Roman"/>
                <w:b w:val="0"/>
                <w:smallCaps w:val="0"/>
              </w:rPr>
            </w:pPr>
            <w:r w:rsidDel="00000000" w:rsidR="00000000" w:rsidRPr="00000000">
              <w:rPr>
                <w:rFonts w:ascii="Times New Roman" w:cs="Times New Roman" w:eastAsia="Times New Roman" w:hAnsi="Times New Roman"/>
                <w:b w:val="0"/>
                <w:smallCaps w:val="0"/>
                <w:rtl w:val="0"/>
              </w:rPr>
              <w:t xml:space="preserve">Registered nurse</w:t>
            </w:r>
          </w:p>
        </w:tc>
        <w:tc>
          <w:tcPr>
            <w:tcBorders>
              <w:bottom w:color="000000" w:space="0" w:sz="4" w:val="single"/>
            </w:tcBorders>
          </w:tcPr>
          <w:p w:rsidR="00000000" w:rsidDel="00000000" w:rsidP="00000000" w:rsidRDefault="00000000" w:rsidRPr="00000000" w14:paraId="0000006E">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16</w:t>
            </w:r>
          </w:p>
        </w:tc>
        <w:tc>
          <w:tcPr>
            <w:tcBorders>
              <w:bottom w:color="000000" w:space="0" w:sz="4" w:val="single"/>
            </w:tcBorders>
          </w:tcPr>
          <w:p w:rsidR="00000000" w:rsidDel="00000000" w:rsidP="00000000" w:rsidRDefault="00000000" w:rsidRPr="00000000" w14:paraId="0000006F">
            <w:pPr>
              <w:ind w:firstLine="72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44.44%</w:t>
            </w:r>
          </w:p>
        </w:tc>
      </w:tr>
      <w:tr>
        <w:trPr>
          <w:cantSplit w:val="0"/>
          <w:trHeight w:val="100" w:hRule="atLeast"/>
          <w:tblHeader w:val="0"/>
        </w:trPr>
        <w:tc>
          <w:tcPr>
            <w:gridSpan w:val="3"/>
            <w:tcBorders>
              <w:top w:color="000000" w:space="0" w:sz="4" w:val="single"/>
            </w:tcBorders>
            <w:tcMar>
              <w:left w:w="70.0" w:type="dxa"/>
              <w:right w:w="70.0" w:type="dxa"/>
            </w:tcMar>
          </w:tcPr>
          <w:p w:rsidR="00000000" w:rsidDel="00000000" w:rsidP="00000000" w:rsidRDefault="00000000" w:rsidRPr="00000000" w14:paraId="00000070">
            <w:pPr>
              <w:rPr/>
            </w:pPr>
            <w:r w:rsidDel="00000000" w:rsidR="00000000" w:rsidRPr="00000000">
              <w:rPr>
                <w:rtl w:val="0"/>
              </w:rPr>
            </w:r>
          </w:p>
        </w:tc>
      </w:tr>
    </w:tbl>
    <w:p w:rsidR="00000000" w:rsidDel="00000000" w:rsidP="00000000" w:rsidRDefault="00000000" w:rsidRPr="00000000" w14:paraId="00000073">
      <w:pPr>
        <w:pBdr>
          <w:top w:space="0" w:sz="0" w:val="nil"/>
          <w:left w:space="0" w:sz="0" w:val="nil"/>
          <w:bottom w:space="0" w:sz="0" w:val="nil"/>
          <w:right w:space="0" w:sz="0" w:val="nil"/>
          <w:between w:space="0" w:sz="0" w:val="nil"/>
        </w:pBdr>
        <w:spacing w:after="60" w:before="240" w:line="228" w:lineRule="auto"/>
        <w:ind w:firstLine="720"/>
        <w:rPr/>
      </w:pPr>
      <w:r w:rsidDel="00000000" w:rsidR="00000000" w:rsidRPr="00000000">
        <w:rPr>
          <w:rtl w:val="0"/>
        </w:rPr>
        <w:t xml:space="preserve">The sample population was mostly white, comprising 72.22% of participants. Black individuals represented 22.22% of the sample, with a small Asian minority (5.56%). The sample was composed of individuals between 35 and 54 years old, constituting 44.44% of the total. There was a younger cohort aged 25-34 representing 27.78% of participants, and a smaller older population (55+) making up 14.44%. Registered Nurses formed the largest professional group, comprising 44.44% of the sample. Administrative roles represent 16.67% of the sample.</w:t>
      </w:r>
    </w:p>
    <w:p w:rsidR="00000000" w:rsidDel="00000000" w:rsidP="00000000" w:rsidRDefault="00000000" w:rsidRPr="00000000" w14:paraId="00000074">
      <w:pPr>
        <w:spacing w:after="60" w:before="240" w:line="207" w:lineRule="auto"/>
        <w:ind w:firstLine="720"/>
        <w:rPr>
          <w:b w:val="1"/>
        </w:rPr>
      </w:pPr>
      <w:r w:rsidDel="00000000" w:rsidR="00000000" w:rsidRPr="00000000">
        <w:rPr>
          <w:b w:val="1"/>
          <w:rtl w:val="0"/>
        </w:rPr>
        <w:t xml:space="preserve">Intervention Description: </w:t>
      </w:r>
    </w:p>
    <w:p w:rsidR="00000000" w:rsidDel="00000000" w:rsidP="00000000" w:rsidRDefault="00000000" w:rsidRPr="00000000" w14:paraId="00000075">
      <w:pPr>
        <w:ind w:firstLine="720"/>
        <w:rPr/>
      </w:pPr>
      <w:r w:rsidDel="00000000" w:rsidR="00000000" w:rsidRPr="00000000">
        <w:rPr>
          <w:rtl w:val="0"/>
        </w:rPr>
        <w:t xml:space="preserve">The proposed individual-level intervention was a virtual Resilience Program containing 82 messages developed by the Johnson &amp; Johnson Center for Health Worker Innovation. These messages aimed to teach and encourage the practice of five core behaviors: stress management through cognitive-behavioral techniques, mindfulness, relaxation techniques, self-care focused on personal values, and building a support network by connecting with others. These practices were selected based on a literature review and were grounded in evidence [9].</w:t>
      </w:r>
      <w:r w:rsidDel="00000000" w:rsidR="00000000" w:rsidRPr="00000000">
        <w:rPr>
          <w:rtl w:val="0"/>
        </w:rPr>
      </w:r>
    </w:p>
    <w:p w:rsidR="00000000" w:rsidDel="00000000" w:rsidP="00000000" w:rsidRDefault="00000000" w:rsidRPr="00000000" w14:paraId="00000076">
      <w:pPr>
        <w:ind w:firstLine="720"/>
        <w:rPr/>
      </w:pPr>
      <w:r w:rsidDel="00000000" w:rsidR="00000000" w:rsidRPr="00000000">
        <w:rPr>
          <w:rtl w:val="0"/>
        </w:rPr>
        <w:t xml:space="preserve">They were translated from English to Portuguese and adapted to the Brazilian cultural context, considering elements of comprehension and the standardization of terms. These adaptations were made by the researchers through two virtual meetings with a focus group of eight volunteer healthcare professionals working in a SUS-general hospital. During these meetings, participants provided feedback on the clarity of the messages, tone (persona), and emotional resonance. Suggestions for adjustments were incorporated while maintaining the original intent of the messages.</w:t>
      </w:r>
    </w:p>
    <w:p w:rsidR="00000000" w:rsidDel="00000000" w:rsidP="00000000" w:rsidRDefault="00000000" w:rsidRPr="00000000" w14:paraId="00000077">
      <w:pPr>
        <w:rPr/>
      </w:pPr>
      <w:r w:rsidDel="00000000" w:rsidR="00000000" w:rsidRPr="00000000">
        <w:rPr>
          <w:rtl w:val="0"/>
        </w:rPr>
      </w:r>
    </w:p>
    <w:p w:rsidR="00000000" w:rsidDel="00000000" w:rsidP="00000000" w:rsidRDefault="00000000" w:rsidRPr="00000000" w14:paraId="00000078">
      <w:pPr>
        <w:ind w:firstLine="720"/>
        <w:rPr/>
      </w:pPr>
      <w:r w:rsidDel="00000000" w:rsidR="00000000" w:rsidRPr="00000000">
        <w:rPr>
          <w:rtl w:val="0"/>
        </w:rPr>
        <w:t xml:space="preserve">The Resilience Program was delivered by a m-Health solution called CommCare Companion Application (</w:t>
      </w:r>
      <w:r w:rsidDel="00000000" w:rsidR="00000000" w:rsidRPr="00000000">
        <w:rPr>
          <w:color w:val="3f3f3f"/>
          <w:rtl w:val="0"/>
        </w:rPr>
        <w:t xml:space="preserve">CCA©)</w:t>
      </w:r>
      <w:r w:rsidDel="00000000" w:rsidR="00000000" w:rsidRPr="00000000">
        <w:rPr>
          <w:rtl w:val="0"/>
        </w:rPr>
        <w:t xml:space="preserve">. The Companion Application powered by CommCare, was created exclusively for Android devices. It served as a 6-month guided journey that led healthcare workers (HCWs) through the 82 messages of the Resilience Message Program. The app sent push notifications to encourage action upon receiving a new message. Designed to engage users, the app featured multimedia content and images that promoted the reading of messages. Users were awarded virtual badges for completing activities, and at the end of each month, they received a summary of the content delivered, along with reflective prompts to assess how often they engaged in behaviors related to resilience and well-being. The study data was collected through a questionnaire sent to the participants via a SurveyMonkey® link. The questionnaires were administered at two time points (baseline and endline) and collected information on the following: demographic characteristics; interaction with the messaging application and usability; frequency of adopting suggested behaviors; measures of well-being and burnout (physical and mental exhaustion), resilience, assessed using the Brief Resilience Scale (B-BRS), burnout measured with the Maslach Burnout Inventory (MBI), and well-being evaluated with the WHO-5 Well-Being Index.</w:t>
      </w:r>
    </w:p>
    <w:p w:rsidR="00000000" w:rsidDel="00000000" w:rsidP="00000000" w:rsidRDefault="00000000" w:rsidRPr="00000000" w14:paraId="00000079">
      <w:pPr>
        <w:rPr/>
      </w:pPr>
      <w:r w:rsidDel="00000000" w:rsidR="00000000" w:rsidRPr="00000000">
        <w:rPr>
          <w:rtl w:val="0"/>
        </w:rPr>
      </w:r>
    </w:p>
    <w:p w:rsidR="00000000" w:rsidDel="00000000" w:rsidP="00000000" w:rsidRDefault="00000000" w:rsidRPr="00000000" w14:paraId="0000007A">
      <w:pPr>
        <w:rPr/>
      </w:pPr>
      <w:r w:rsidDel="00000000" w:rsidR="00000000" w:rsidRPr="00000000">
        <w:rPr>
          <w:rtl w:val="0"/>
        </w:rPr>
        <w:t xml:space="preserve">The surveys were conducted remotely, with healthcare professionals answering from their mobile phones</w:t>
      </w:r>
    </w:p>
    <w:p w:rsidR="00000000" w:rsidDel="00000000" w:rsidP="00000000" w:rsidRDefault="00000000" w:rsidRPr="00000000" w14:paraId="0000007B">
      <w:pPr>
        <w:spacing w:after="60" w:before="240" w:lineRule="auto"/>
        <w:rPr/>
      </w:pPr>
      <w:r w:rsidDel="00000000" w:rsidR="00000000" w:rsidRPr="00000000">
        <w:rPr>
          <w:rtl w:val="0"/>
        </w:rPr>
        <w:t xml:space="preserve">This is one of the messages offered by the App: “Studies show that 86% of nurses are affected by stress. Stress isn't always a bad thing. It can be helpful for solving problems or achieving goals. But if it's excessive, you may feel overwhelmed, irritable, and even fearful. Here are some simple coping mechanisms:</w:t>
      </w:r>
    </w:p>
    <w:p w:rsidR="00000000" w:rsidDel="00000000" w:rsidP="00000000" w:rsidRDefault="00000000" w:rsidRPr="00000000" w14:paraId="0000007C">
      <w:pPr>
        <w:numPr>
          <w:ilvl w:val="0"/>
          <w:numId w:val="1"/>
        </w:numPr>
        <w:spacing w:after="60" w:before="240" w:lineRule="auto"/>
        <w:ind w:left="720" w:hanging="360"/>
        <w:rPr/>
      </w:pPr>
      <w:r w:rsidDel="00000000" w:rsidR="00000000" w:rsidRPr="00000000">
        <w:rPr>
          <w:rtl w:val="0"/>
        </w:rPr>
        <w:t xml:space="preserve">Talk to a trusted friend, family member, or coworker.</w:t>
      </w:r>
    </w:p>
    <w:p w:rsidR="00000000" w:rsidDel="00000000" w:rsidP="00000000" w:rsidRDefault="00000000" w:rsidRPr="00000000" w14:paraId="0000007D">
      <w:pPr>
        <w:numPr>
          <w:ilvl w:val="0"/>
          <w:numId w:val="1"/>
        </w:numPr>
        <w:spacing w:after="60" w:before="240" w:lineRule="auto"/>
        <w:ind w:left="720" w:hanging="360"/>
        <w:rPr/>
      </w:pPr>
      <w:r w:rsidDel="00000000" w:rsidR="00000000" w:rsidRPr="00000000">
        <w:rPr>
          <w:rtl w:val="0"/>
        </w:rPr>
        <w:t xml:space="preserve">Take time to do something you enjoy.</w:t>
      </w:r>
    </w:p>
    <w:p w:rsidR="00000000" w:rsidDel="00000000" w:rsidP="00000000" w:rsidRDefault="00000000" w:rsidRPr="00000000" w14:paraId="0000007E">
      <w:pPr>
        <w:numPr>
          <w:ilvl w:val="0"/>
          <w:numId w:val="1"/>
        </w:numPr>
        <w:spacing w:after="60" w:before="240" w:lineRule="auto"/>
        <w:ind w:left="720" w:hanging="360"/>
        <w:rPr/>
      </w:pPr>
      <w:r w:rsidDel="00000000" w:rsidR="00000000" w:rsidRPr="00000000">
        <w:rPr>
          <w:rtl w:val="0"/>
        </w:rPr>
        <w:t xml:space="preserve">Be kind to others.</w:t>
      </w:r>
    </w:p>
    <w:p w:rsidR="00000000" w:rsidDel="00000000" w:rsidP="00000000" w:rsidRDefault="00000000" w:rsidRPr="00000000" w14:paraId="0000007F">
      <w:pPr>
        <w:spacing w:after="60" w:before="240" w:lineRule="auto"/>
        <w:rPr/>
      </w:pPr>
      <w:r w:rsidDel="00000000" w:rsidR="00000000" w:rsidRPr="00000000">
        <w:rPr>
          <w:rtl w:val="0"/>
        </w:rPr>
        <w:t xml:space="preserve">Remember: A kind gesture is never wasted.”</w:t>
      </w:r>
    </w:p>
    <w:p w:rsidR="00000000" w:rsidDel="00000000" w:rsidP="00000000" w:rsidRDefault="00000000" w:rsidRPr="00000000" w14:paraId="00000080">
      <w:pPr>
        <w:spacing w:after="60" w:before="240" w:line="207" w:lineRule="auto"/>
        <w:ind w:firstLine="720"/>
        <w:rPr>
          <w:b w:val="1"/>
        </w:rPr>
      </w:pPr>
      <w:r w:rsidDel="00000000" w:rsidR="00000000" w:rsidRPr="00000000">
        <w:rPr>
          <w:rtl w:val="0"/>
        </w:rPr>
        <w:t xml:space="preserve">     </w:t>
      </w:r>
      <w:r w:rsidDel="00000000" w:rsidR="00000000" w:rsidRPr="00000000">
        <w:rPr>
          <w:b w:val="1"/>
          <w:rtl w:val="0"/>
        </w:rPr>
        <w:t xml:space="preserve">Data collection:</w:t>
      </w:r>
    </w:p>
    <w:p w:rsidR="00000000" w:rsidDel="00000000" w:rsidP="00000000" w:rsidRDefault="00000000" w:rsidRPr="00000000" w14:paraId="00000081">
      <w:pPr>
        <w:ind w:firstLine="720"/>
        <w:rPr/>
      </w:pPr>
      <w:r w:rsidDel="00000000" w:rsidR="00000000" w:rsidRPr="00000000">
        <w:rPr>
          <w:rtl w:val="0"/>
        </w:rPr>
        <w:t xml:space="preserve">Data were collected at baseline and 6 months post-intervention using validated self-report surveys administered through the </w:t>
      </w:r>
      <w:r w:rsidDel="00000000" w:rsidR="00000000" w:rsidRPr="00000000">
        <w:rPr>
          <w:color w:val="3f3f3f"/>
          <w:rtl w:val="0"/>
        </w:rPr>
        <w:t xml:space="preserve">CCA©</w:t>
      </w:r>
      <w:r w:rsidDel="00000000" w:rsidR="00000000" w:rsidRPr="00000000">
        <w:rPr>
          <w:rtl w:val="0"/>
        </w:rPr>
        <w:t xml:space="preserve"> and SurveyMonkey®. The surveys assessed engagement in five core behaviors: Engaging in cognitive behavioral stress management; Practicing mindfulness and relaxation practices; Engaging in self-care (e.g., eat, sleep, activity); Connecting with others; and Connecting to purpose.</w:t>
      </w:r>
    </w:p>
    <w:p w:rsidR="00000000" w:rsidDel="00000000" w:rsidP="00000000" w:rsidRDefault="00000000" w:rsidRPr="00000000" w14:paraId="00000082">
      <w:pPr>
        <w:ind w:firstLine="720"/>
        <w:rPr/>
      </w:pPr>
      <w:r w:rsidDel="00000000" w:rsidR="00000000" w:rsidRPr="00000000">
        <w:rPr>
          <w:rtl w:val="0"/>
        </w:rPr>
        <w:t xml:space="preserve">and two supporting behaviors: Seeking growth; Seeking additional support, if needed related to resilience and well-being. Additionally, the app's usability was evaluated through a 10 item usability questionnaire which assessed user interface aspects, including ease of use, learning curve, application consistency, and intuitive navigation. “To assess changes in resilience, we employed the Brief Resilience Scale (BRS) [20], translated and validated for Brazil [21]. The BRS is a 6-item survey using a 5-point Likert-type scale ranging from 1 to 5, which measures the ability of a person to recover from stress (e.g., “I tend to bounce back quickly after hard times”). Scores range from 6-30, with higher scores indicating greater resilience.</w:t>
      </w:r>
    </w:p>
    <w:p w:rsidR="00000000" w:rsidDel="00000000" w:rsidP="00000000" w:rsidRDefault="00000000" w:rsidRPr="00000000" w14:paraId="00000083">
      <w:pPr>
        <w:ind w:firstLine="720"/>
        <w:rPr/>
      </w:pPr>
      <w:r w:rsidDel="00000000" w:rsidR="00000000" w:rsidRPr="00000000">
        <w:rPr>
          <w:rtl w:val="0"/>
        </w:rPr>
        <w:t xml:space="preserve">To explore changes in overall well-being, we used the World Health Organization (WHO-5) Scale translated and validated for Brazil by [22]. The WHO-5 Scale is a 5-item, 6-point Likert-type scale ranging from 0 to 5 with a total score ranging from 0 to 25. The higher the score, the better the perception of personal well-being (e.g., “I have felt cheerful and in good spirits”). Values less than 13 indicate fragile well-being.</w:t>
      </w:r>
    </w:p>
    <w:p w:rsidR="00000000" w:rsidDel="00000000" w:rsidP="00000000" w:rsidRDefault="00000000" w:rsidRPr="00000000" w14:paraId="00000084">
      <w:pPr>
        <w:ind w:firstLine="720"/>
        <w:rPr/>
      </w:pPr>
      <w:r w:rsidDel="00000000" w:rsidR="00000000" w:rsidRPr="00000000">
        <w:rPr>
          <w:rtl w:val="0"/>
        </w:rPr>
        <w:t xml:space="preserve">Finally, to explore changes in burnout (i.e., physical and mental exhaustion), the Maslach Burnout Scale (MBI) [23] translated and validated for the Brazilian population [24] was used. The MBI is a 22-item, 7-point Likert-type scale. This survey evaluates three domains of burnout: 1) the emotional exhaustion subscale (7 items); 2) the depersonalization subscale (7 items); and 3) the personal achievement subscale (8 items).</w:t>
      </w:r>
    </w:p>
    <w:p w:rsidR="00000000" w:rsidDel="00000000" w:rsidP="00000000" w:rsidRDefault="00000000" w:rsidRPr="00000000" w14:paraId="00000085">
      <w:pPr>
        <w:ind w:firstLine="720"/>
        <w:rPr>
          <w:b w:val="1"/>
        </w:rPr>
      </w:pPr>
      <w:r w:rsidDel="00000000" w:rsidR="00000000" w:rsidRPr="00000000">
        <w:rPr>
          <w:rtl w:val="0"/>
        </w:rPr>
      </w:r>
    </w:p>
    <w:p w:rsidR="00000000" w:rsidDel="00000000" w:rsidP="00000000" w:rsidRDefault="00000000" w:rsidRPr="00000000" w14:paraId="00000086">
      <w:pPr>
        <w:ind w:firstLine="720"/>
        <w:rPr/>
      </w:pPr>
      <w:r w:rsidDel="00000000" w:rsidR="00000000" w:rsidRPr="00000000">
        <w:rPr>
          <w:b w:val="1"/>
          <w:rtl w:val="0"/>
        </w:rPr>
        <w:t xml:space="preserve">Data Analysis:</w:t>
      </w:r>
      <w:r w:rsidDel="00000000" w:rsidR="00000000" w:rsidRPr="00000000">
        <w:rPr>
          <w:rtl w:val="0"/>
        </w:rPr>
      </w:r>
    </w:p>
    <w:p w:rsidR="00000000" w:rsidDel="00000000" w:rsidP="00000000" w:rsidRDefault="00000000" w:rsidRPr="00000000" w14:paraId="00000087">
      <w:pPr>
        <w:spacing w:after="60" w:before="240" w:line="206" w:lineRule="auto"/>
        <w:ind w:firstLine="720"/>
        <w:rPr/>
      </w:pPr>
      <w:r w:rsidDel="00000000" w:rsidR="00000000" w:rsidRPr="00000000">
        <w:rPr>
          <w:rtl w:val="0"/>
        </w:rPr>
        <w:t xml:space="preserve">Descriptive statistics and inferential analyses included assessing perception of changes using the resilience scale, the three dimensions of burnout index and well-being index, as well as engagement levels in the identified behaviors over the 6-month period. Descriptive statistics and inferential analyses were employed to interpret the impact of the intervention. A paired t-test of equality of means (baseline versus endline) was performed for each of the three self-report surveys. The cut point used was </w:t>
      </w:r>
      <w:r w:rsidDel="00000000" w:rsidR="00000000" w:rsidRPr="00000000">
        <w:rPr>
          <w:i w:val="1"/>
          <w:rtl w:val="0"/>
        </w:rPr>
        <w:t xml:space="preserve">p-value </w:t>
      </w:r>
      <w:r w:rsidDel="00000000" w:rsidR="00000000" w:rsidRPr="00000000">
        <w:rPr>
          <w:rtl w:val="0"/>
        </w:rPr>
        <w:t xml:space="preserve">&lt; 0.05.</w:t>
      </w:r>
    </w:p>
    <w:p w:rsidR="00000000" w:rsidDel="00000000" w:rsidP="00000000" w:rsidRDefault="00000000" w:rsidRPr="00000000" w14:paraId="00000088">
      <w:pPr>
        <w:spacing w:after="60" w:before="240" w:line="228" w:lineRule="auto"/>
        <w:ind w:firstLine="720"/>
        <w:rPr>
          <w:b w:val="1"/>
        </w:rPr>
      </w:pPr>
      <w:r w:rsidDel="00000000" w:rsidR="00000000" w:rsidRPr="00000000">
        <w:rPr>
          <w:rtl w:val="0"/>
        </w:rPr>
        <w:t xml:space="preserve">     </w:t>
      </w:r>
      <w:r w:rsidDel="00000000" w:rsidR="00000000" w:rsidRPr="00000000">
        <w:rPr>
          <w:b w:val="1"/>
          <w:rtl w:val="0"/>
        </w:rPr>
        <w:t xml:space="preserve">3. Ethics</w:t>
      </w:r>
    </w:p>
    <w:p w:rsidR="00000000" w:rsidDel="00000000" w:rsidP="00000000" w:rsidRDefault="00000000" w:rsidRPr="00000000" w14:paraId="00000089">
      <w:pPr>
        <w:spacing w:after="60" w:before="240" w:line="228" w:lineRule="auto"/>
        <w:ind w:firstLine="720"/>
        <w:rPr/>
      </w:pPr>
      <w:r w:rsidDel="00000000" w:rsidR="00000000" w:rsidRPr="00000000">
        <w:rPr>
          <w:rtl w:val="0"/>
        </w:rPr>
        <w:t xml:space="preserve">The Research Ethics Committee approved this project, under the opinion number, 66870723.6.0000.5461, according to Resolution No. 466/12 of the National Health Council. The project also had the approval of the Research Ethics Committee in Human Beings of the </w:t>
      </w:r>
      <w:r w:rsidDel="00000000" w:rsidR="00000000" w:rsidRPr="00000000">
        <w:rPr>
          <w:i w:val="1"/>
          <w:rtl w:val="0"/>
        </w:rPr>
        <w:t xml:space="preserve">Sírio-Libanês Hospital</w:t>
      </w:r>
      <w:r w:rsidDel="00000000" w:rsidR="00000000" w:rsidRPr="00000000">
        <w:rPr>
          <w:rtl w:val="0"/>
        </w:rPr>
        <w:t xml:space="preserve">, thus, participants who agreed to participate in the study had to sign the Free and Informed Consent Term. The researchers involved in the current study committed to maintaining the confidentiality of the data.</w:t>
      </w:r>
    </w:p>
    <w:p w:rsidR="00000000" w:rsidDel="00000000" w:rsidP="00000000" w:rsidRDefault="00000000" w:rsidRPr="00000000" w14:paraId="0000008A">
      <w:pPr>
        <w:spacing w:after="60" w:before="240" w:line="228" w:lineRule="auto"/>
        <w:ind w:firstLine="720"/>
        <w:rPr>
          <w:b w:val="1"/>
        </w:rPr>
      </w:pPr>
      <w:r w:rsidDel="00000000" w:rsidR="00000000" w:rsidRPr="00000000">
        <w:rPr>
          <w:b w:val="1"/>
          <w:rtl w:val="0"/>
        </w:rPr>
        <w:t xml:space="preserve"> 4. Results</w:t>
      </w:r>
    </w:p>
    <w:p w:rsidR="00000000" w:rsidDel="00000000" w:rsidP="00000000" w:rsidRDefault="00000000" w:rsidRPr="00000000" w14:paraId="0000008B">
      <w:pPr>
        <w:spacing w:after="60" w:before="240" w:line="228" w:lineRule="auto"/>
        <w:ind w:firstLine="720"/>
        <w:rPr>
          <w:i w:val="1"/>
        </w:rPr>
      </w:pPr>
      <w:r w:rsidDel="00000000" w:rsidR="00000000" w:rsidRPr="00000000">
        <w:rPr>
          <w:i w:val="1"/>
          <w:rtl w:val="0"/>
        </w:rPr>
        <w:t xml:space="preserve">1. Enrollment process</w:t>
      </w:r>
    </w:p>
    <w:p w:rsidR="00000000" w:rsidDel="00000000" w:rsidP="00000000" w:rsidRDefault="00000000" w:rsidRPr="00000000" w14:paraId="0000008C">
      <w:pPr>
        <w:spacing w:line="206" w:lineRule="auto"/>
        <w:ind w:firstLine="720"/>
        <w:rPr/>
      </w:pPr>
      <w:r w:rsidDel="00000000" w:rsidR="00000000" w:rsidRPr="00000000">
        <w:rPr>
          <w:rtl w:val="0"/>
        </w:rPr>
        <w:t xml:space="preserve">Of the 272 healthcare workers who signed the informed consent, 159 (62%) completed the baseline survey, and 42 (26%) completed the endline survey. Only 36 participants completed both surveys, and their data were analyzed for the end-point results indicating an overall 10% response rate. </w:t>
      </w:r>
    </w:p>
    <w:p w:rsidR="00000000" w:rsidDel="00000000" w:rsidP="00000000" w:rsidRDefault="00000000" w:rsidRPr="00000000" w14:paraId="0000008D">
      <w:pPr>
        <w:spacing w:line="206" w:lineRule="auto"/>
        <w:ind w:firstLine="720"/>
        <w:rPr>
          <w:strike w:val="1"/>
        </w:rPr>
      </w:pPr>
      <w:r w:rsidDel="00000000" w:rsidR="00000000" w:rsidRPr="00000000">
        <w:rPr>
          <w:rtl w:val="0"/>
        </w:rPr>
      </w:r>
    </w:p>
    <w:p w:rsidR="00000000" w:rsidDel="00000000" w:rsidP="00000000" w:rsidRDefault="00000000" w:rsidRPr="00000000" w14:paraId="0000008E">
      <w:pPr>
        <w:spacing w:after="60" w:before="240" w:line="206" w:lineRule="auto"/>
        <w:ind w:firstLine="720"/>
        <w:rPr/>
      </w:pPr>
      <w:r w:rsidDel="00000000" w:rsidR="00000000" w:rsidRPr="00000000">
        <w:rPr>
          <w:b w:val="1"/>
          <w:rtl w:val="0"/>
        </w:rPr>
        <w:t xml:space="preserve">Fig 1. Consort flow chart diagram                </w:t>
      </w:r>
      <w:r w:rsidDel="00000000" w:rsidR="00000000" w:rsidRPr="00000000">
        <w:rPr>
          <w:rtl w:val="0"/>
        </w:rPr>
      </w:r>
    </w:p>
    <w:p w:rsidR="00000000" w:rsidDel="00000000" w:rsidP="00000000" w:rsidRDefault="00000000" w:rsidRPr="00000000" w14:paraId="0000008F">
      <w:pPr>
        <w:spacing w:after="60" w:before="240" w:line="228" w:lineRule="auto"/>
        <w:ind w:firstLine="720"/>
        <w:jc w:val="center"/>
        <w:rPr/>
      </w:pPr>
      <w:r w:rsidDel="00000000" w:rsidR="00000000" w:rsidRPr="00000000">
        <w:rPr/>
        <w:drawing>
          <wp:inline distB="0" distT="0" distL="0" distR="0">
            <wp:extent cx="2979230" cy="4317098"/>
            <wp:effectExtent b="0" l="0" r="0" t="0"/>
            <wp:docPr id="1982121172" name="image3.png"/>
            <a:graphic>
              <a:graphicData uri="http://schemas.openxmlformats.org/drawingml/2006/picture">
                <pic:pic>
                  <pic:nvPicPr>
                    <pic:cNvPr id="0" name="image3.png"/>
                    <pic:cNvPicPr preferRelativeResize="0"/>
                  </pic:nvPicPr>
                  <pic:blipFill>
                    <a:blip r:embed="rId9"/>
                    <a:srcRect b="0" l="0" r="0" t="0"/>
                    <a:stretch>
                      <a:fillRect/>
                    </a:stretch>
                  </pic:blipFill>
                  <pic:spPr>
                    <a:xfrm>
                      <a:off x="0" y="0"/>
                      <a:ext cx="2979230" cy="4317098"/>
                    </a:xfrm>
                    <a:prstGeom prst="rect"/>
                    <a:ln/>
                  </pic:spPr>
                </pic:pic>
              </a:graphicData>
            </a:graphic>
          </wp:inline>
        </w:drawing>
      </w:r>
      <w:r w:rsidDel="00000000" w:rsidR="00000000" w:rsidRPr="00000000">
        <w:rPr>
          <w:rtl w:val="0"/>
        </w:rPr>
      </w:r>
    </w:p>
    <w:p w:rsidR="00000000" w:rsidDel="00000000" w:rsidP="00000000" w:rsidRDefault="00000000" w:rsidRPr="00000000" w14:paraId="00000090">
      <w:pPr>
        <w:spacing w:after="60" w:before="240" w:line="228" w:lineRule="auto"/>
        <w:ind w:firstLine="720"/>
        <w:rPr>
          <w:highlight w:val="yellow"/>
        </w:rPr>
      </w:pPr>
      <w:r w:rsidDel="00000000" w:rsidR="00000000" w:rsidRPr="00000000">
        <w:rPr>
          <w:rtl w:val="0"/>
        </w:rPr>
      </w:r>
    </w:p>
    <w:p w:rsidR="00000000" w:rsidDel="00000000" w:rsidP="00000000" w:rsidRDefault="00000000" w:rsidRPr="00000000" w14:paraId="00000091">
      <w:pPr>
        <w:spacing w:line="228" w:lineRule="auto"/>
        <w:ind w:firstLine="720"/>
        <w:rPr>
          <w:i w:val="1"/>
        </w:rPr>
      </w:pPr>
      <w:r w:rsidDel="00000000" w:rsidR="00000000" w:rsidRPr="00000000">
        <w:rPr>
          <w:rtl w:val="0"/>
        </w:rPr>
        <w:t xml:space="preserve">     </w:t>
      </w:r>
      <w:r w:rsidDel="00000000" w:rsidR="00000000" w:rsidRPr="00000000">
        <w:rPr>
          <w:i w:val="1"/>
          <w:rtl w:val="0"/>
        </w:rPr>
        <w:t xml:space="preserve">2. Impact on the scales and index</w:t>
      </w:r>
    </w:p>
    <w:p w:rsidR="00000000" w:rsidDel="00000000" w:rsidP="00000000" w:rsidRDefault="00000000" w:rsidRPr="00000000" w14:paraId="00000092">
      <w:pPr>
        <w:spacing w:line="228" w:lineRule="auto"/>
        <w:ind w:firstLine="720"/>
        <w:rPr/>
      </w:pPr>
      <w:r w:rsidDel="00000000" w:rsidR="00000000" w:rsidRPr="00000000">
        <w:rPr>
          <w:rtl w:val="0"/>
        </w:rPr>
        <w:t xml:space="preserve">For tables 1, 2 and 3 Scale or Index is the scale or index measured; N is the sample size; StDesv is the standard deviation and DIF is Mean Endline (E) minus Mean Baseline (B).</w:t>
      </w:r>
    </w:p>
    <w:p w:rsidR="00000000" w:rsidDel="00000000" w:rsidP="00000000" w:rsidRDefault="00000000" w:rsidRPr="00000000" w14:paraId="00000093">
      <w:pPr>
        <w:spacing w:line="228" w:lineRule="auto"/>
        <w:ind w:firstLine="720"/>
        <w:rPr>
          <w:b w:val="1"/>
        </w:rPr>
      </w:pPr>
      <w:r w:rsidDel="00000000" w:rsidR="00000000" w:rsidRPr="00000000">
        <w:rPr>
          <w:rtl w:val="0"/>
        </w:rPr>
        <w:t xml:space="preserve">Comparing the endline with baseline mean of Brief Resilience Scale (BRS) (BRS_E vs BRS_B) the difference in means is positive and approaching statistical significance (p-value = 0.064)</w:t>
      </w:r>
      <w:r w:rsidDel="00000000" w:rsidR="00000000" w:rsidRPr="00000000">
        <w:rPr>
          <w:rtl w:val="0"/>
        </w:rPr>
      </w:r>
    </w:p>
    <w:p w:rsidR="00000000" w:rsidDel="00000000" w:rsidP="00000000" w:rsidRDefault="00000000" w:rsidRPr="00000000" w14:paraId="00000094">
      <w:pPr>
        <w:spacing w:after="240" w:before="240" w:line="228" w:lineRule="auto"/>
        <w:rPr/>
      </w:pPr>
      <w:r w:rsidDel="00000000" w:rsidR="00000000" w:rsidRPr="00000000">
        <w:rPr>
          <w:rtl w:val="0"/>
        </w:rPr>
      </w:r>
    </w:p>
    <w:p w:rsidR="00000000" w:rsidDel="00000000" w:rsidP="00000000" w:rsidRDefault="00000000" w:rsidRPr="00000000" w14:paraId="00000095">
      <w:pPr>
        <w:spacing w:after="240" w:before="240" w:line="228" w:lineRule="auto"/>
        <w:ind w:firstLine="720"/>
        <w:rPr/>
      </w:pPr>
      <w:r w:rsidDel="00000000" w:rsidR="00000000" w:rsidRPr="00000000">
        <w:rPr>
          <w:b w:val="1"/>
          <w:rtl w:val="0"/>
        </w:rPr>
        <w:t xml:space="preserve">Table 2.</w:t>
      </w:r>
      <w:r w:rsidDel="00000000" w:rsidR="00000000" w:rsidRPr="00000000">
        <w:rPr>
          <w:rtl w:val="0"/>
        </w:rPr>
        <w:t xml:space="preserve"> </w:t>
      </w:r>
      <w:r w:rsidDel="00000000" w:rsidR="00000000" w:rsidRPr="00000000">
        <w:rPr>
          <w:b w:val="1"/>
          <w:rtl w:val="0"/>
        </w:rPr>
        <w:t xml:space="preserve">Brief Resilience Scale (BRS)</w:t>
      </w:r>
      <w:r w:rsidDel="00000000" w:rsidR="00000000" w:rsidRPr="00000000">
        <w:rPr>
          <w:rtl w:val="0"/>
        </w:rPr>
      </w:r>
    </w:p>
    <w:tbl>
      <w:tblPr>
        <w:tblStyle w:val="Table2"/>
        <w:tblW w:w="5668.0" w:type="dxa"/>
        <w:jc w:val="center"/>
        <w:tblInd w:w="2085.0" w:type="dxa"/>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400"/>
      </w:tblPr>
      <w:tblGrid>
        <w:gridCol w:w="1417"/>
        <w:gridCol w:w="1417"/>
        <w:gridCol w:w="1417"/>
        <w:gridCol w:w="1417"/>
        <w:tblGridChange w:id="0">
          <w:tblGrid>
            <w:gridCol w:w="1417"/>
            <w:gridCol w:w="1417"/>
            <w:gridCol w:w="1417"/>
            <w:gridCol w:w="1417"/>
          </w:tblGrid>
        </w:tblGridChange>
      </w:tblGrid>
      <w:tr>
        <w:trPr>
          <w:cantSplit w:val="0"/>
          <w:trHeight w:val="300" w:hRule="atLeast"/>
          <w:tblHeader w:val="0"/>
        </w:trPr>
        <w:tc>
          <w:tcPr>
            <w:shd w:fill="auto" w:val="clear"/>
            <w:vAlign w:val="bottom"/>
          </w:tcPr>
          <w:p w:rsidR="00000000" w:rsidDel="00000000" w:rsidP="00000000" w:rsidRDefault="00000000" w:rsidRPr="00000000" w14:paraId="00000096">
            <w:pPr>
              <w:jc w:val="center"/>
              <w:rPr/>
            </w:pPr>
            <w:r w:rsidDel="00000000" w:rsidR="00000000" w:rsidRPr="00000000">
              <w:rPr>
                <w:rtl w:val="0"/>
              </w:rPr>
              <w:t xml:space="preserve">Scale</w:t>
            </w:r>
          </w:p>
        </w:tc>
        <w:tc>
          <w:tcPr>
            <w:shd w:fill="auto" w:val="clear"/>
            <w:vAlign w:val="bottom"/>
          </w:tcPr>
          <w:p w:rsidR="00000000" w:rsidDel="00000000" w:rsidP="00000000" w:rsidRDefault="00000000" w:rsidRPr="00000000" w14:paraId="00000097">
            <w:pPr>
              <w:jc w:val="center"/>
              <w:rPr/>
            </w:pPr>
            <w:r w:rsidDel="00000000" w:rsidR="00000000" w:rsidRPr="00000000">
              <w:rPr>
                <w:rtl w:val="0"/>
              </w:rPr>
              <w:t xml:space="preserve">N</w:t>
            </w:r>
          </w:p>
        </w:tc>
        <w:tc>
          <w:tcPr>
            <w:shd w:fill="auto" w:val="clear"/>
            <w:vAlign w:val="bottom"/>
          </w:tcPr>
          <w:p w:rsidR="00000000" w:rsidDel="00000000" w:rsidP="00000000" w:rsidRDefault="00000000" w:rsidRPr="00000000" w14:paraId="00000098">
            <w:pPr>
              <w:jc w:val="center"/>
              <w:rPr/>
            </w:pPr>
            <w:r w:rsidDel="00000000" w:rsidR="00000000" w:rsidRPr="00000000">
              <w:rPr>
                <w:rtl w:val="0"/>
              </w:rPr>
              <w:t xml:space="preserve">Mean</w:t>
            </w:r>
          </w:p>
        </w:tc>
        <w:tc>
          <w:tcPr>
            <w:shd w:fill="auto" w:val="clear"/>
            <w:vAlign w:val="bottom"/>
          </w:tcPr>
          <w:p w:rsidR="00000000" w:rsidDel="00000000" w:rsidP="00000000" w:rsidRDefault="00000000" w:rsidRPr="00000000" w14:paraId="00000099">
            <w:pPr>
              <w:jc w:val="center"/>
              <w:rPr/>
            </w:pPr>
            <w:r w:rsidDel="00000000" w:rsidR="00000000" w:rsidRPr="00000000">
              <w:rPr>
                <w:rtl w:val="0"/>
              </w:rPr>
              <w:t xml:space="preserve">StDesv</w:t>
            </w:r>
          </w:p>
        </w:tc>
      </w:tr>
      <w:tr>
        <w:trPr>
          <w:cantSplit w:val="0"/>
          <w:trHeight w:val="300" w:hRule="atLeast"/>
          <w:tblHeader w:val="0"/>
        </w:trPr>
        <w:tc>
          <w:tcPr>
            <w:shd w:fill="auto" w:val="clear"/>
            <w:vAlign w:val="bottom"/>
          </w:tcPr>
          <w:p w:rsidR="00000000" w:rsidDel="00000000" w:rsidP="00000000" w:rsidRDefault="00000000" w:rsidRPr="00000000" w14:paraId="0000009A">
            <w:pPr>
              <w:jc w:val="center"/>
              <w:rPr/>
            </w:pPr>
            <w:r w:rsidDel="00000000" w:rsidR="00000000" w:rsidRPr="00000000">
              <w:rPr>
                <w:rtl w:val="0"/>
              </w:rPr>
              <w:t xml:space="preserve">BRS_B</w:t>
            </w:r>
          </w:p>
        </w:tc>
        <w:tc>
          <w:tcPr>
            <w:shd w:fill="auto" w:val="clear"/>
            <w:vAlign w:val="bottom"/>
          </w:tcPr>
          <w:p w:rsidR="00000000" w:rsidDel="00000000" w:rsidP="00000000" w:rsidRDefault="00000000" w:rsidRPr="00000000" w14:paraId="0000009B">
            <w:pPr>
              <w:jc w:val="center"/>
              <w:rPr/>
            </w:pPr>
            <w:r w:rsidDel="00000000" w:rsidR="00000000" w:rsidRPr="00000000">
              <w:rPr>
                <w:rtl w:val="0"/>
              </w:rPr>
              <w:t xml:space="preserve">36</w:t>
            </w:r>
          </w:p>
        </w:tc>
        <w:tc>
          <w:tcPr>
            <w:shd w:fill="auto" w:val="clear"/>
            <w:vAlign w:val="bottom"/>
          </w:tcPr>
          <w:p w:rsidR="00000000" w:rsidDel="00000000" w:rsidP="00000000" w:rsidRDefault="00000000" w:rsidRPr="00000000" w14:paraId="0000009C">
            <w:pPr>
              <w:jc w:val="center"/>
              <w:rPr/>
            </w:pPr>
            <w:r w:rsidDel="00000000" w:rsidR="00000000" w:rsidRPr="00000000">
              <w:rPr>
                <w:rtl w:val="0"/>
              </w:rPr>
              <w:t xml:space="preserve">19.0</w:t>
            </w:r>
          </w:p>
        </w:tc>
        <w:tc>
          <w:tcPr>
            <w:shd w:fill="auto" w:val="clear"/>
            <w:vAlign w:val="bottom"/>
          </w:tcPr>
          <w:p w:rsidR="00000000" w:rsidDel="00000000" w:rsidP="00000000" w:rsidRDefault="00000000" w:rsidRPr="00000000" w14:paraId="0000009D">
            <w:pPr>
              <w:jc w:val="center"/>
              <w:rPr/>
            </w:pPr>
            <w:r w:rsidDel="00000000" w:rsidR="00000000" w:rsidRPr="00000000">
              <w:rPr>
                <w:rtl w:val="0"/>
              </w:rPr>
              <w:t xml:space="preserve">4.0</w:t>
            </w:r>
          </w:p>
        </w:tc>
      </w:tr>
      <w:tr>
        <w:trPr>
          <w:cantSplit w:val="0"/>
          <w:trHeight w:val="300" w:hRule="atLeast"/>
          <w:tblHeader w:val="0"/>
        </w:trPr>
        <w:tc>
          <w:tcPr>
            <w:shd w:fill="auto" w:val="clear"/>
            <w:vAlign w:val="bottom"/>
          </w:tcPr>
          <w:p w:rsidR="00000000" w:rsidDel="00000000" w:rsidP="00000000" w:rsidRDefault="00000000" w:rsidRPr="00000000" w14:paraId="0000009E">
            <w:pPr>
              <w:jc w:val="center"/>
              <w:rPr/>
            </w:pPr>
            <w:r w:rsidDel="00000000" w:rsidR="00000000" w:rsidRPr="00000000">
              <w:rPr>
                <w:rtl w:val="0"/>
              </w:rPr>
              <w:t xml:space="preserve">BRS_E</w:t>
            </w:r>
          </w:p>
        </w:tc>
        <w:tc>
          <w:tcPr>
            <w:shd w:fill="auto" w:val="clear"/>
            <w:vAlign w:val="bottom"/>
          </w:tcPr>
          <w:p w:rsidR="00000000" w:rsidDel="00000000" w:rsidP="00000000" w:rsidRDefault="00000000" w:rsidRPr="00000000" w14:paraId="0000009F">
            <w:pPr>
              <w:jc w:val="center"/>
              <w:rPr/>
            </w:pPr>
            <w:r w:rsidDel="00000000" w:rsidR="00000000" w:rsidRPr="00000000">
              <w:rPr>
                <w:rtl w:val="0"/>
              </w:rPr>
              <w:t xml:space="preserve">36</w:t>
            </w:r>
          </w:p>
        </w:tc>
        <w:tc>
          <w:tcPr>
            <w:shd w:fill="auto" w:val="clear"/>
            <w:vAlign w:val="bottom"/>
          </w:tcPr>
          <w:p w:rsidR="00000000" w:rsidDel="00000000" w:rsidP="00000000" w:rsidRDefault="00000000" w:rsidRPr="00000000" w14:paraId="000000A0">
            <w:pPr>
              <w:jc w:val="center"/>
              <w:rPr/>
            </w:pPr>
            <w:r w:rsidDel="00000000" w:rsidR="00000000" w:rsidRPr="00000000">
              <w:rPr>
                <w:rtl w:val="0"/>
              </w:rPr>
              <w:t xml:space="preserve">19.9</w:t>
            </w:r>
          </w:p>
        </w:tc>
        <w:tc>
          <w:tcPr>
            <w:shd w:fill="auto" w:val="clear"/>
            <w:vAlign w:val="bottom"/>
          </w:tcPr>
          <w:p w:rsidR="00000000" w:rsidDel="00000000" w:rsidP="00000000" w:rsidRDefault="00000000" w:rsidRPr="00000000" w14:paraId="000000A1">
            <w:pPr>
              <w:jc w:val="center"/>
              <w:rPr/>
            </w:pPr>
            <w:r w:rsidDel="00000000" w:rsidR="00000000" w:rsidRPr="00000000">
              <w:rPr>
                <w:rtl w:val="0"/>
              </w:rPr>
              <w:t xml:space="preserve">4.4</w:t>
            </w:r>
          </w:p>
        </w:tc>
      </w:tr>
      <w:tr>
        <w:trPr>
          <w:cantSplit w:val="0"/>
          <w:trHeight w:val="300" w:hRule="atLeast"/>
          <w:tblHeader w:val="0"/>
        </w:trPr>
        <w:tc>
          <w:tcPr>
            <w:shd w:fill="auto" w:val="clear"/>
            <w:vAlign w:val="bottom"/>
          </w:tcPr>
          <w:p w:rsidR="00000000" w:rsidDel="00000000" w:rsidP="00000000" w:rsidRDefault="00000000" w:rsidRPr="00000000" w14:paraId="000000A2">
            <w:pPr>
              <w:ind w:firstLine="720"/>
              <w:jc w:val="center"/>
              <w:rPr/>
            </w:pPr>
            <w:r w:rsidDel="00000000" w:rsidR="00000000" w:rsidRPr="00000000">
              <w:rPr>
                <w:rtl w:val="0"/>
              </w:rPr>
            </w:r>
          </w:p>
        </w:tc>
        <w:tc>
          <w:tcPr>
            <w:shd w:fill="auto" w:val="clear"/>
            <w:vAlign w:val="bottom"/>
          </w:tcPr>
          <w:p w:rsidR="00000000" w:rsidDel="00000000" w:rsidP="00000000" w:rsidRDefault="00000000" w:rsidRPr="00000000" w14:paraId="000000A3">
            <w:pPr>
              <w:jc w:val="center"/>
              <w:rPr/>
            </w:pPr>
            <w:r w:rsidDel="00000000" w:rsidR="00000000" w:rsidRPr="00000000">
              <w:rPr>
                <w:rtl w:val="0"/>
              </w:rPr>
              <w:t xml:space="preserve">DIF</w:t>
            </w:r>
          </w:p>
        </w:tc>
        <w:tc>
          <w:tcPr>
            <w:shd w:fill="auto" w:val="clear"/>
            <w:vAlign w:val="bottom"/>
          </w:tcPr>
          <w:p w:rsidR="00000000" w:rsidDel="00000000" w:rsidP="00000000" w:rsidRDefault="00000000" w:rsidRPr="00000000" w14:paraId="000000A4">
            <w:pPr>
              <w:jc w:val="center"/>
              <w:rPr/>
            </w:pPr>
            <w:r w:rsidDel="00000000" w:rsidR="00000000" w:rsidRPr="00000000">
              <w:rPr>
                <w:rtl w:val="0"/>
              </w:rPr>
              <w:t xml:space="preserve">0.9</w:t>
            </w:r>
          </w:p>
        </w:tc>
        <w:tc>
          <w:tcPr>
            <w:shd w:fill="auto" w:val="clear"/>
            <w:vAlign w:val="bottom"/>
          </w:tcPr>
          <w:p w:rsidR="00000000" w:rsidDel="00000000" w:rsidP="00000000" w:rsidRDefault="00000000" w:rsidRPr="00000000" w14:paraId="000000A5">
            <w:pPr>
              <w:ind w:firstLine="720"/>
              <w:jc w:val="center"/>
              <w:rPr/>
            </w:pPr>
            <w:r w:rsidDel="00000000" w:rsidR="00000000" w:rsidRPr="00000000">
              <w:rPr>
                <w:rtl w:val="0"/>
              </w:rPr>
            </w:r>
          </w:p>
        </w:tc>
      </w:tr>
    </w:tbl>
    <w:p w:rsidR="00000000" w:rsidDel="00000000" w:rsidP="00000000" w:rsidRDefault="00000000" w:rsidRPr="00000000" w14:paraId="000000A6">
      <w:pPr>
        <w:spacing w:after="240" w:before="240" w:line="228" w:lineRule="auto"/>
        <w:ind w:firstLine="720"/>
        <w:rPr/>
      </w:pPr>
      <w:r w:rsidDel="00000000" w:rsidR="00000000" w:rsidRPr="00000000">
        <w:rPr>
          <w:rtl w:val="0"/>
        </w:rPr>
        <w:t xml:space="preserve">For World Health Organization's psychological well-being index (WHO-5) (WHO_E vs WHO_B) comparing the endline with baseline mean the difference in means is NOT statistically significant (p-value = 0.325).</w:t>
      </w:r>
    </w:p>
    <w:p w:rsidR="00000000" w:rsidDel="00000000" w:rsidP="00000000" w:rsidRDefault="00000000" w:rsidRPr="00000000" w14:paraId="000000A7">
      <w:pPr>
        <w:spacing w:after="240" w:before="240" w:line="228" w:lineRule="auto"/>
        <w:ind w:firstLine="720"/>
        <w:rPr>
          <w:b w:val="1"/>
          <w:highlight w:val="yellow"/>
        </w:rPr>
      </w:pPr>
      <w:r w:rsidDel="00000000" w:rsidR="00000000" w:rsidRPr="00000000">
        <w:rPr>
          <w:b w:val="1"/>
          <w:rtl w:val="0"/>
        </w:rPr>
        <w:t xml:space="preserve">Table 3. World Health Organization's psychological well-being index (WHO-5)</w:t>
      </w:r>
      <w:r w:rsidDel="00000000" w:rsidR="00000000" w:rsidRPr="00000000">
        <w:rPr>
          <w:rtl w:val="0"/>
        </w:rPr>
      </w:r>
    </w:p>
    <w:tbl>
      <w:tblPr>
        <w:tblStyle w:val="Table3"/>
        <w:tblW w:w="5668.0" w:type="dxa"/>
        <w:jc w:val="center"/>
        <w:tblInd w:w="2085.0" w:type="dxa"/>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400"/>
      </w:tblPr>
      <w:tblGrid>
        <w:gridCol w:w="1417"/>
        <w:gridCol w:w="1417"/>
        <w:gridCol w:w="1417"/>
        <w:gridCol w:w="1417"/>
        <w:tblGridChange w:id="0">
          <w:tblGrid>
            <w:gridCol w:w="1417"/>
            <w:gridCol w:w="1417"/>
            <w:gridCol w:w="1417"/>
            <w:gridCol w:w="1417"/>
          </w:tblGrid>
        </w:tblGridChange>
      </w:tblGrid>
      <w:tr>
        <w:trPr>
          <w:cantSplit w:val="0"/>
          <w:trHeight w:val="300" w:hRule="atLeast"/>
          <w:tblHeader w:val="0"/>
        </w:trPr>
        <w:tc>
          <w:tcPr>
            <w:shd w:fill="auto" w:val="clear"/>
            <w:vAlign w:val="bottom"/>
          </w:tcPr>
          <w:p w:rsidR="00000000" w:rsidDel="00000000" w:rsidP="00000000" w:rsidRDefault="00000000" w:rsidRPr="00000000" w14:paraId="000000A8">
            <w:pPr>
              <w:jc w:val="center"/>
              <w:rPr/>
            </w:pPr>
            <w:r w:rsidDel="00000000" w:rsidR="00000000" w:rsidRPr="00000000">
              <w:rPr>
                <w:rtl w:val="0"/>
              </w:rPr>
              <w:t xml:space="preserve">Scale</w:t>
            </w:r>
          </w:p>
        </w:tc>
        <w:tc>
          <w:tcPr>
            <w:shd w:fill="auto" w:val="clear"/>
            <w:vAlign w:val="bottom"/>
          </w:tcPr>
          <w:p w:rsidR="00000000" w:rsidDel="00000000" w:rsidP="00000000" w:rsidRDefault="00000000" w:rsidRPr="00000000" w14:paraId="000000A9">
            <w:pPr>
              <w:jc w:val="center"/>
              <w:rPr/>
            </w:pPr>
            <w:r w:rsidDel="00000000" w:rsidR="00000000" w:rsidRPr="00000000">
              <w:rPr>
                <w:rtl w:val="0"/>
              </w:rPr>
              <w:t xml:space="preserve">N</w:t>
            </w:r>
          </w:p>
        </w:tc>
        <w:tc>
          <w:tcPr>
            <w:shd w:fill="auto" w:val="clear"/>
            <w:vAlign w:val="bottom"/>
          </w:tcPr>
          <w:p w:rsidR="00000000" w:rsidDel="00000000" w:rsidP="00000000" w:rsidRDefault="00000000" w:rsidRPr="00000000" w14:paraId="000000AA">
            <w:pPr>
              <w:jc w:val="center"/>
              <w:rPr/>
            </w:pPr>
            <w:r w:rsidDel="00000000" w:rsidR="00000000" w:rsidRPr="00000000">
              <w:rPr>
                <w:rtl w:val="0"/>
              </w:rPr>
              <w:t xml:space="preserve">Mean</w:t>
            </w:r>
          </w:p>
        </w:tc>
        <w:tc>
          <w:tcPr>
            <w:shd w:fill="auto" w:val="clear"/>
            <w:vAlign w:val="bottom"/>
          </w:tcPr>
          <w:p w:rsidR="00000000" w:rsidDel="00000000" w:rsidP="00000000" w:rsidRDefault="00000000" w:rsidRPr="00000000" w14:paraId="000000AB">
            <w:pPr>
              <w:jc w:val="center"/>
              <w:rPr/>
            </w:pPr>
            <w:r w:rsidDel="00000000" w:rsidR="00000000" w:rsidRPr="00000000">
              <w:rPr>
                <w:rtl w:val="0"/>
              </w:rPr>
              <w:t xml:space="preserve">StDesv</w:t>
            </w:r>
          </w:p>
        </w:tc>
      </w:tr>
      <w:tr>
        <w:trPr>
          <w:cantSplit w:val="0"/>
          <w:trHeight w:val="300" w:hRule="atLeast"/>
          <w:tblHeader w:val="0"/>
        </w:trPr>
        <w:tc>
          <w:tcPr>
            <w:shd w:fill="auto" w:val="clear"/>
            <w:vAlign w:val="bottom"/>
          </w:tcPr>
          <w:p w:rsidR="00000000" w:rsidDel="00000000" w:rsidP="00000000" w:rsidRDefault="00000000" w:rsidRPr="00000000" w14:paraId="000000AC">
            <w:pPr>
              <w:jc w:val="center"/>
              <w:rPr/>
            </w:pPr>
            <w:r w:rsidDel="00000000" w:rsidR="00000000" w:rsidRPr="00000000">
              <w:rPr>
                <w:rtl w:val="0"/>
              </w:rPr>
              <w:t xml:space="preserve">WHO-5_B</w:t>
            </w:r>
          </w:p>
        </w:tc>
        <w:tc>
          <w:tcPr>
            <w:shd w:fill="auto" w:val="clear"/>
            <w:vAlign w:val="bottom"/>
          </w:tcPr>
          <w:p w:rsidR="00000000" w:rsidDel="00000000" w:rsidP="00000000" w:rsidRDefault="00000000" w:rsidRPr="00000000" w14:paraId="000000AD">
            <w:pPr>
              <w:jc w:val="center"/>
              <w:rPr/>
            </w:pPr>
            <w:r w:rsidDel="00000000" w:rsidR="00000000" w:rsidRPr="00000000">
              <w:rPr>
                <w:rtl w:val="0"/>
              </w:rPr>
              <w:t xml:space="preserve">36</w:t>
            </w:r>
          </w:p>
        </w:tc>
        <w:tc>
          <w:tcPr>
            <w:shd w:fill="auto" w:val="clear"/>
            <w:vAlign w:val="bottom"/>
          </w:tcPr>
          <w:p w:rsidR="00000000" w:rsidDel="00000000" w:rsidP="00000000" w:rsidRDefault="00000000" w:rsidRPr="00000000" w14:paraId="000000AE">
            <w:pPr>
              <w:jc w:val="center"/>
              <w:rPr/>
            </w:pPr>
            <w:r w:rsidDel="00000000" w:rsidR="00000000" w:rsidRPr="00000000">
              <w:rPr>
                <w:rtl w:val="0"/>
              </w:rPr>
              <w:t xml:space="preserve">11.8</w:t>
            </w:r>
          </w:p>
        </w:tc>
        <w:tc>
          <w:tcPr>
            <w:shd w:fill="auto" w:val="clear"/>
            <w:vAlign w:val="bottom"/>
          </w:tcPr>
          <w:p w:rsidR="00000000" w:rsidDel="00000000" w:rsidP="00000000" w:rsidRDefault="00000000" w:rsidRPr="00000000" w14:paraId="000000AF">
            <w:pPr>
              <w:jc w:val="center"/>
              <w:rPr/>
            </w:pPr>
            <w:r w:rsidDel="00000000" w:rsidR="00000000" w:rsidRPr="00000000">
              <w:rPr>
                <w:rtl w:val="0"/>
              </w:rPr>
              <w:t xml:space="preserve">4.7</w:t>
            </w:r>
          </w:p>
        </w:tc>
      </w:tr>
      <w:tr>
        <w:trPr>
          <w:cantSplit w:val="0"/>
          <w:trHeight w:val="300" w:hRule="atLeast"/>
          <w:tblHeader w:val="0"/>
        </w:trPr>
        <w:tc>
          <w:tcPr>
            <w:shd w:fill="auto" w:val="clear"/>
            <w:vAlign w:val="bottom"/>
          </w:tcPr>
          <w:p w:rsidR="00000000" w:rsidDel="00000000" w:rsidP="00000000" w:rsidRDefault="00000000" w:rsidRPr="00000000" w14:paraId="000000B0">
            <w:pPr>
              <w:jc w:val="center"/>
              <w:rPr/>
            </w:pPr>
            <w:r w:rsidDel="00000000" w:rsidR="00000000" w:rsidRPr="00000000">
              <w:rPr>
                <w:rtl w:val="0"/>
              </w:rPr>
              <w:t xml:space="preserve">WHO-5_E</w:t>
            </w:r>
          </w:p>
        </w:tc>
        <w:tc>
          <w:tcPr>
            <w:shd w:fill="auto" w:val="clear"/>
            <w:vAlign w:val="bottom"/>
          </w:tcPr>
          <w:p w:rsidR="00000000" w:rsidDel="00000000" w:rsidP="00000000" w:rsidRDefault="00000000" w:rsidRPr="00000000" w14:paraId="000000B1">
            <w:pPr>
              <w:jc w:val="center"/>
              <w:rPr/>
            </w:pPr>
            <w:r w:rsidDel="00000000" w:rsidR="00000000" w:rsidRPr="00000000">
              <w:rPr>
                <w:rtl w:val="0"/>
              </w:rPr>
              <w:t xml:space="preserve">36</w:t>
            </w:r>
          </w:p>
        </w:tc>
        <w:tc>
          <w:tcPr>
            <w:shd w:fill="auto" w:val="clear"/>
            <w:vAlign w:val="bottom"/>
          </w:tcPr>
          <w:p w:rsidR="00000000" w:rsidDel="00000000" w:rsidP="00000000" w:rsidRDefault="00000000" w:rsidRPr="00000000" w14:paraId="000000B2">
            <w:pPr>
              <w:jc w:val="center"/>
              <w:rPr/>
            </w:pPr>
            <w:r w:rsidDel="00000000" w:rsidR="00000000" w:rsidRPr="00000000">
              <w:rPr>
                <w:rtl w:val="0"/>
              </w:rPr>
              <w:t xml:space="preserve">12.7</w:t>
            </w:r>
          </w:p>
        </w:tc>
        <w:tc>
          <w:tcPr>
            <w:shd w:fill="auto" w:val="clear"/>
            <w:vAlign w:val="bottom"/>
          </w:tcPr>
          <w:p w:rsidR="00000000" w:rsidDel="00000000" w:rsidP="00000000" w:rsidRDefault="00000000" w:rsidRPr="00000000" w14:paraId="000000B3">
            <w:pPr>
              <w:jc w:val="center"/>
              <w:rPr/>
            </w:pPr>
            <w:r w:rsidDel="00000000" w:rsidR="00000000" w:rsidRPr="00000000">
              <w:rPr>
                <w:rtl w:val="0"/>
              </w:rPr>
              <w:t xml:space="preserve">5.1</w:t>
            </w:r>
          </w:p>
        </w:tc>
      </w:tr>
      <w:tr>
        <w:trPr>
          <w:cantSplit w:val="0"/>
          <w:trHeight w:val="300" w:hRule="atLeast"/>
          <w:tblHeader w:val="0"/>
        </w:trPr>
        <w:tc>
          <w:tcPr>
            <w:shd w:fill="auto" w:val="clear"/>
            <w:vAlign w:val="bottom"/>
          </w:tcPr>
          <w:p w:rsidR="00000000" w:rsidDel="00000000" w:rsidP="00000000" w:rsidRDefault="00000000" w:rsidRPr="00000000" w14:paraId="000000B4">
            <w:pPr>
              <w:ind w:firstLine="720"/>
              <w:jc w:val="center"/>
              <w:rPr/>
            </w:pPr>
            <w:r w:rsidDel="00000000" w:rsidR="00000000" w:rsidRPr="00000000">
              <w:rPr>
                <w:rtl w:val="0"/>
              </w:rPr>
            </w:r>
          </w:p>
        </w:tc>
        <w:tc>
          <w:tcPr>
            <w:shd w:fill="auto" w:val="clear"/>
            <w:vAlign w:val="bottom"/>
          </w:tcPr>
          <w:p w:rsidR="00000000" w:rsidDel="00000000" w:rsidP="00000000" w:rsidRDefault="00000000" w:rsidRPr="00000000" w14:paraId="000000B5">
            <w:pPr>
              <w:jc w:val="center"/>
              <w:rPr/>
            </w:pPr>
            <w:r w:rsidDel="00000000" w:rsidR="00000000" w:rsidRPr="00000000">
              <w:rPr>
                <w:rtl w:val="0"/>
              </w:rPr>
              <w:t xml:space="preserve">DIF</w:t>
            </w:r>
          </w:p>
        </w:tc>
        <w:tc>
          <w:tcPr>
            <w:shd w:fill="auto" w:val="clear"/>
            <w:vAlign w:val="bottom"/>
          </w:tcPr>
          <w:p w:rsidR="00000000" w:rsidDel="00000000" w:rsidP="00000000" w:rsidRDefault="00000000" w:rsidRPr="00000000" w14:paraId="000000B6">
            <w:pPr>
              <w:jc w:val="center"/>
              <w:rPr/>
            </w:pPr>
            <w:r w:rsidDel="00000000" w:rsidR="00000000" w:rsidRPr="00000000">
              <w:rPr>
                <w:rtl w:val="0"/>
              </w:rPr>
              <w:t xml:space="preserve">0.9</w:t>
            </w:r>
          </w:p>
        </w:tc>
        <w:tc>
          <w:tcPr>
            <w:shd w:fill="auto" w:val="clear"/>
            <w:vAlign w:val="bottom"/>
          </w:tcPr>
          <w:p w:rsidR="00000000" w:rsidDel="00000000" w:rsidP="00000000" w:rsidRDefault="00000000" w:rsidRPr="00000000" w14:paraId="000000B7">
            <w:pPr>
              <w:ind w:firstLine="720"/>
              <w:jc w:val="center"/>
              <w:rPr/>
            </w:pPr>
            <w:r w:rsidDel="00000000" w:rsidR="00000000" w:rsidRPr="00000000">
              <w:rPr>
                <w:rtl w:val="0"/>
              </w:rPr>
            </w:r>
          </w:p>
        </w:tc>
      </w:tr>
    </w:tbl>
    <w:p w:rsidR="00000000" w:rsidDel="00000000" w:rsidP="00000000" w:rsidRDefault="00000000" w:rsidRPr="00000000" w14:paraId="000000B8">
      <w:pPr>
        <w:spacing w:after="240" w:before="240" w:line="228" w:lineRule="auto"/>
        <w:ind w:firstLine="720"/>
        <w:rPr>
          <w:highlight w:val="yellow"/>
        </w:rPr>
      </w:pPr>
      <w:r w:rsidDel="00000000" w:rsidR="00000000" w:rsidRPr="00000000">
        <w:rPr>
          <w:rtl w:val="0"/>
        </w:rPr>
        <w:t xml:space="preserve">For Maslach Burnout Index (MBI) we compared the three dimensions separately: 1) the emotional exhaustion subscale (EE) (7 items); 2) the depersonalization subscale (DE) (7 items); and 3) the personal achievement subscale (PA). Comparing the endline with baseline for all scales the difference in means were NOT statistically significant in any of the three dimensions.</w:t>
      </w:r>
      <w:r w:rsidDel="00000000" w:rsidR="00000000" w:rsidRPr="00000000">
        <w:rPr>
          <w:rtl w:val="0"/>
        </w:rPr>
      </w:r>
    </w:p>
    <w:p w:rsidR="00000000" w:rsidDel="00000000" w:rsidP="00000000" w:rsidRDefault="00000000" w:rsidRPr="00000000" w14:paraId="000000B9">
      <w:pPr>
        <w:spacing w:after="240" w:before="240" w:line="228" w:lineRule="auto"/>
        <w:ind w:firstLine="720"/>
        <w:rPr>
          <w:b w:val="1"/>
        </w:rPr>
      </w:pPr>
      <w:r w:rsidDel="00000000" w:rsidR="00000000" w:rsidRPr="00000000">
        <w:rPr>
          <w:b w:val="1"/>
          <w:rtl w:val="0"/>
        </w:rPr>
        <w:t xml:space="preserve">Table 4. Maslach Burnout Index (MBI) - Emotional Exhaustion subscale (EE)</w:t>
      </w:r>
    </w:p>
    <w:tbl>
      <w:tblPr>
        <w:tblStyle w:val="Table4"/>
        <w:tblW w:w="5668.0" w:type="dxa"/>
        <w:jc w:val="center"/>
        <w:tblInd w:w="2085.0" w:type="dxa"/>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400"/>
      </w:tblPr>
      <w:tblGrid>
        <w:gridCol w:w="1417"/>
        <w:gridCol w:w="1417"/>
        <w:gridCol w:w="1417"/>
        <w:gridCol w:w="1417"/>
        <w:tblGridChange w:id="0">
          <w:tblGrid>
            <w:gridCol w:w="1417"/>
            <w:gridCol w:w="1417"/>
            <w:gridCol w:w="1417"/>
            <w:gridCol w:w="1417"/>
          </w:tblGrid>
        </w:tblGridChange>
      </w:tblGrid>
      <w:tr>
        <w:trPr>
          <w:cantSplit w:val="0"/>
          <w:trHeight w:val="300" w:hRule="atLeast"/>
          <w:tblHeader w:val="0"/>
        </w:trPr>
        <w:tc>
          <w:tcPr>
            <w:shd w:fill="auto" w:val="clear"/>
            <w:vAlign w:val="bottom"/>
          </w:tcPr>
          <w:p w:rsidR="00000000" w:rsidDel="00000000" w:rsidP="00000000" w:rsidRDefault="00000000" w:rsidRPr="00000000" w14:paraId="000000BA">
            <w:pPr>
              <w:jc w:val="center"/>
              <w:rPr/>
            </w:pPr>
            <w:r w:rsidDel="00000000" w:rsidR="00000000" w:rsidRPr="00000000">
              <w:rPr>
                <w:rtl w:val="0"/>
              </w:rPr>
              <w:t xml:space="preserve">Index</w:t>
            </w:r>
          </w:p>
        </w:tc>
        <w:tc>
          <w:tcPr>
            <w:shd w:fill="auto" w:val="clear"/>
            <w:vAlign w:val="bottom"/>
          </w:tcPr>
          <w:p w:rsidR="00000000" w:rsidDel="00000000" w:rsidP="00000000" w:rsidRDefault="00000000" w:rsidRPr="00000000" w14:paraId="000000BB">
            <w:pPr>
              <w:jc w:val="center"/>
              <w:rPr/>
            </w:pPr>
            <w:r w:rsidDel="00000000" w:rsidR="00000000" w:rsidRPr="00000000">
              <w:rPr>
                <w:rtl w:val="0"/>
              </w:rPr>
              <w:t xml:space="preserve">N</w:t>
            </w:r>
          </w:p>
        </w:tc>
        <w:tc>
          <w:tcPr>
            <w:shd w:fill="auto" w:val="clear"/>
            <w:vAlign w:val="bottom"/>
          </w:tcPr>
          <w:p w:rsidR="00000000" w:rsidDel="00000000" w:rsidP="00000000" w:rsidRDefault="00000000" w:rsidRPr="00000000" w14:paraId="000000BC">
            <w:pPr>
              <w:jc w:val="center"/>
              <w:rPr/>
            </w:pPr>
            <w:r w:rsidDel="00000000" w:rsidR="00000000" w:rsidRPr="00000000">
              <w:rPr>
                <w:rtl w:val="0"/>
              </w:rPr>
              <w:t xml:space="preserve">Mean</w:t>
            </w:r>
          </w:p>
        </w:tc>
        <w:tc>
          <w:tcPr>
            <w:shd w:fill="auto" w:val="clear"/>
            <w:vAlign w:val="bottom"/>
          </w:tcPr>
          <w:p w:rsidR="00000000" w:rsidDel="00000000" w:rsidP="00000000" w:rsidRDefault="00000000" w:rsidRPr="00000000" w14:paraId="000000BD">
            <w:pPr>
              <w:jc w:val="center"/>
              <w:rPr/>
            </w:pPr>
            <w:r w:rsidDel="00000000" w:rsidR="00000000" w:rsidRPr="00000000">
              <w:rPr>
                <w:rtl w:val="0"/>
              </w:rPr>
              <w:t xml:space="preserve">StDesv</w:t>
            </w:r>
          </w:p>
        </w:tc>
      </w:tr>
      <w:tr>
        <w:trPr>
          <w:cantSplit w:val="0"/>
          <w:trHeight w:val="300" w:hRule="atLeast"/>
          <w:tblHeader w:val="0"/>
        </w:trPr>
        <w:tc>
          <w:tcPr>
            <w:shd w:fill="auto" w:val="clear"/>
            <w:vAlign w:val="bottom"/>
          </w:tcPr>
          <w:p w:rsidR="00000000" w:rsidDel="00000000" w:rsidP="00000000" w:rsidRDefault="00000000" w:rsidRPr="00000000" w14:paraId="000000BE">
            <w:pPr>
              <w:jc w:val="center"/>
              <w:rPr/>
            </w:pPr>
            <w:r w:rsidDel="00000000" w:rsidR="00000000" w:rsidRPr="00000000">
              <w:rPr>
                <w:rtl w:val="0"/>
              </w:rPr>
              <w:t xml:space="preserve">MBI_EE_B</w:t>
            </w:r>
          </w:p>
        </w:tc>
        <w:tc>
          <w:tcPr>
            <w:shd w:fill="auto" w:val="clear"/>
            <w:vAlign w:val="bottom"/>
          </w:tcPr>
          <w:p w:rsidR="00000000" w:rsidDel="00000000" w:rsidP="00000000" w:rsidRDefault="00000000" w:rsidRPr="00000000" w14:paraId="000000BF">
            <w:pPr>
              <w:jc w:val="center"/>
              <w:rPr/>
            </w:pPr>
            <w:r w:rsidDel="00000000" w:rsidR="00000000" w:rsidRPr="00000000">
              <w:rPr>
                <w:rtl w:val="0"/>
              </w:rPr>
              <w:t xml:space="preserve">36</w:t>
            </w:r>
          </w:p>
        </w:tc>
        <w:tc>
          <w:tcPr>
            <w:shd w:fill="auto" w:val="clear"/>
            <w:vAlign w:val="bottom"/>
          </w:tcPr>
          <w:p w:rsidR="00000000" w:rsidDel="00000000" w:rsidP="00000000" w:rsidRDefault="00000000" w:rsidRPr="00000000" w14:paraId="000000C0">
            <w:pPr>
              <w:jc w:val="center"/>
              <w:rPr/>
            </w:pPr>
            <w:r w:rsidDel="00000000" w:rsidR="00000000" w:rsidRPr="00000000">
              <w:rPr>
                <w:rtl w:val="0"/>
              </w:rPr>
              <w:t xml:space="preserve">24.6</w:t>
            </w:r>
          </w:p>
        </w:tc>
        <w:tc>
          <w:tcPr>
            <w:shd w:fill="auto" w:val="clear"/>
            <w:vAlign w:val="bottom"/>
          </w:tcPr>
          <w:p w:rsidR="00000000" w:rsidDel="00000000" w:rsidP="00000000" w:rsidRDefault="00000000" w:rsidRPr="00000000" w14:paraId="000000C1">
            <w:pPr>
              <w:jc w:val="center"/>
              <w:rPr/>
            </w:pPr>
            <w:r w:rsidDel="00000000" w:rsidR="00000000" w:rsidRPr="00000000">
              <w:rPr>
                <w:rtl w:val="0"/>
              </w:rPr>
              <w:t xml:space="preserve">7.0</w:t>
            </w:r>
          </w:p>
        </w:tc>
      </w:tr>
      <w:tr>
        <w:trPr>
          <w:cantSplit w:val="0"/>
          <w:trHeight w:val="300" w:hRule="atLeast"/>
          <w:tblHeader w:val="0"/>
        </w:trPr>
        <w:tc>
          <w:tcPr>
            <w:shd w:fill="auto" w:val="clear"/>
            <w:vAlign w:val="bottom"/>
          </w:tcPr>
          <w:p w:rsidR="00000000" w:rsidDel="00000000" w:rsidP="00000000" w:rsidRDefault="00000000" w:rsidRPr="00000000" w14:paraId="000000C2">
            <w:pPr>
              <w:jc w:val="center"/>
              <w:rPr/>
            </w:pPr>
            <w:r w:rsidDel="00000000" w:rsidR="00000000" w:rsidRPr="00000000">
              <w:rPr>
                <w:rtl w:val="0"/>
              </w:rPr>
              <w:t xml:space="preserve">MBI_EE_E</w:t>
            </w:r>
          </w:p>
        </w:tc>
        <w:tc>
          <w:tcPr>
            <w:shd w:fill="auto" w:val="clear"/>
            <w:vAlign w:val="bottom"/>
          </w:tcPr>
          <w:p w:rsidR="00000000" w:rsidDel="00000000" w:rsidP="00000000" w:rsidRDefault="00000000" w:rsidRPr="00000000" w14:paraId="000000C3">
            <w:pPr>
              <w:jc w:val="center"/>
              <w:rPr/>
            </w:pPr>
            <w:r w:rsidDel="00000000" w:rsidR="00000000" w:rsidRPr="00000000">
              <w:rPr>
                <w:rtl w:val="0"/>
              </w:rPr>
              <w:t xml:space="preserve">36</w:t>
            </w:r>
          </w:p>
        </w:tc>
        <w:tc>
          <w:tcPr>
            <w:shd w:fill="auto" w:val="clear"/>
            <w:vAlign w:val="bottom"/>
          </w:tcPr>
          <w:p w:rsidR="00000000" w:rsidDel="00000000" w:rsidP="00000000" w:rsidRDefault="00000000" w:rsidRPr="00000000" w14:paraId="000000C4">
            <w:pPr>
              <w:jc w:val="center"/>
              <w:rPr/>
            </w:pPr>
            <w:r w:rsidDel="00000000" w:rsidR="00000000" w:rsidRPr="00000000">
              <w:rPr>
                <w:rtl w:val="0"/>
              </w:rPr>
              <w:t xml:space="preserve">24.3</w:t>
            </w:r>
          </w:p>
        </w:tc>
        <w:tc>
          <w:tcPr>
            <w:shd w:fill="auto" w:val="clear"/>
            <w:vAlign w:val="bottom"/>
          </w:tcPr>
          <w:p w:rsidR="00000000" w:rsidDel="00000000" w:rsidP="00000000" w:rsidRDefault="00000000" w:rsidRPr="00000000" w14:paraId="000000C5">
            <w:pPr>
              <w:jc w:val="center"/>
              <w:rPr/>
            </w:pPr>
            <w:r w:rsidDel="00000000" w:rsidR="00000000" w:rsidRPr="00000000">
              <w:rPr>
                <w:rtl w:val="0"/>
              </w:rPr>
              <w:t xml:space="preserve">6.1</w:t>
            </w:r>
          </w:p>
        </w:tc>
      </w:tr>
      <w:tr>
        <w:trPr>
          <w:cantSplit w:val="0"/>
          <w:trHeight w:val="300" w:hRule="atLeast"/>
          <w:tblHeader w:val="0"/>
        </w:trPr>
        <w:tc>
          <w:tcPr>
            <w:shd w:fill="auto" w:val="clear"/>
            <w:vAlign w:val="bottom"/>
          </w:tcPr>
          <w:p w:rsidR="00000000" w:rsidDel="00000000" w:rsidP="00000000" w:rsidRDefault="00000000" w:rsidRPr="00000000" w14:paraId="000000C6">
            <w:pPr>
              <w:ind w:firstLine="720"/>
              <w:jc w:val="center"/>
              <w:rPr/>
            </w:pPr>
            <w:r w:rsidDel="00000000" w:rsidR="00000000" w:rsidRPr="00000000">
              <w:rPr>
                <w:rtl w:val="0"/>
              </w:rPr>
            </w:r>
          </w:p>
        </w:tc>
        <w:tc>
          <w:tcPr>
            <w:shd w:fill="auto" w:val="clear"/>
            <w:vAlign w:val="bottom"/>
          </w:tcPr>
          <w:p w:rsidR="00000000" w:rsidDel="00000000" w:rsidP="00000000" w:rsidRDefault="00000000" w:rsidRPr="00000000" w14:paraId="000000C7">
            <w:pPr>
              <w:jc w:val="center"/>
              <w:rPr/>
            </w:pPr>
            <w:r w:rsidDel="00000000" w:rsidR="00000000" w:rsidRPr="00000000">
              <w:rPr>
                <w:rtl w:val="0"/>
              </w:rPr>
              <w:t xml:space="preserve">DIF</w:t>
            </w:r>
          </w:p>
        </w:tc>
        <w:tc>
          <w:tcPr>
            <w:shd w:fill="auto" w:val="clear"/>
            <w:vAlign w:val="bottom"/>
          </w:tcPr>
          <w:p w:rsidR="00000000" w:rsidDel="00000000" w:rsidP="00000000" w:rsidRDefault="00000000" w:rsidRPr="00000000" w14:paraId="000000C8">
            <w:pPr>
              <w:jc w:val="center"/>
              <w:rPr/>
            </w:pPr>
            <w:r w:rsidDel="00000000" w:rsidR="00000000" w:rsidRPr="00000000">
              <w:rPr>
                <w:rtl w:val="0"/>
              </w:rPr>
              <w:t xml:space="preserve">0.3</w:t>
            </w:r>
          </w:p>
        </w:tc>
        <w:tc>
          <w:tcPr>
            <w:shd w:fill="auto" w:val="clear"/>
            <w:vAlign w:val="bottom"/>
          </w:tcPr>
          <w:p w:rsidR="00000000" w:rsidDel="00000000" w:rsidP="00000000" w:rsidRDefault="00000000" w:rsidRPr="00000000" w14:paraId="000000C9">
            <w:pPr>
              <w:ind w:firstLine="720"/>
              <w:jc w:val="center"/>
              <w:rPr/>
            </w:pPr>
            <w:r w:rsidDel="00000000" w:rsidR="00000000" w:rsidRPr="00000000">
              <w:rPr>
                <w:rtl w:val="0"/>
              </w:rPr>
            </w:r>
          </w:p>
        </w:tc>
      </w:tr>
    </w:tbl>
    <w:p w:rsidR="00000000" w:rsidDel="00000000" w:rsidP="00000000" w:rsidRDefault="00000000" w:rsidRPr="00000000" w14:paraId="000000CA">
      <w:pPr>
        <w:spacing w:after="240" w:before="240" w:line="228" w:lineRule="auto"/>
        <w:ind w:firstLine="720"/>
        <w:rPr>
          <w:i w:val="1"/>
        </w:rPr>
      </w:pPr>
      <w:r w:rsidDel="00000000" w:rsidR="00000000" w:rsidRPr="00000000">
        <w:rPr>
          <w:i w:val="1"/>
          <w:rtl w:val="0"/>
        </w:rPr>
        <w:t xml:space="preserve">P-value=0.75</w:t>
      </w:r>
    </w:p>
    <w:p w:rsidR="00000000" w:rsidDel="00000000" w:rsidP="00000000" w:rsidRDefault="00000000" w:rsidRPr="00000000" w14:paraId="000000CB">
      <w:pPr>
        <w:spacing w:after="240" w:before="240" w:line="228" w:lineRule="auto"/>
        <w:ind w:firstLine="720"/>
        <w:rPr>
          <w:b w:val="1"/>
          <w:highlight w:val="yellow"/>
        </w:rPr>
      </w:pPr>
      <w:r w:rsidDel="00000000" w:rsidR="00000000" w:rsidRPr="00000000">
        <w:rPr>
          <w:b w:val="1"/>
          <w:rtl w:val="0"/>
        </w:rPr>
        <w:t xml:space="preserve">Table 5. Maslach Burnout Index (MBI) - Depersonalization subscale (DEP)</w:t>
      </w:r>
      <w:r w:rsidDel="00000000" w:rsidR="00000000" w:rsidRPr="00000000">
        <w:rPr>
          <w:rtl w:val="0"/>
        </w:rPr>
      </w:r>
    </w:p>
    <w:tbl>
      <w:tblPr>
        <w:tblStyle w:val="Table5"/>
        <w:tblW w:w="5698.0" w:type="dxa"/>
        <w:jc w:val="center"/>
        <w:tblInd w:w="2085.0" w:type="dxa"/>
        <w:tblBorders>
          <w:top w:color="000000" w:space="0" w:sz="8" w:val="single"/>
          <w:left w:color="000000" w:space="0" w:sz="4" w:val="single"/>
          <w:bottom w:color="000000" w:space="0" w:sz="8" w:val="single"/>
          <w:right w:color="000000" w:space="0" w:sz="4" w:val="single"/>
          <w:insideH w:color="000000" w:space="0" w:sz="4" w:val="single"/>
          <w:insideV w:color="000000" w:space="0" w:sz="4" w:val="single"/>
        </w:tblBorders>
        <w:tblLayout w:type="fixed"/>
        <w:tblLook w:val="0400"/>
      </w:tblPr>
      <w:tblGrid>
        <w:gridCol w:w="1447"/>
        <w:gridCol w:w="1417"/>
        <w:gridCol w:w="1417"/>
        <w:gridCol w:w="1417"/>
        <w:tblGridChange w:id="0">
          <w:tblGrid>
            <w:gridCol w:w="1447"/>
            <w:gridCol w:w="1417"/>
            <w:gridCol w:w="1417"/>
            <w:gridCol w:w="1417"/>
          </w:tblGrid>
        </w:tblGridChange>
      </w:tblGrid>
      <w:tr>
        <w:trPr>
          <w:cantSplit w:val="0"/>
          <w:trHeight w:val="300" w:hRule="atLeast"/>
          <w:tblHeader w:val="0"/>
        </w:trPr>
        <w:tc>
          <w:tcPr>
            <w:tcBorders>
              <w:top w:color="000000" w:space="0" w:sz="4" w:val="single"/>
              <w:left w:color="000000" w:space="0" w:sz="4" w:val="single"/>
              <w:bottom w:color="000000" w:space="0" w:sz="4" w:val="single"/>
              <w:right w:color="000000" w:space="0" w:sz="4" w:val="single"/>
            </w:tcBorders>
            <w:shd w:fill="auto" w:val="clear"/>
            <w:vAlign w:val="bottom"/>
          </w:tcPr>
          <w:p w:rsidR="00000000" w:rsidDel="00000000" w:rsidP="00000000" w:rsidRDefault="00000000" w:rsidRPr="00000000" w14:paraId="000000CC">
            <w:pPr>
              <w:jc w:val="center"/>
              <w:rPr/>
            </w:pPr>
            <w:r w:rsidDel="00000000" w:rsidR="00000000" w:rsidRPr="00000000">
              <w:rPr>
                <w:rtl w:val="0"/>
              </w:rPr>
              <w:t xml:space="preserve">Index</w:t>
            </w:r>
          </w:p>
        </w:tc>
        <w:tc>
          <w:tcPr>
            <w:tcBorders>
              <w:top w:color="000000" w:space="0" w:sz="4" w:val="single"/>
              <w:left w:color="000000" w:space="0" w:sz="0" w:val="nil"/>
              <w:bottom w:color="000000" w:space="0" w:sz="4" w:val="single"/>
              <w:right w:color="000000" w:space="0" w:sz="4" w:val="single"/>
            </w:tcBorders>
            <w:shd w:fill="auto" w:val="clear"/>
            <w:vAlign w:val="bottom"/>
          </w:tcPr>
          <w:p w:rsidR="00000000" w:rsidDel="00000000" w:rsidP="00000000" w:rsidRDefault="00000000" w:rsidRPr="00000000" w14:paraId="000000CD">
            <w:pPr>
              <w:jc w:val="center"/>
              <w:rPr/>
            </w:pPr>
            <w:r w:rsidDel="00000000" w:rsidR="00000000" w:rsidRPr="00000000">
              <w:rPr>
                <w:rtl w:val="0"/>
              </w:rPr>
              <w:t xml:space="preserve">N</w:t>
            </w:r>
          </w:p>
        </w:tc>
        <w:tc>
          <w:tcPr>
            <w:tcBorders>
              <w:top w:color="000000" w:space="0" w:sz="4" w:val="single"/>
              <w:left w:color="000000" w:space="0" w:sz="0" w:val="nil"/>
              <w:bottom w:color="000000" w:space="0" w:sz="4" w:val="single"/>
              <w:right w:color="000000" w:space="0" w:sz="4" w:val="single"/>
            </w:tcBorders>
            <w:shd w:fill="auto" w:val="clear"/>
            <w:vAlign w:val="bottom"/>
          </w:tcPr>
          <w:p w:rsidR="00000000" w:rsidDel="00000000" w:rsidP="00000000" w:rsidRDefault="00000000" w:rsidRPr="00000000" w14:paraId="000000CE">
            <w:pPr>
              <w:jc w:val="center"/>
              <w:rPr/>
            </w:pPr>
            <w:r w:rsidDel="00000000" w:rsidR="00000000" w:rsidRPr="00000000">
              <w:rPr>
                <w:rtl w:val="0"/>
              </w:rPr>
              <w:t xml:space="preserve">Mean</w:t>
            </w:r>
          </w:p>
        </w:tc>
        <w:tc>
          <w:tcPr>
            <w:tcBorders>
              <w:top w:color="000000" w:space="0" w:sz="4" w:val="single"/>
              <w:left w:color="000000" w:space="0" w:sz="0" w:val="nil"/>
              <w:bottom w:color="000000" w:space="0" w:sz="4" w:val="single"/>
              <w:right w:color="000000" w:space="0" w:sz="4" w:val="single"/>
            </w:tcBorders>
            <w:shd w:fill="auto" w:val="clear"/>
            <w:vAlign w:val="bottom"/>
          </w:tcPr>
          <w:p w:rsidR="00000000" w:rsidDel="00000000" w:rsidP="00000000" w:rsidRDefault="00000000" w:rsidRPr="00000000" w14:paraId="000000CF">
            <w:pPr>
              <w:jc w:val="center"/>
              <w:rPr/>
            </w:pPr>
            <w:r w:rsidDel="00000000" w:rsidR="00000000" w:rsidRPr="00000000">
              <w:rPr>
                <w:rtl w:val="0"/>
              </w:rPr>
              <w:t xml:space="preserve">StDesv</w:t>
            </w:r>
          </w:p>
        </w:tc>
      </w:tr>
      <w:tr>
        <w:trPr>
          <w:cantSplit w:val="0"/>
          <w:trHeight w:val="300" w:hRule="atLeast"/>
          <w:tblHeader w:val="0"/>
        </w:trPr>
        <w:tc>
          <w:tcPr>
            <w:tcBorders>
              <w:top w:color="000000" w:space="0" w:sz="0" w:val="nil"/>
              <w:left w:color="000000" w:space="0" w:sz="4" w:val="single"/>
              <w:bottom w:color="000000" w:space="0" w:sz="4" w:val="single"/>
              <w:right w:color="000000" w:space="0" w:sz="4" w:val="single"/>
            </w:tcBorders>
            <w:shd w:fill="auto" w:val="clear"/>
            <w:vAlign w:val="bottom"/>
          </w:tcPr>
          <w:p w:rsidR="00000000" w:rsidDel="00000000" w:rsidP="00000000" w:rsidRDefault="00000000" w:rsidRPr="00000000" w14:paraId="000000D0">
            <w:pPr>
              <w:jc w:val="center"/>
              <w:rPr/>
            </w:pPr>
            <w:r w:rsidDel="00000000" w:rsidR="00000000" w:rsidRPr="00000000">
              <w:rPr>
                <w:rtl w:val="0"/>
              </w:rPr>
              <w:t xml:space="preserve">MBI_DEP_B</w:t>
            </w:r>
          </w:p>
        </w:tc>
        <w:tc>
          <w:tcPr>
            <w:tcBorders>
              <w:top w:color="000000" w:space="0" w:sz="0" w:val="nil"/>
              <w:left w:color="000000" w:space="0" w:sz="0" w:val="nil"/>
              <w:bottom w:color="000000" w:space="0" w:sz="4" w:val="single"/>
              <w:right w:color="000000" w:space="0" w:sz="4" w:val="single"/>
            </w:tcBorders>
            <w:shd w:fill="auto" w:val="clear"/>
            <w:vAlign w:val="bottom"/>
          </w:tcPr>
          <w:p w:rsidR="00000000" w:rsidDel="00000000" w:rsidP="00000000" w:rsidRDefault="00000000" w:rsidRPr="00000000" w14:paraId="000000D1">
            <w:pPr>
              <w:jc w:val="center"/>
              <w:rPr/>
            </w:pPr>
            <w:r w:rsidDel="00000000" w:rsidR="00000000" w:rsidRPr="00000000">
              <w:rPr>
                <w:rtl w:val="0"/>
              </w:rPr>
              <w:t xml:space="preserve">36</w:t>
            </w:r>
          </w:p>
        </w:tc>
        <w:tc>
          <w:tcPr>
            <w:tcBorders>
              <w:top w:color="000000" w:space="0" w:sz="0" w:val="nil"/>
              <w:left w:color="000000" w:space="0" w:sz="0" w:val="nil"/>
              <w:bottom w:color="000000" w:space="0" w:sz="4" w:val="single"/>
              <w:right w:color="000000" w:space="0" w:sz="4" w:val="single"/>
            </w:tcBorders>
            <w:shd w:fill="auto" w:val="clear"/>
            <w:vAlign w:val="bottom"/>
          </w:tcPr>
          <w:p w:rsidR="00000000" w:rsidDel="00000000" w:rsidP="00000000" w:rsidRDefault="00000000" w:rsidRPr="00000000" w14:paraId="000000D2">
            <w:pPr>
              <w:jc w:val="center"/>
              <w:rPr/>
            </w:pPr>
            <w:r w:rsidDel="00000000" w:rsidR="00000000" w:rsidRPr="00000000">
              <w:rPr>
                <w:rtl w:val="0"/>
              </w:rPr>
              <w:t xml:space="preserve">8.2</w:t>
            </w:r>
          </w:p>
        </w:tc>
        <w:tc>
          <w:tcPr>
            <w:tcBorders>
              <w:top w:color="000000" w:space="0" w:sz="0" w:val="nil"/>
              <w:left w:color="000000" w:space="0" w:sz="0" w:val="nil"/>
              <w:bottom w:color="000000" w:space="0" w:sz="4" w:val="single"/>
              <w:right w:color="000000" w:space="0" w:sz="4" w:val="single"/>
            </w:tcBorders>
            <w:shd w:fill="auto" w:val="clear"/>
            <w:vAlign w:val="bottom"/>
          </w:tcPr>
          <w:p w:rsidR="00000000" w:rsidDel="00000000" w:rsidP="00000000" w:rsidRDefault="00000000" w:rsidRPr="00000000" w14:paraId="000000D3">
            <w:pPr>
              <w:jc w:val="center"/>
              <w:rPr/>
            </w:pPr>
            <w:r w:rsidDel="00000000" w:rsidR="00000000" w:rsidRPr="00000000">
              <w:rPr>
                <w:rtl w:val="0"/>
              </w:rPr>
              <w:t xml:space="preserve">2.9</w:t>
            </w:r>
          </w:p>
        </w:tc>
      </w:tr>
      <w:tr>
        <w:trPr>
          <w:cantSplit w:val="0"/>
          <w:trHeight w:val="300" w:hRule="atLeast"/>
          <w:tblHeader w:val="0"/>
        </w:trPr>
        <w:tc>
          <w:tcPr>
            <w:tcBorders>
              <w:top w:color="000000" w:space="0" w:sz="0" w:val="nil"/>
              <w:left w:color="000000" w:space="0" w:sz="4" w:val="single"/>
              <w:bottom w:color="000000" w:space="0" w:sz="4" w:val="single"/>
              <w:right w:color="000000" w:space="0" w:sz="4" w:val="single"/>
            </w:tcBorders>
            <w:shd w:fill="auto" w:val="clear"/>
            <w:vAlign w:val="bottom"/>
          </w:tcPr>
          <w:p w:rsidR="00000000" w:rsidDel="00000000" w:rsidP="00000000" w:rsidRDefault="00000000" w:rsidRPr="00000000" w14:paraId="000000D4">
            <w:pPr>
              <w:jc w:val="center"/>
              <w:rPr/>
            </w:pPr>
            <w:r w:rsidDel="00000000" w:rsidR="00000000" w:rsidRPr="00000000">
              <w:rPr>
                <w:rtl w:val="0"/>
              </w:rPr>
              <w:t xml:space="preserve">MBI_DEP_E</w:t>
            </w:r>
          </w:p>
        </w:tc>
        <w:tc>
          <w:tcPr>
            <w:tcBorders>
              <w:top w:color="000000" w:space="0" w:sz="0" w:val="nil"/>
              <w:left w:color="000000" w:space="0" w:sz="0" w:val="nil"/>
              <w:bottom w:color="000000" w:space="0" w:sz="4" w:val="single"/>
              <w:right w:color="000000" w:space="0" w:sz="4" w:val="single"/>
            </w:tcBorders>
            <w:shd w:fill="auto" w:val="clear"/>
            <w:vAlign w:val="bottom"/>
          </w:tcPr>
          <w:p w:rsidR="00000000" w:rsidDel="00000000" w:rsidP="00000000" w:rsidRDefault="00000000" w:rsidRPr="00000000" w14:paraId="000000D5">
            <w:pPr>
              <w:jc w:val="center"/>
              <w:rPr/>
            </w:pPr>
            <w:r w:rsidDel="00000000" w:rsidR="00000000" w:rsidRPr="00000000">
              <w:rPr>
                <w:rtl w:val="0"/>
              </w:rPr>
              <w:t xml:space="preserve">36</w:t>
            </w:r>
          </w:p>
        </w:tc>
        <w:tc>
          <w:tcPr>
            <w:tcBorders>
              <w:top w:color="000000" w:space="0" w:sz="0" w:val="nil"/>
              <w:left w:color="000000" w:space="0" w:sz="0" w:val="nil"/>
              <w:bottom w:color="000000" w:space="0" w:sz="4" w:val="single"/>
              <w:right w:color="000000" w:space="0" w:sz="4" w:val="single"/>
            </w:tcBorders>
            <w:shd w:fill="auto" w:val="clear"/>
            <w:vAlign w:val="bottom"/>
          </w:tcPr>
          <w:p w:rsidR="00000000" w:rsidDel="00000000" w:rsidP="00000000" w:rsidRDefault="00000000" w:rsidRPr="00000000" w14:paraId="000000D6">
            <w:pPr>
              <w:jc w:val="center"/>
              <w:rPr/>
            </w:pPr>
            <w:r w:rsidDel="00000000" w:rsidR="00000000" w:rsidRPr="00000000">
              <w:rPr>
                <w:rtl w:val="0"/>
              </w:rPr>
              <w:t xml:space="preserve">8.3</w:t>
            </w:r>
          </w:p>
        </w:tc>
        <w:tc>
          <w:tcPr>
            <w:tcBorders>
              <w:top w:color="000000" w:space="0" w:sz="0" w:val="nil"/>
              <w:left w:color="000000" w:space="0" w:sz="0" w:val="nil"/>
              <w:bottom w:color="000000" w:space="0" w:sz="4" w:val="single"/>
              <w:right w:color="000000" w:space="0" w:sz="4" w:val="single"/>
            </w:tcBorders>
            <w:shd w:fill="auto" w:val="clear"/>
            <w:vAlign w:val="bottom"/>
          </w:tcPr>
          <w:p w:rsidR="00000000" w:rsidDel="00000000" w:rsidP="00000000" w:rsidRDefault="00000000" w:rsidRPr="00000000" w14:paraId="000000D7">
            <w:pPr>
              <w:jc w:val="center"/>
              <w:rPr/>
            </w:pPr>
            <w:r w:rsidDel="00000000" w:rsidR="00000000" w:rsidRPr="00000000">
              <w:rPr>
                <w:rtl w:val="0"/>
              </w:rPr>
              <w:t xml:space="preserve">2.7</w:t>
            </w:r>
          </w:p>
        </w:tc>
      </w:tr>
      <w:tr>
        <w:trPr>
          <w:cantSplit w:val="0"/>
          <w:trHeight w:val="300" w:hRule="atLeast"/>
          <w:tblHeader w:val="0"/>
        </w:trPr>
        <w:tc>
          <w:tcPr>
            <w:tcBorders>
              <w:top w:color="000000" w:space="0" w:sz="0" w:val="nil"/>
              <w:left w:color="000000" w:space="0" w:sz="4" w:val="single"/>
              <w:bottom w:color="000000" w:space="0" w:sz="4" w:val="single"/>
              <w:right w:color="000000" w:space="0" w:sz="4" w:val="single"/>
            </w:tcBorders>
            <w:shd w:fill="auto" w:val="clear"/>
            <w:vAlign w:val="bottom"/>
          </w:tcPr>
          <w:p w:rsidR="00000000" w:rsidDel="00000000" w:rsidP="00000000" w:rsidRDefault="00000000" w:rsidRPr="00000000" w14:paraId="000000D8">
            <w:pPr>
              <w:ind w:firstLine="720"/>
              <w:jc w:val="center"/>
              <w:rPr/>
            </w:pPr>
            <w:r w:rsidDel="00000000" w:rsidR="00000000" w:rsidRPr="00000000">
              <w:rPr>
                <w:rtl w:val="0"/>
              </w:rPr>
            </w:r>
          </w:p>
        </w:tc>
        <w:tc>
          <w:tcPr>
            <w:tcBorders>
              <w:top w:color="000000" w:space="0" w:sz="0" w:val="nil"/>
              <w:left w:color="000000" w:space="0" w:sz="0" w:val="nil"/>
              <w:bottom w:color="000000" w:space="0" w:sz="4" w:val="single"/>
              <w:right w:color="000000" w:space="0" w:sz="4" w:val="single"/>
            </w:tcBorders>
            <w:shd w:fill="auto" w:val="clear"/>
            <w:vAlign w:val="bottom"/>
          </w:tcPr>
          <w:p w:rsidR="00000000" w:rsidDel="00000000" w:rsidP="00000000" w:rsidRDefault="00000000" w:rsidRPr="00000000" w14:paraId="000000D9">
            <w:pPr>
              <w:jc w:val="center"/>
              <w:rPr/>
            </w:pPr>
            <w:r w:rsidDel="00000000" w:rsidR="00000000" w:rsidRPr="00000000">
              <w:rPr>
                <w:rtl w:val="0"/>
              </w:rPr>
              <w:t xml:space="preserve">DIF</w:t>
            </w:r>
          </w:p>
        </w:tc>
        <w:tc>
          <w:tcPr>
            <w:tcBorders>
              <w:top w:color="000000" w:space="0" w:sz="0" w:val="nil"/>
              <w:left w:color="000000" w:space="0" w:sz="0" w:val="nil"/>
              <w:bottom w:color="000000" w:space="0" w:sz="4" w:val="single"/>
              <w:right w:color="000000" w:space="0" w:sz="4" w:val="single"/>
            </w:tcBorders>
            <w:shd w:fill="auto" w:val="clear"/>
            <w:vAlign w:val="bottom"/>
          </w:tcPr>
          <w:p w:rsidR="00000000" w:rsidDel="00000000" w:rsidP="00000000" w:rsidRDefault="00000000" w:rsidRPr="00000000" w14:paraId="000000DA">
            <w:pPr>
              <w:jc w:val="center"/>
              <w:rPr/>
            </w:pPr>
            <w:r w:rsidDel="00000000" w:rsidR="00000000" w:rsidRPr="00000000">
              <w:rPr>
                <w:rtl w:val="0"/>
              </w:rPr>
              <w:t xml:space="preserve">0.1</w:t>
            </w:r>
          </w:p>
        </w:tc>
        <w:tc>
          <w:tcPr>
            <w:tcBorders>
              <w:top w:color="000000" w:space="0" w:sz="0" w:val="nil"/>
              <w:left w:color="000000" w:space="0" w:sz="0" w:val="nil"/>
              <w:bottom w:color="000000" w:space="0" w:sz="4" w:val="single"/>
              <w:right w:color="000000" w:space="0" w:sz="4" w:val="single"/>
            </w:tcBorders>
            <w:shd w:fill="auto" w:val="clear"/>
            <w:vAlign w:val="bottom"/>
          </w:tcPr>
          <w:p w:rsidR="00000000" w:rsidDel="00000000" w:rsidP="00000000" w:rsidRDefault="00000000" w:rsidRPr="00000000" w14:paraId="000000DB">
            <w:pPr>
              <w:ind w:firstLine="720"/>
              <w:jc w:val="center"/>
              <w:rPr/>
            </w:pPr>
            <w:r w:rsidDel="00000000" w:rsidR="00000000" w:rsidRPr="00000000">
              <w:rPr>
                <w:rtl w:val="0"/>
              </w:rPr>
            </w:r>
          </w:p>
        </w:tc>
      </w:tr>
    </w:tbl>
    <w:p w:rsidR="00000000" w:rsidDel="00000000" w:rsidP="00000000" w:rsidRDefault="00000000" w:rsidRPr="00000000" w14:paraId="000000DC">
      <w:pPr>
        <w:spacing w:after="240" w:before="240" w:line="228" w:lineRule="auto"/>
        <w:ind w:firstLine="720"/>
        <w:rPr>
          <w:i w:val="1"/>
        </w:rPr>
      </w:pPr>
      <w:r w:rsidDel="00000000" w:rsidR="00000000" w:rsidRPr="00000000">
        <w:rPr>
          <w:i w:val="1"/>
          <w:rtl w:val="0"/>
        </w:rPr>
        <w:t xml:space="preserve">p-value = 0.737</w:t>
      </w:r>
    </w:p>
    <w:p w:rsidR="00000000" w:rsidDel="00000000" w:rsidP="00000000" w:rsidRDefault="00000000" w:rsidRPr="00000000" w14:paraId="000000DD">
      <w:pPr>
        <w:spacing w:after="240" w:before="240" w:line="228" w:lineRule="auto"/>
        <w:ind w:firstLine="720"/>
        <w:rPr>
          <w:b w:val="1"/>
        </w:rPr>
      </w:pPr>
      <w:r w:rsidDel="00000000" w:rsidR="00000000" w:rsidRPr="00000000">
        <w:rPr>
          <w:b w:val="1"/>
          <w:rtl w:val="0"/>
        </w:rPr>
        <w:t xml:space="preserve">Table 6. Maslach Burnout Index (MBI) - Personal Achievement (PA)</w:t>
      </w:r>
    </w:p>
    <w:tbl>
      <w:tblPr>
        <w:tblStyle w:val="Table6"/>
        <w:tblW w:w="5668.0" w:type="dxa"/>
        <w:jc w:val="center"/>
        <w:tblInd w:w="2085.0" w:type="dxa"/>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400"/>
      </w:tblPr>
      <w:tblGrid>
        <w:gridCol w:w="1417"/>
        <w:gridCol w:w="1417"/>
        <w:gridCol w:w="1417"/>
        <w:gridCol w:w="1417"/>
        <w:tblGridChange w:id="0">
          <w:tblGrid>
            <w:gridCol w:w="1417"/>
            <w:gridCol w:w="1417"/>
            <w:gridCol w:w="1417"/>
            <w:gridCol w:w="1417"/>
          </w:tblGrid>
        </w:tblGridChange>
      </w:tblGrid>
      <w:tr>
        <w:trPr>
          <w:cantSplit w:val="0"/>
          <w:trHeight w:val="300" w:hRule="atLeast"/>
          <w:tblHeader w:val="0"/>
        </w:trPr>
        <w:tc>
          <w:tcPr>
            <w:shd w:fill="auto" w:val="clear"/>
            <w:vAlign w:val="bottom"/>
          </w:tcPr>
          <w:p w:rsidR="00000000" w:rsidDel="00000000" w:rsidP="00000000" w:rsidRDefault="00000000" w:rsidRPr="00000000" w14:paraId="000000DE">
            <w:pPr>
              <w:jc w:val="center"/>
              <w:rPr/>
            </w:pPr>
            <w:r w:rsidDel="00000000" w:rsidR="00000000" w:rsidRPr="00000000">
              <w:rPr>
                <w:rtl w:val="0"/>
              </w:rPr>
              <w:t xml:space="preserve">Index</w:t>
            </w:r>
          </w:p>
        </w:tc>
        <w:tc>
          <w:tcPr>
            <w:shd w:fill="auto" w:val="clear"/>
            <w:vAlign w:val="bottom"/>
          </w:tcPr>
          <w:p w:rsidR="00000000" w:rsidDel="00000000" w:rsidP="00000000" w:rsidRDefault="00000000" w:rsidRPr="00000000" w14:paraId="000000DF">
            <w:pPr>
              <w:jc w:val="center"/>
              <w:rPr/>
            </w:pPr>
            <w:r w:rsidDel="00000000" w:rsidR="00000000" w:rsidRPr="00000000">
              <w:rPr>
                <w:rtl w:val="0"/>
              </w:rPr>
              <w:t xml:space="preserve">N</w:t>
            </w:r>
          </w:p>
        </w:tc>
        <w:tc>
          <w:tcPr>
            <w:shd w:fill="auto" w:val="clear"/>
            <w:vAlign w:val="bottom"/>
          </w:tcPr>
          <w:p w:rsidR="00000000" w:rsidDel="00000000" w:rsidP="00000000" w:rsidRDefault="00000000" w:rsidRPr="00000000" w14:paraId="000000E0">
            <w:pPr>
              <w:jc w:val="center"/>
              <w:rPr/>
            </w:pPr>
            <w:r w:rsidDel="00000000" w:rsidR="00000000" w:rsidRPr="00000000">
              <w:rPr>
                <w:rtl w:val="0"/>
              </w:rPr>
              <w:t xml:space="preserve">Mean</w:t>
            </w:r>
          </w:p>
        </w:tc>
        <w:tc>
          <w:tcPr>
            <w:shd w:fill="auto" w:val="clear"/>
            <w:vAlign w:val="bottom"/>
          </w:tcPr>
          <w:p w:rsidR="00000000" w:rsidDel="00000000" w:rsidP="00000000" w:rsidRDefault="00000000" w:rsidRPr="00000000" w14:paraId="000000E1">
            <w:pPr>
              <w:jc w:val="center"/>
              <w:rPr/>
            </w:pPr>
            <w:r w:rsidDel="00000000" w:rsidR="00000000" w:rsidRPr="00000000">
              <w:rPr>
                <w:rtl w:val="0"/>
              </w:rPr>
              <w:t xml:space="preserve">StDesv</w:t>
            </w:r>
          </w:p>
        </w:tc>
      </w:tr>
      <w:tr>
        <w:trPr>
          <w:cantSplit w:val="0"/>
          <w:trHeight w:val="300" w:hRule="atLeast"/>
          <w:tblHeader w:val="0"/>
        </w:trPr>
        <w:tc>
          <w:tcPr>
            <w:shd w:fill="auto" w:val="clear"/>
            <w:vAlign w:val="bottom"/>
          </w:tcPr>
          <w:p w:rsidR="00000000" w:rsidDel="00000000" w:rsidP="00000000" w:rsidRDefault="00000000" w:rsidRPr="00000000" w14:paraId="000000E2">
            <w:pPr>
              <w:jc w:val="center"/>
              <w:rPr/>
            </w:pPr>
            <w:r w:rsidDel="00000000" w:rsidR="00000000" w:rsidRPr="00000000">
              <w:rPr>
                <w:rtl w:val="0"/>
              </w:rPr>
              <w:t xml:space="preserve">MBI_PA_B</w:t>
            </w:r>
          </w:p>
        </w:tc>
        <w:tc>
          <w:tcPr>
            <w:shd w:fill="auto" w:val="clear"/>
            <w:vAlign w:val="bottom"/>
          </w:tcPr>
          <w:p w:rsidR="00000000" w:rsidDel="00000000" w:rsidP="00000000" w:rsidRDefault="00000000" w:rsidRPr="00000000" w14:paraId="000000E3">
            <w:pPr>
              <w:jc w:val="center"/>
              <w:rPr/>
            </w:pPr>
            <w:r w:rsidDel="00000000" w:rsidR="00000000" w:rsidRPr="00000000">
              <w:rPr>
                <w:rtl w:val="0"/>
              </w:rPr>
              <w:t xml:space="preserve">36</w:t>
            </w:r>
          </w:p>
        </w:tc>
        <w:tc>
          <w:tcPr>
            <w:shd w:fill="auto" w:val="clear"/>
            <w:vAlign w:val="bottom"/>
          </w:tcPr>
          <w:p w:rsidR="00000000" w:rsidDel="00000000" w:rsidP="00000000" w:rsidRDefault="00000000" w:rsidRPr="00000000" w14:paraId="000000E4">
            <w:pPr>
              <w:jc w:val="center"/>
              <w:rPr/>
            </w:pPr>
            <w:r w:rsidDel="00000000" w:rsidR="00000000" w:rsidRPr="00000000">
              <w:rPr>
                <w:rtl w:val="0"/>
              </w:rPr>
              <w:t xml:space="preserve">32.3</w:t>
            </w:r>
          </w:p>
        </w:tc>
        <w:tc>
          <w:tcPr>
            <w:shd w:fill="auto" w:val="clear"/>
            <w:vAlign w:val="bottom"/>
          </w:tcPr>
          <w:p w:rsidR="00000000" w:rsidDel="00000000" w:rsidP="00000000" w:rsidRDefault="00000000" w:rsidRPr="00000000" w14:paraId="000000E5">
            <w:pPr>
              <w:jc w:val="center"/>
              <w:rPr/>
            </w:pPr>
            <w:r w:rsidDel="00000000" w:rsidR="00000000" w:rsidRPr="00000000">
              <w:rPr>
                <w:rtl w:val="0"/>
              </w:rPr>
              <w:t xml:space="preserve">5.6</w:t>
            </w:r>
          </w:p>
        </w:tc>
      </w:tr>
      <w:tr>
        <w:trPr>
          <w:cantSplit w:val="0"/>
          <w:trHeight w:val="300" w:hRule="atLeast"/>
          <w:tblHeader w:val="0"/>
        </w:trPr>
        <w:tc>
          <w:tcPr>
            <w:shd w:fill="auto" w:val="clear"/>
            <w:vAlign w:val="bottom"/>
          </w:tcPr>
          <w:p w:rsidR="00000000" w:rsidDel="00000000" w:rsidP="00000000" w:rsidRDefault="00000000" w:rsidRPr="00000000" w14:paraId="000000E6">
            <w:pPr>
              <w:jc w:val="center"/>
              <w:rPr/>
            </w:pPr>
            <w:r w:rsidDel="00000000" w:rsidR="00000000" w:rsidRPr="00000000">
              <w:rPr>
                <w:rtl w:val="0"/>
              </w:rPr>
              <w:t xml:space="preserve">MBI_PA_E</w:t>
            </w:r>
          </w:p>
        </w:tc>
        <w:tc>
          <w:tcPr>
            <w:shd w:fill="auto" w:val="clear"/>
            <w:vAlign w:val="bottom"/>
          </w:tcPr>
          <w:p w:rsidR="00000000" w:rsidDel="00000000" w:rsidP="00000000" w:rsidRDefault="00000000" w:rsidRPr="00000000" w14:paraId="000000E7">
            <w:pPr>
              <w:jc w:val="center"/>
              <w:rPr/>
            </w:pPr>
            <w:r w:rsidDel="00000000" w:rsidR="00000000" w:rsidRPr="00000000">
              <w:rPr>
                <w:rtl w:val="0"/>
              </w:rPr>
              <w:t xml:space="preserve">36</w:t>
            </w:r>
          </w:p>
        </w:tc>
        <w:tc>
          <w:tcPr>
            <w:shd w:fill="auto" w:val="clear"/>
            <w:vAlign w:val="bottom"/>
          </w:tcPr>
          <w:p w:rsidR="00000000" w:rsidDel="00000000" w:rsidP="00000000" w:rsidRDefault="00000000" w:rsidRPr="00000000" w14:paraId="000000E8">
            <w:pPr>
              <w:jc w:val="center"/>
              <w:rPr/>
            </w:pPr>
            <w:r w:rsidDel="00000000" w:rsidR="00000000" w:rsidRPr="00000000">
              <w:rPr>
                <w:rtl w:val="0"/>
              </w:rPr>
              <w:t xml:space="preserve">32.3</w:t>
            </w:r>
          </w:p>
        </w:tc>
        <w:tc>
          <w:tcPr>
            <w:shd w:fill="auto" w:val="clear"/>
            <w:vAlign w:val="bottom"/>
          </w:tcPr>
          <w:p w:rsidR="00000000" w:rsidDel="00000000" w:rsidP="00000000" w:rsidRDefault="00000000" w:rsidRPr="00000000" w14:paraId="000000E9">
            <w:pPr>
              <w:jc w:val="center"/>
              <w:rPr/>
            </w:pPr>
            <w:r w:rsidDel="00000000" w:rsidR="00000000" w:rsidRPr="00000000">
              <w:rPr>
                <w:rtl w:val="0"/>
              </w:rPr>
              <w:t xml:space="preserve">6.1</w:t>
            </w:r>
          </w:p>
        </w:tc>
      </w:tr>
      <w:tr>
        <w:trPr>
          <w:cantSplit w:val="0"/>
          <w:trHeight w:val="300" w:hRule="atLeast"/>
          <w:tblHeader w:val="0"/>
        </w:trPr>
        <w:tc>
          <w:tcPr>
            <w:shd w:fill="auto" w:val="clear"/>
            <w:vAlign w:val="bottom"/>
          </w:tcPr>
          <w:p w:rsidR="00000000" w:rsidDel="00000000" w:rsidP="00000000" w:rsidRDefault="00000000" w:rsidRPr="00000000" w14:paraId="000000EA">
            <w:pPr>
              <w:ind w:firstLine="720"/>
              <w:jc w:val="center"/>
              <w:rPr/>
            </w:pPr>
            <w:r w:rsidDel="00000000" w:rsidR="00000000" w:rsidRPr="00000000">
              <w:rPr>
                <w:rtl w:val="0"/>
              </w:rPr>
            </w:r>
          </w:p>
        </w:tc>
        <w:tc>
          <w:tcPr>
            <w:shd w:fill="auto" w:val="clear"/>
            <w:vAlign w:val="bottom"/>
          </w:tcPr>
          <w:p w:rsidR="00000000" w:rsidDel="00000000" w:rsidP="00000000" w:rsidRDefault="00000000" w:rsidRPr="00000000" w14:paraId="000000EB">
            <w:pPr>
              <w:jc w:val="center"/>
              <w:rPr/>
            </w:pPr>
            <w:r w:rsidDel="00000000" w:rsidR="00000000" w:rsidRPr="00000000">
              <w:rPr>
                <w:rtl w:val="0"/>
              </w:rPr>
              <w:t xml:space="preserve">DIF</w:t>
            </w:r>
          </w:p>
        </w:tc>
        <w:tc>
          <w:tcPr>
            <w:shd w:fill="auto" w:val="clear"/>
            <w:vAlign w:val="bottom"/>
          </w:tcPr>
          <w:p w:rsidR="00000000" w:rsidDel="00000000" w:rsidP="00000000" w:rsidRDefault="00000000" w:rsidRPr="00000000" w14:paraId="000000EC">
            <w:pPr>
              <w:jc w:val="center"/>
              <w:rPr/>
            </w:pPr>
            <w:r w:rsidDel="00000000" w:rsidR="00000000" w:rsidRPr="00000000">
              <w:rPr>
                <w:rtl w:val="0"/>
              </w:rPr>
              <w:t xml:space="preserve">0.0</w:t>
            </w:r>
          </w:p>
        </w:tc>
        <w:tc>
          <w:tcPr>
            <w:shd w:fill="auto" w:val="clear"/>
            <w:vAlign w:val="bottom"/>
          </w:tcPr>
          <w:p w:rsidR="00000000" w:rsidDel="00000000" w:rsidP="00000000" w:rsidRDefault="00000000" w:rsidRPr="00000000" w14:paraId="000000ED">
            <w:pPr>
              <w:ind w:firstLine="720"/>
              <w:jc w:val="center"/>
              <w:rPr/>
            </w:pPr>
            <w:r w:rsidDel="00000000" w:rsidR="00000000" w:rsidRPr="00000000">
              <w:rPr>
                <w:rtl w:val="0"/>
              </w:rPr>
            </w:r>
          </w:p>
        </w:tc>
      </w:tr>
    </w:tbl>
    <w:p w:rsidR="00000000" w:rsidDel="00000000" w:rsidP="00000000" w:rsidRDefault="00000000" w:rsidRPr="00000000" w14:paraId="000000EE">
      <w:pPr>
        <w:spacing w:after="240" w:before="240" w:line="228" w:lineRule="auto"/>
        <w:ind w:firstLine="720"/>
        <w:rPr>
          <w:i w:val="1"/>
        </w:rPr>
      </w:pPr>
      <w:r w:rsidDel="00000000" w:rsidR="00000000" w:rsidRPr="00000000">
        <w:rPr>
          <w:i w:val="1"/>
          <w:rtl w:val="0"/>
        </w:rPr>
        <w:t xml:space="preserve">p-value = 1</w:t>
      </w:r>
    </w:p>
    <w:p w:rsidR="00000000" w:rsidDel="00000000" w:rsidP="00000000" w:rsidRDefault="00000000" w:rsidRPr="00000000" w14:paraId="000000EF">
      <w:pPr>
        <w:spacing w:after="60" w:before="240" w:line="228" w:lineRule="auto"/>
        <w:rPr/>
      </w:pPr>
      <w:r w:rsidDel="00000000" w:rsidR="00000000" w:rsidRPr="00000000">
        <w:rPr>
          <w:rtl w:val="0"/>
        </w:rPr>
      </w:r>
    </w:p>
    <w:p w:rsidR="00000000" w:rsidDel="00000000" w:rsidP="00000000" w:rsidRDefault="00000000" w:rsidRPr="00000000" w14:paraId="000000F0">
      <w:pPr>
        <w:spacing w:after="60" w:before="240" w:line="228" w:lineRule="auto"/>
        <w:rPr>
          <w:i w:val="1"/>
        </w:rPr>
      </w:pPr>
      <w:r w:rsidDel="00000000" w:rsidR="00000000" w:rsidRPr="00000000">
        <w:rPr>
          <w:rtl w:val="0"/>
        </w:rPr>
        <w:t xml:space="preserve">3) </w:t>
      </w:r>
      <w:r w:rsidDel="00000000" w:rsidR="00000000" w:rsidRPr="00000000">
        <w:rPr>
          <w:i w:val="1"/>
          <w:rtl w:val="0"/>
        </w:rPr>
        <w:t xml:space="preserve">Interface of mHealth app usability among HCWs; </w:t>
      </w:r>
    </w:p>
    <w:p w:rsidR="00000000" w:rsidDel="00000000" w:rsidP="00000000" w:rsidRDefault="00000000" w:rsidRPr="00000000" w14:paraId="000000F1">
      <w:pPr>
        <w:spacing w:after="60" w:before="240" w:line="228" w:lineRule="auto"/>
        <w:ind w:firstLine="720"/>
        <w:rPr/>
      </w:pPr>
      <w:r w:rsidDel="00000000" w:rsidR="00000000" w:rsidRPr="00000000">
        <w:rPr>
          <w:rtl w:val="0"/>
        </w:rPr>
        <w:t xml:space="preserve">We used a 5-item Likert-type scale ranging from 1-5, where 1 is strongly disagree, 2 disagree, 3 neutral, 4 agree and 5 is strongly agreeing to assess usability. </w:t>
      </w:r>
    </w:p>
    <w:p w:rsidR="00000000" w:rsidDel="00000000" w:rsidP="00000000" w:rsidRDefault="00000000" w:rsidRPr="00000000" w14:paraId="000000F2">
      <w:pPr>
        <w:spacing w:after="60" w:before="240" w:line="228" w:lineRule="auto"/>
        <w:rPr/>
      </w:pPr>
      <w:r w:rsidDel="00000000" w:rsidR="00000000" w:rsidRPr="00000000">
        <w:rPr>
          <w:rtl w:val="0"/>
        </w:rPr>
        <w:t xml:space="preserve">App usability questionnaire</w:t>
      </w:r>
    </w:p>
    <w:tbl>
      <w:tblPr>
        <w:tblStyle w:val="Table7"/>
        <w:tblW w:w="10455.0" w:type="dxa"/>
        <w:jc w:val="center"/>
        <w:tblBorders>
          <w:top w:color="000000" w:space="0" w:sz="8" w:val="single"/>
          <w:left w:color="000000" w:space="0" w:sz="4" w:val="single"/>
          <w:bottom w:color="000000" w:space="0" w:sz="8" w:val="single"/>
          <w:right w:color="000000" w:space="0" w:sz="4" w:val="single"/>
          <w:insideH w:color="000000" w:space="0" w:sz="12" w:val="single"/>
          <w:insideV w:color="000000" w:space="0" w:sz="4" w:val="single"/>
        </w:tblBorders>
        <w:tblLayout w:type="fixed"/>
        <w:tblLook w:val="0600"/>
      </w:tblPr>
      <w:tblGrid>
        <w:gridCol w:w="3960"/>
        <w:gridCol w:w="1624"/>
        <w:gridCol w:w="1668"/>
        <w:gridCol w:w="1898"/>
        <w:gridCol w:w="1305"/>
        <w:tblGridChange w:id="0">
          <w:tblGrid>
            <w:gridCol w:w="3960"/>
            <w:gridCol w:w="1624"/>
            <w:gridCol w:w="1668"/>
            <w:gridCol w:w="1898"/>
            <w:gridCol w:w="1305"/>
          </w:tblGrid>
        </w:tblGridChange>
      </w:tblGrid>
      <w:tr>
        <w:trPr>
          <w:cantSplit w:val="0"/>
          <w:trHeight w:val="1020" w:hRule="atLeast"/>
          <w:tblHeader w:val="0"/>
        </w:trPr>
        <w:tc>
          <w:tcPr>
            <w:tcBorders>
              <w:top w:color="000000" w:space="0" w:sz="4" w:val="single"/>
              <w:left w:color="000000" w:space="0" w:sz="0" w:val="nil"/>
              <w:bottom w:color="000000" w:space="0" w:sz="0" w:val="nil"/>
            </w:tcBorders>
            <w:tcMar>
              <w:top w:w="15.0" w:type="dxa"/>
              <w:left w:w="15.0" w:type="dxa"/>
              <w:right w:w="15.0" w:type="dxa"/>
            </w:tcMar>
            <w:vAlign w:val="bottom"/>
          </w:tcPr>
          <w:p w:rsidR="00000000" w:rsidDel="00000000" w:rsidP="00000000" w:rsidRDefault="00000000" w:rsidRPr="00000000" w14:paraId="000000F3">
            <w:pPr>
              <w:rPr>
                <w:color w:val="000000"/>
              </w:rPr>
            </w:pPr>
            <w:r w:rsidDel="00000000" w:rsidR="00000000" w:rsidRPr="00000000">
              <w:rPr>
                <w:color w:val="000000"/>
                <w:rtl w:val="0"/>
              </w:rPr>
              <w:t xml:space="preserve">Attribute of usability of the APP</w:t>
            </w:r>
          </w:p>
        </w:tc>
        <w:tc>
          <w:tcPr>
            <w:tcBorders>
              <w:top w:color="000000" w:space="0" w:sz="4" w:val="single"/>
              <w:bottom w:color="000000" w:space="0" w:sz="0" w:val="nil"/>
            </w:tcBorders>
            <w:tcMar>
              <w:top w:w="15.0" w:type="dxa"/>
              <w:left w:w="15.0" w:type="dxa"/>
              <w:right w:w="15.0" w:type="dxa"/>
            </w:tcMar>
            <w:vAlign w:val="bottom"/>
          </w:tcPr>
          <w:p w:rsidR="00000000" w:rsidDel="00000000" w:rsidP="00000000" w:rsidRDefault="00000000" w:rsidRPr="00000000" w14:paraId="000000F4">
            <w:pPr>
              <w:jc w:val="center"/>
              <w:rPr>
                <w:color w:val="000000"/>
              </w:rPr>
            </w:pPr>
            <w:r w:rsidDel="00000000" w:rsidR="00000000" w:rsidRPr="00000000">
              <w:rPr>
                <w:color w:val="000000"/>
                <w:rtl w:val="0"/>
              </w:rPr>
              <w:t xml:space="preserve">ton Strongly Agree to Agree</w:t>
            </w:r>
          </w:p>
        </w:tc>
        <w:tc>
          <w:tcPr>
            <w:tcBorders>
              <w:top w:color="000000" w:space="0" w:sz="4" w:val="single"/>
              <w:bottom w:color="000000" w:space="0" w:sz="0" w:val="nil"/>
            </w:tcBorders>
            <w:tcMar>
              <w:top w:w="15.0" w:type="dxa"/>
              <w:left w:w="15.0" w:type="dxa"/>
              <w:right w:w="15.0" w:type="dxa"/>
            </w:tcMar>
            <w:vAlign w:val="bottom"/>
          </w:tcPr>
          <w:p w:rsidR="00000000" w:rsidDel="00000000" w:rsidP="00000000" w:rsidRDefault="00000000" w:rsidRPr="00000000" w14:paraId="000000F5">
            <w:pPr>
              <w:jc w:val="center"/>
              <w:rPr>
                <w:color w:val="000000"/>
              </w:rPr>
            </w:pPr>
            <w:r w:rsidDel="00000000" w:rsidR="00000000" w:rsidRPr="00000000">
              <w:rPr>
                <w:color w:val="000000"/>
                <w:rtl w:val="0"/>
              </w:rPr>
              <w:t xml:space="preserve">Neutral</w:t>
            </w:r>
          </w:p>
        </w:tc>
        <w:tc>
          <w:tcPr>
            <w:tcBorders>
              <w:top w:color="000000" w:space="0" w:sz="4" w:val="single"/>
              <w:bottom w:color="000000" w:space="0" w:sz="0" w:val="nil"/>
            </w:tcBorders>
            <w:tcMar>
              <w:top w:w="15.0" w:type="dxa"/>
              <w:left w:w="15.0" w:type="dxa"/>
              <w:right w:w="15.0" w:type="dxa"/>
            </w:tcMar>
            <w:vAlign w:val="bottom"/>
          </w:tcPr>
          <w:p w:rsidR="00000000" w:rsidDel="00000000" w:rsidP="00000000" w:rsidRDefault="00000000" w:rsidRPr="00000000" w14:paraId="000000F6">
            <w:pPr>
              <w:jc w:val="center"/>
              <w:rPr>
                <w:color w:val="000000"/>
              </w:rPr>
            </w:pPr>
            <w:r w:rsidDel="00000000" w:rsidR="00000000" w:rsidRPr="00000000">
              <w:rPr>
                <w:color w:val="000000"/>
                <w:rtl w:val="0"/>
              </w:rPr>
              <w:t xml:space="preserve">Strongly Disagree to Disagree</w:t>
            </w:r>
          </w:p>
        </w:tc>
        <w:tc>
          <w:tcPr>
            <w:tcBorders>
              <w:top w:color="000000" w:space="0" w:sz="4" w:val="single"/>
              <w:bottom w:color="000000" w:space="0" w:sz="0" w:val="nil"/>
              <w:right w:color="000000" w:space="0" w:sz="0" w:val="nil"/>
            </w:tcBorders>
            <w:tcMar>
              <w:top w:w="15.0" w:type="dxa"/>
              <w:left w:w="15.0" w:type="dxa"/>
              <w:right w:w="15.0" w:type="dxa"/>
            </w:tcMar>
            <w:vAlign w:val="bottom"/>
          </w:tcPr>
          <w:p w:rsidR="00000000" w:rsidDel="00000000" w:rsidP="00000000" w:rsidRDefault="00000000" w:rsidRPr="00000000" w14:paraId="000000F7">
            <w:pPr>
              <w:jc w:val="center"/>
              <w:rPr>
                <w:color w:val="000000"/>
              </w:rPr>
            </w:pPr>
            <w:r w:rsidDel="00000000" w:rsidR="00000000" w:rsidRPr="00000000">
              <w:rPr>
                <w:color w:val="000000"/>
                <w:rtl w:val="0"/>
              </w:rPr>
              <w:t xml:space="preserve">N=36</w:t>
            </w:r>
          </w:p>
          <w:p w:rsidR="00000000" w:rsidDel="00000000" w:rsidP="00000000" w:rsidRDefault="00000000" w:rsidRPr="00000000" w14:paraId="000000F8">
            <w:pPr>
              <w:jc w:val="center"/>
              <w:rPr>
                <w:color w:val="000000"/>
              </w:rPr>
            </w:pPr>
            <w:r w:rsidDel="00000000" w:rsidR="00000000" w:rsidRPr="00000000">
              <w:rPr>
                <w:color w:val="000000"/>
                <w:rtl w:val="0"/>
              </w:rPr>
              <w:t xml:space="preserve">TOTAL</w:t>
            </w:r>
          </w:p>
        </w:tc>
      </w:tr>
      <w:tr>
        <w:trPr>
          <w:cantSplit w:val="0"/>
          <w:trHeight w:val="315" w:hRule="atLeast"/>
          <w:tblHeader w:val="0"/>
        </w:trPr>
        <w:tc>
          <w:tcPr>
            <w:tcBorders>
              <w:top w:color="000000" w:space="0" w:sz="0" w:val="nil"/>
              <w:left w:color="000000" w:space="0" w:sz="0" w:val="nil"/>
              <w:bottom w:color="000000" w:space="0" w:sz="0" w:val="nil"/>
            </w:tcBorders>
            <w:tcMar>
              <w:top w:w="15.0" w:type="dxa"/>
              <w:left w:w="15.0" w:type="dxa"/>
              <w:right w:w="15.0" w:type="dxa"/>
            </w:tcMar>
            <w:vAlign w:val="bottom"/>
          </w:tcPr>
          <w:p w:rsidR="00000000" w:rsidDel="00000000" w:rsidP="00000000" w:rsidRDefault="00000000" w:rsidRPr="00000000" w14:paraId="000000F9">
            <w:pPr>
              <w:rPr>
                <w:color w:val="000000"/>
              </w:rPr>
            </w:pPr>
            <w:r w:rsidDel="00000000" w:rsidR="00000000" w:rsidRPr="00000000">
              <w:rPr>
                <w:color w:val="000000"/>
                <w:rtl w:val="0"/>
              </w:rPr>
              <w:t xml:space="preserve">1. I would like to use this app all time</w:t>
            </w:r>
          </w:p>
        </w:tc>
        <w:tc>
          <w:tcPr>
            <w:tcBorders>
              <w:top w:color="000000" w:space="0" w:sz="0" w:val="nil"/>
              <w:bottom w:color="000000" w:space="0" w:sz="0" w:val="nil"/>
            </w:tcBorders>
            <w:tcMar>
              <w:top w:w="15.0" w:type="dxa"/>
              <w:left w:w="15.0" w:type="dxa"/>
              <w:right w:w="15.0" w:type="dxa"/>
            </w:tcMar>
            <w:vAlign w:val="bottom"/>
          </w:tcPr>
          <w:p w:rsidR="00000000" w:rsidDel="00000000" w:rsidP="00000000" w:rsidRDefault="00000000" w:rsidRPr="00000000" w14:paraId="000000FA">
            <w:pPr>
              <w:jc w:val="center"/>
              <w:rPr>
                <w:color w:val="000000"/>
              </w:rPr>
            </w:pPr>
            <w:r w:rsidDel="00000000" w:rsidR="00000000" w:rsidRPr="00000000">
              <w:rPr>
                <w:color w:val="000000"/>
                <w:rtl w:val="0"/>
              </w:rPr>
              <w:t xml:space="preserve">23 (64%)</w:t>
            </w:r>
          </w:p>
        </w:tc>
        <w:tc>
          <w:tcPr>
            <w:tcBorders>
              <w:top w:color="000000" w:space="0" w:sz="0" w:val="nil"/>
              <w:bottom w:color="000000" w:space="0" w:sz="0" w:val="nil"/>
            </w:tcBorders>
            <w:tcMar>
              <w:top w:w="15.0" w:type="dxa"/>
              <w:left w:w="15.0" w:type="dxa"/>
              <w:right w:w="15.0" w:type="dxa"/>
            </w:tcMar>
            <w:vAlign w:val="bottom"/>
          </w:tcPr>
          <w:p w:rsidR="00000000" w:rsidDel="00000000" w:rsidP="00000000" w:rsidRDefault="00000000" w:rsidRPr="00000000" w14:paraId="000000FB">
            <w:pPr>
              <w:jc w:val="center"/>
              <w:rPr>
                <w:color w:val="000000"/>
              </w:rPr>
            </w:pPr>
            <w:r w:rsidDel="00000000" w:rsidR="00000000" w:rsidRPr="00000000">
              <w:rPr>
                <w:color w:val="000000"/>
                <w:rtl w:val="0"/>
              </w:rPr>
              <w:t xml:space="preserve">12 (33 %)</w:t>
            </w:r>
          </w:p>
        </w:tc>
        <w:tc>
          <w:tcPr>
            <w:tcBorders>
              <w:top w:color="000000" w:space="0" w:sz="0" w:val="nil"/>
              <w:bottom w:color="000000" w:space="0" w:sz="0" w:val="nil"/>
            </w:tcBorders>
            <w:tcMar>
              <w:top w:w="15.0" w:type="dxa"/>
              <w:left w:w="15.0" w:type="dxa"/>
              <w:right w:w="15.0" w:type="dxa"/>
            </w:tcMar>
            <w:vAlign w:val="bottom"/>
          </w:tcPr>
          <w:p w:rsidR="00000000" w:rsidDel="00000000" w:rsidP="00000000" w:rsidRDefault="00000000" w:rsidRPr="00000000" w14:paraId="000000FC">
            <w:pPr>
              <w:jc w:val="center"/>
              <w:rPr>
                <w:color w:val="000000"/>
              </w:rPr>
            </w:pPr>
            <w:r w:rsidDel="00000000" w:rsidR="00000000" w:rsidRPr="00000000">
              <w:rPr>
                <w:color w:val="000000"/>
                <w:rtl w:val="0"/>
              </w:rPr>
              <w:t xml:space="preserve">1 (3%)</w:t>
            </w:r>
          </w:p>
        </w:tc>
        <w:tc>
          <w:tcPr>
            <w:tcBorders>
              <w:top w:color="000000" w:space="0" w:sz="0" w:val="nil"/>
              <w:bottom w:color="000000" w:space="0" w:sz="0" w:val="nil"/>
              <w:right w:color="000000" w:space="0" w:sz="0" w:val="nil"/>
            </w:tcBorders>
            <w:tcMar>
              <w:top w:w="15.0" w:type="dxa"/>
              <w:left w:w="15.0" w:type="dxa"/>
              <w:right w:w="15.0" w:type="dxa"/>
            </w:tcMar>
            <w:vAlign w:val="bottom"/>
          </w:tcPr>
          <w:p w:rsidR="00000000" w:rsidDel="00000000" w:rsidP="00000000" w:rsidRDefault="00000000" w:rsidRPr="00000000" w14:paraId="000000FD">
            <w:pPr>
              <w:jc w:val="center"/>
              <w:rPr>
                <w:color w:val="000000"/>
              </w:rPr>
            </w:pPr>
            <w:r w:rsidDel="00000000" w:rsidR="00000000" w:rsidRPr="00000000">
              <w:rPr>
                <w:color w:val="000000"/>
                <w:rtl w:val="0"/>
              </w:rPr>
              <w:t xml:space="preserve">100%</w:t>
            </w:r>
          </w:p>
        </w:tc>
      </w:tr>
      <w:tr>
        <w:trPr>
          <w:cantSplit w:val="0"/>
          <w:trHeight w:val="315" w:hRule="atLeast"/>
          <w:tblHeader w:val="0"/>
        </w:trPr>
        <w:tc>
          <w:tcPr>
            <w:tcBorders>
              <w:top w:color="000000" w:space="0" w:sz="0" w:val="nil"/>
              <w:left w:color="000000" w:space="0" w:sz="0" w:val="nil"/>
              <w:bottom w:color="000000" w:space="0" w:sz="0" w:val="nil"/>
            </w:tcBorders>
            <w:tcMar>
              <w:top w:w="15.0" w:type="dxa"/>
              <w:left w:w="15.0" w:type="dxa"/>
              <w:right w:w="15.0" w:type="dxa"/>
            </w:tcMar>
            <w:vAlign w:val="bottom"/>
          </w:tcPr>
          <w:p w:rsidR="00000000" w:rsidDel="00000000" w:rsidP="00000000" w:rsidRDefault="00000000" w:rsidRPr="00000000" w14:paraId="000000FE">
            <w:pPr>
              <w:rPr>
                <w:color w:val="000000"/>
              </w:rPr>
            </w:pPr>
            <w:r w:rsidDel="00000000" w:rsidR="00000000" w:rsidRPr="00000000">
              <w:rPr>
                <w:color w:val="000000"/>
                <w:rtl w:val="0"/>
              </w:rPr>
              <w:t xml:space="preserve">2. This app is simple to use</w:t>
            </w:r>
          </w:p>
        </w:tc>
        <w:tc>
          <w:tcPr>
            <w:tcBorders>
              <w:top w:color="000000" w:space="0" w:sz="0" w:val="nil"/>
              <w:bottom w:color="000000" w:space="0" w:sz="0" w:val="nil"/>
            </w:tcBorders>
            <w:tcMar>
              <w:top w:w="15.0" w:type="dxa"/>
              <w:left w:w="15.0" w:type="dxa"/>
              <w:right w:w="15.0" w:type="dxa"/>
            </w:tcMar>
            <w:vAlign w:val="bottom"/>
          </w:tcPr>
          <w:p w:rsidR="00000000" w:rsidDel="00000000" w:rsidP="00000000" w:rsidRDefault="00000000" w:rsidRPr="00000000" w14:paraId="000000FF">
            <w:pPr>
              <w:jc w:val="center"/>
              <w:rPr>
                <w:color w:val="000000"/>
              </w:rPr>
            </w:pPr>
            <w:r w:rsidDel="00000000" w:rsidR="00000000" w:rsidRPr="00000000">
              <w:rPr>
                <w:color w:val="000000"/>
                <w:rtl w:val="0"/>
              </w:rPr>
              <w:t xml:space="preserve">31 (86%)</w:t>
            </w:r>
          </w:p>
        </w:tc>
        <w:tc>
          <w:tcPr>
            <w:tcBorders>
              <w:top w:color="000000" w:space="0" w:sz="0" w:val="nil"/>
              <w:bottom w:color="000000" w:space="0" w:sz="0" w:val="nil"/>
            </w:tcBorders>
            <w:tcMar>
              <w:top w:w="15.0" w:type="dxa"/>
              <w:left w:w="15.0" w:type="dxa"/>
              <w:right w:w="15.0" w:type="dxa"/>
            </w:tcMar>
            <w:vAlign w:val="bottom"/>
          </w:tcPr>
          <w:p w:rsidR="00000000" w:rsidDel="00000000" w:rsidP="00000000" w:rsidRDefault="00000000" w:rsidRPr="00000000" w14:paraId="00000100">
            <w:pPr>
              <w:jc w:val="center"/>
              <w:rPr>
                <w:color w:val="000000"/>
              </w:rPr>
            </w:pPr>
            <w:r w:rsidDel="00000000" w:rsidR="00000000" w:rsidRPr="00000000">
              <w:rPr>
                <w:color w:val="000000"/>
                <w:rtl w:val="0"/>
              </w:rPr>
              <w:t xml:space="preserve">4 (28%)</w:t>
            </w:r>
          </w:p>
        </w:tc>
        <w:tc>
          <w:tcPr>
            <w:tcBorders>
              <w:top w:color="000000" w:space="0" w:sz="0" w:val="nil"/>
              <w:bottom w:color="000000" w:space="0" w:sz="0" w:val="nil"/>
            </w:tcBorders>
            <w:tcMar>
              <w:top w:w="15.0" w:type="dxa"/>
              <w:left w:w="15.0" w:type="dxa"/>
              <w:right w:w="15.0" w:type="dxa"/>
            </w:tcMar>
            <w:vAlign w:val="bottom"/>
          </w:tcPr>
          <w:p w:rsidR="00000000" w:rsidDel="00000000" w:rsidP="00000000" w:rsidRDefault="00000000" w:rsidRPr="00000000" w14:paraId="00000101">
            <w:pPr>
              <w:jc w:val="center"/>
              <w:rPr>
                <w:color w:val="000000"/>
              </w:rPr>
            </w:pPr>
            <w:r w:rsidDel="00000000" w:rsidR="00000000" w:rsidRPr="00000000">
              <w:rPr>
                <w:color w:val="000000"/>
                <w:rtl w:val="0"/>
              </w:rPr>
              <w:t xml:space="preserve">1 (3%)</w:t>
            </w:r>
          </w:p>
        </w:tc>
        <w:tc>
          <w:tcPr>
            <w:tcBorders>
              <w:top w:color="000000" w:space="0" w:sz="0" w:val="nil"/>
              <w:bottom w:color="000000" w:space="0" w:sz="0" w:val="nil"/>
              <w:right w:color="000000" w:space="0" w:sz="0" w:val="nil"/>
            </w:tcBorders>
            <w:tcMar>
              <w:top w:w="15.0" w:type="dxa"/>
              <w:left w:w="15.0" w:type="dxa"/>
              <w:right w:w="15.0" w:type="dxa"/>
            </w:tcMar>
            <w:vAlign w:val="bottom"/>
          </w:tcPr>
          <w:p w:rsidR="00000000" w:rsidDel="00000000" w:rsidP="00000000" w:rsidRDefault="00000000" w:rsidRPr="00000000" w14:paraId="00000102">
            <w:pPr>
              <w:jc w:val="center"/>
              <w:rPr>
                <w:color w:val="000000"/>
              </w:rPr>
            </w:pPr>
            <w:r w:rsidDel="00000000" w:rsidR="00000000" w:rsidRPr="00000000">
              <w:rPr>
                <w:color w:val="000000"/>
                <w:rtl w:val="0"/>
              </w:rPr>
              <w:t xml:space="preserve">100%</w:t>
            </w:r>
          </w:p>
        </w:tc>
      </w:tr>
      <w:tr>
        <w:trPr>
          <w:cantSplit w:val="0"/>
          <w:trHeight w:val="315" w:hRule="atLeast"/>
          <w:tblHeader w:val="0"/>
        </w:trPr>
        <w:tc>
          <w:tcPr>
            <w:tcBorders>
              <w:top w:color="000000" w:space="0" w:sz="0" w:val="nil"/>
              <w:left w:color="000000" w:space="0" w:sz="0" w:val="nil"/>
              <w:bottom w:color="000000" w:space="0" w:sz="0" w:val="nil"/>
            </w:tcBorders>
            <w:tcMar>
              <w:top w:w="15.0" w:type="dxa"/>
              <w:left w:w="15.0" w:type="dxa"/>
              <w:right w:w="15.0" w:type="dxa"/>
            </w:tcMar>
            <w:vAlign w:val="bottom"/>
          </w:tcPr>
          <w:p w:rsidR="00000000" w:rsidDel="00000000" w:rsidP="00000000" w:rsidRDefault="00000000" w:rsidRPr="00000000" w14:paraId="00000103">
            <w:pPr>
              <w:rPr>
                <w:color w:val="000000"/>
              </w:rPr>
            </w:pPr>
            <w:r w:rsidDel="00000000" w:rsidR="00000000" w:rsidRPr="00000000">
              <w:rPr>
                <w:color w:val="000000"/>
                <w:rtl w:val="0"/>
              </w:rPr>
              <w:t xml:space="preserve">3. This app is easy to use</w:t>
            </w:r>
          </w:p>
        </w:tc>
        <w:tc>
          <w:tcPr>
            <w:tcBorders>
              <w:top w:color="000000" w:space="0" w:sz="0" w:val="nil"/>
              <w:bottom w:color="000000" w:space="0" w:sz="0" w:val="nil"/>
            </w:tcBorders>
            <w:tcMar>
              <w:top w:w="15.0" w:type="dxa"/>
              <w:left w:w="15.0" w:type="dxa"/>
              <w:right w:w="15.0" w:type="dxa"/>
            </w:tcMar>
            <w:vAlign w:val="bottom"/>
          </w:tcPr>
          <w:p w:rsidR="00000000" w:rsidDel="00000000" w:rsidP="00000000" w:rsidRDefault="00000000" w:rsidRPr="00000000" w14:paraId="00000104">
            <w:pPr>
              <w:jc w:val="center"/>
              <w:rPr>
                <w:color w:val="000000"/>
              </w:rPr>
            </w:pPr>
            <w:r w:rsidDel="00000000" w:rsidR="00000000" w:rsidRPr="00000000">
              <w:rPr>
                <w:color w:val="000000"/>
                <w:rtl w:val="0"/>
              </w:rPr>
              <w:t xml:space="preserve">31 (86%)</w:t>
            </w:r>
          </w:p>
        </w:tc>
        <w:tc>
          <w:tcPr>
            <w:tcBorders>
              <w:top w:color="000000" w:space="0" w:sz="0" w:val="nil"/>
              <w:bottom w:color="000000" w:space="0" w:sz="0" w:val="nil"/>
            </w:tcBorders>
            <w:tcMar>
              <w:top w:w="15.0" w:type="dxa"/>
              <w:left w:w="15.0" w:type="dxa"/>
              <w:right w:w="15.0" w:type="dxa"/>
            </w:tcMar>
            <w:vAlign w:val="bottom"/>
          </w:tcPr>
          <w:p w:rsidR="00000000" w:rsidDel="00000000" w:rsidP="00000000" w:rsidRDefault="00000000" w:rsidRPr="00000000" w14:paraId="00000105">
            <w:pPr>
              <w:jc w:val="center"/>
              <w:rPr>
                <w:color w:val="000000"/>
              </w:rPr>
            </w:pPr>
            <w:r w:rsidDel="00000000" w:rsidR="00000000" w:rsidRPr="00000000">
              <w:rPr>
                <w:color w:val="000000"/>
                <w:rtl w:val="0"/>
              </w:rPr>
              <w:t xml:space="preserve">5 (14%)</w:t>
            </w:r>
          </w:p>
        </w:tc>
        <w:tc>
          <w:tcPr>
            <w:tcBorders>
              <w:top w:color="000000" w:space="0" w:sz="0" w:val="nil"/>
              <w:bottom w:color="000000" w:space="0" w:sz="0" w:val="nil"/>
            </w:tcBorders>
            <w:tcMar>
              <w:top w:w="15.0" w:type="dxa"/>
              <w:left w:w="15.0" w:type="dxa"/>
              <w:right w:w="15.0" w:type="dxa"/>
            </w:tcMar>
            <w:vAlign w:val="bottom"/>
          </w:tcPr>
          <w:p w:rsidR="00000000" w:rsidDel="00000000" w:rsidP="00000000" w:rsidRDefault="00000000" w:rsidRPr="00000000" w14:paraId="00000106">
            <w:pPr>
              <w:jc w:val="center"/>
              <w:rPr>
                <w:color w:val="000000"/>
              </w:rPr>
            </w:pPr>
            <w:r w:rsidDel="00000000" w:rsidR="00000000" w:rsidRPr="00000000">
              <w:rPr>
                <w:color w:val="000000"/>
                <w:rtl w:val="0"/>
              </w:rPr>
              <w:t xml:space="preserve">0 (0%)</w:t>
            </w:r>
          </w:p>
        </w:tc>
        <w:tc>
          <w:tcPr>
            <w:tcBorders>
              <w:top w:color="000000" w:space="0" w:sz="0" w:val="nil"/>
              <w:bottom w:color="000000" w:space="0" w:sz="0" w:val="nil"/>
              <w:right w:color="000000" w:space="0" w:sz="0" w:val="nil"/>
            </w:tcBorders>
            <w:tcMar>
              <w:top w:w="15.0" w:type="dxa"/>
              <w:left w:w="15.0" w:type="dxa"/>
              <w:right w:w="15.0" w:type="dxa"/>
            </w:tcMar>
            <w:vAlign w:val="bottom"/>
          </w:tcPr>
          <w:p w:rsidR="00000000" w:rsidDel="00000000" w:rsidP="00000000" w:rsidRDefault="00000000" w:rsidRPr="00000000" w14:paraId="00000107">
            <w:pPr>
              <w:jc w:val="center"/>
              <w:rPr>
                <w:color w:val="000000"/>
              </w:rPr>
            </w:pPr>
            <w:r w:rsidDel="00000000" w:rsidR="00000000" w:rsidRPr="00000000">
              <w:rPr>
                <w:color w:val="000000"/>
                <w:rtl w:val="0"/>
              </w:rPr>
              <w:t xml:space="preserve">100%</w:t>
            </w:r>
          </w:p>
        </w:tc>
      </w:tr>
      <w:tr>
        <w:trPr>
          <w:cantSplit w:val="0"/>
          <w:trHeight w:val="345" w:hRule="atLeast"/>
          <w:tblHeader w:val="0"/>
        </w:trPr>
        <w:tc>
          <w:tcPr>
            <w:tcBorders>
              <w:top w:color="000000" w:space="0" w:sz="0" w:val="nil"/>
              <w:left w:color="000000" w:space="0" w:sz="0" w:val="nil"/>
              <w:bottom w:color="000000" w:space="0" w:sz="0" w:val="nil"/>
            </w:tcBorders>
            <w:tcMar>
              <w:top w:w="15.0" w:type="dxa"/>
              <w:left w:w="15.0" w:type="dxa"/>
              <w:right w:w="15.0" w:type="dxa"/>
            </w:tcMar>
            <w:vAlign w:val="bottom"/>
          </w:tcPr>
          <w:p w:rsidR="00000000" w:rsidDel="00000000" w:rsidP="00000000" w:rsidRDefault="00000000" w:rsidRPr="00000000" w14:paraId="00000108">
            <w:pPr>
              <w:rPr>
                <w:color w:val="000000"/>
              </w:rPr>
            </w:pPr>
            <w:r w:rsidDel="00000000" w:rsidR="00000000" w:rsidRPr="00000000">
              <w:rPr>
                <w:color w:val="000000"/>
                <w:rtl w:val="0"/>
              </w:rPr>
              <w:t xml:space="preserve">4. I could use this app without technical support</w:t>
            </w:r>
          </w:p>
        </w:tc>
        <w:tc>
          <w:tcPr>
            <w:tcBorders>
              <w:top w:color="000000" w:space="0" w:sz="0" w:val="nil"/>
              <w:bottom w:color="000000" w:space="0" w:sz="0" w:val="nil"/>
            </w:tcBorders>
            <w:tcMar>
              <w:top w:w="15.0" w:type="dxa"/>
              <w:left w:w="15.0" w:type="dxa"/>
              <w:right w:w="15.0" w:type="dxa"/>
            </w:tcMar>
            <w:vAlign w:val="bottom"/>
          </w:tcPr>
          <w:p w:rsidR="00000000" w:rsidDel="00000000" w:rsidP="00000000" w:rsidRDefault="00000000" w:rsidRPr="00000000" w14:paraId="00000109">
            <w:pPr>
              <w:jc w:val="center"/>
              <w:rPr>
                <w:color w:val="000000"/>
              </w:rPr>
            </w:pPr>
            <w:r w:rsidDel="00000000" w:rsidR="00000000" w:rsidRPr="00000000">
              <w:rPr>
                <w:color w:val="000000"/>
                <w:rtl w:val="0"/>
              </w:rPr>
              <w:t xml:space="preserve">31 (86%)</w:t>
            </w:r>
          </w:p>
        </w:tc>
        <w:tc>
          <w:tcPr>
            <w:tcBorders>
              <w:top w:color="000000" w:space="0" w:sz="0" w:val="nil"/>
              <w:bottom w:color="000000" w:space="0" w:sz="0" w:val="nil"/>
            </w:tcBorders>
            <w:tcMar>
              <w:top w:w="15.0" w:type="dxa"/>
              <w:left w:w="15.0" w:type="dxa"/>
              <w:right w:w="15.0" w:type="dxa"/>
            </w:tcMar>
            <w:vAlign w:val="bottom"/>
          </w:tcPr>
          <w:p w:rsidR="00000000" w:rsidDel="00000000" w:rsidP="00000000" w:rsidRDefault="00000000" w:rsidRPr="00000000" w14:paraId="0000010A">
            <w:pPr>
              <w:jc w:val="center"/>
              <w:rPr>
                <w:color w:val="000000"/>
              </w:rPr>
            </w:pPr>
            <w:r w:rsidDel="00000000" w:rsidR="00000000" w:rsidRPr="00000000">
              <w:rPr>
                <w:color w:val="000000"/>
                <w:rtl w:val="0"/>
              </w:rPr>
              <w:t xml:space="preserve">2 (5%)</w:t>
            </w:r>
          </w:p>
        </w:tc>
        <w:tc>
          <w:tcPr>
            <w:tcBorders>
              <w:top w:color="000000" w:space="0" w:sz="0" w:val="nil"/>
              <w:bottom w:color="000000" w:space="0" w:sz="0" w:val="nil"/>
            </w:tcBorders>
            <w:tcMar>
              <w:top w:w="15.0" w:type="dxa"/>
              <w:left w:w="15.0" w:type="dxa"/>
              <w:right w:w="15.0" w:type="dxa"/>
            </w:tcMar>
            <w:vAlign w:val="bottom"/>
          </w:tcPr>
          <w:p w:rsidR="00000000" w:rsidDel="00000000" w:rsidP="00000000" w:rsidRDefault="00000000" w:rsidRPr="00000000" w14:paraId="0000010B">
            <w:pPr>
              <w:jc w:val="center"/>
              <w:rPr>
                <w:color w:val="000000"/>
              </w:rPr>
            </w:pPr>
            <w:r w:rsidDel="00000000" w:rsidR="00000000" w:rsidRPr="00000000">
              <w:rPr>
                <w:color w:val="000000"/>
                <w:rtl w:val="0"/>
              </w:rPr>
              <w:t xml:space="preserve">3 (9%)</w:t>
            </w:r>
          </w:p>
        </w:tc>
        <w:tc>
          <w:tcPr>
            <w:tcBorders>
              <w:top w:color="000000" w:space="0" w:sz="0" w:val="nil"/>
              <w:bottom w:color="000000" w:space="0" w:sz="0" w:val="nil"/>
              <w:right w:color="000000" w:space="0" w:sz="0" w:val="nil"/>
            </w:tcBorders>
            <w:tcMar>
              <w:top w:w="15.0" w:type="dxa"/>
              <w:left w:w="15.0" w:type="dxa"/>
              <w:right w:w="15.0" w:type="dxa"/>
            </w:tcMar>
            <w:vAlign w:val="bottom"/>
          </w:tcPr>
          <w:p w:rsidR="00000000" w:rsidDel="00000000" w:rsidP="00000000" w:rsidRDefault="00000000" w:rsidRPr="00000000" w14:paraId="0000010C">
            <w:pPr>
              <w:jc w:val="center"/>
              <w:rPr>
                <w:color w:val="000000"/>
              </w:rPr>
            </w:pPr>
            <w:r w:rsidDel="00000000" w:rsidR="00000000" w:rsidRPr="00000000">
              <w:rPr>
                <w:color w:val="000000"/>
                <w:rtl w:val="0"/>
              </w:rPr>
              <w:t xml:space="preserve">100%</w:t>
            </w:r>
          </w:p>
        </w:tc>
      </w:tr>
      <w:tr>
        <w:trPr>
          <w:cantSplit w:val="0"/>
          <w:trHeight w:val="345" w:hRule="atLeast"/>
          <w:tblHeader w:val="0"/>
        </w:trPr>
        <w:tc>
          <w:tcPr>
            <w:tcBorders>
              <w:top w:color="000000" w:space="0" w:sz="0" w:val="nil"/>
              <w:left w:color="000000" w:space="0" w:sz="0" w:val="nil"/>
              <w:bottom w:color="000000" w:space="0" w:sz="0" w:val="nil"/>
            </w:tcBorders>
            <w:tcMar>
              <w:top w:w="15.0" w:type="dxa"/>
              <w:left w:w="15.0" w:type="dxa"/>
              <w:right w:w="15.0" w:type="dxa"/>
            </w:tcMar>
            <w:vAlign w:val="bottom"/>
          </w:tcPr>
          <w:p w:rsidR="00000000" w:rsidDel="00000000" w:rsidP="00000000" w:rsidRDefault="00000000" w:rsidRPr="00000000" w14:paraId="0000010D">
            <w:pPr>
              <w:rPr>
                <w:color w:val="000000"/>
              </w:rPr>
            </w:pPr>
            <w:r w:rsidDel="00000000" w:rsidR="00000000" w:rsidRPr="00000000">
              <w:rPr>
                <w:color w:val="000000"/>
                <w:rtl w:val="0"/>
              </w:rPr>
              <w:t xml:space="preserve">5. The parts of this app fit well together</w:t>
            </w:r>
          </w:p>
        </w:tc>
        <w:tc>
          <w:tcPr>
            <w:tcBorders>
              <w:top w:color="000000" w:space="0" w:sz="0" w:val="nil"/>
              <w:bottom w:color="000000" w:space="0" w:sz="0" w:val="nil"/>
            </w:tcBorders>
            <w:tcMar>
              <w:top w:w="15.0" w:type="dxa"/>
              <w:left w:w="15.0" w:type="dxa"/>
              <w:right w:w="15.0" w:type="dxa"/>
            </w:tcMar>
            <w:vAlign w:val="bottom"/>
          </w:tcPr>
          <w:p w:rsidR="00000000" w:rsidDel="00000000" w:rsidP="00000000" w:rsidRDefault="00000000" w:rsidRPr="00000000" w14:paraId="0000010E">
            <w:pPr>
              <w:jc w:val="center"/>
              <w:rPr>
                <w:color w:val="000000"/>
              </w:rPr>
            </w:pPr>
            <w:r w:rsidDel="00000000" w:rsidR="00000000" w:rsidRPr="00000000">
              <w:rPr>
                <w:color w:val="000000"/>
                <w:rtl w:val="0"/>
              </w:rPr>
              <w:t xml:space="preserve">26 (72%)</w:t>
            </w:r>
          </w:p>
        </w:tc>
        <w:tc>
          <w:tcPr>
            <w:tcBorders>
              <w:top w:color="000000" w:space="0" w:sz="0" w:val="nil"/>
              <w:bottom w:color="000000" w:space="0" w:sz="0" w:val="nil"/>
            </w:tcBorders>
            <w:tcMar>
              <w:top w:w="15.0" w:type="dxa"/>
              <w:left w:w="15.0" w:type="dxa"/>
              <w:right w:w="15.0" w:type="dxa"/>
            </w:tcMar>
            <w:vAlign w:val="bottom"/>
          </w:tcPr>
          <w:p w:rsidR="00000000" w:rsidDel="00000000" w:rsidP="00000000" w:rsidRDefault="00000000" w:rsidRPr="00000000" w14:paraId="0000010F">
            <w:pPr>
              <w:jc w:val="center"/>
              <w:rPr>
                <w:color w:val="000000"/>
              </w:rPr>
            </w:pPr>
            <w:r w:rsidDel="00000000" w:rsidR="00000000" w:rsidRPr="00000000">
              <w:rPr>
                <w:color w:val="000000"/>
                <w:rtl w:val="0"/>
              </w:rPr>
              <w:t xml:space="preserve">9 (25%)</w:t>
            </w:r>
          </w:p>
        </w:tc>
        <w:tc>
          <w:tcPr>
            <w:tcBorders>
              <w:top w:color="000000" w:space="0" w:sz="0" w:val="nil"/>
              <w:bottom w:color="000000" w:space="0" w:sz="0" w:val="nil"/>
            </w:tcBorders>
            <w:tcMar>
              <w:top w:w="15.0" w:type="dxa"/>
              <w:left w:w="15.0" w:type="dxa"/>
              <w:right w:w="15.0" w:type="dxa"/>
            </w:tcMar>
            <w:vAlign w:val="bottom"/>
          </w:tcPr>
          <w:p w:rsidR="00000000" w:rsidDel="00000000" w:rsidP="00000000" w:rsidRDefault="00000000" w:rsidRPr="00000000" w14:paraId="00000110">
            <w:pPr>
              <w:jc w:val="center"/>
              <w:rPr>
                <w:color w:val="000000"/>
              </w:rPr>
            </w:pPr>
            <w:r w:rsidDel="00000000" w:rsidR="00000000" w:rsidRPr="00000000">
              <w:rPr>
                <w:color w:val="000000"/>
                <w:rtl w:val="0"/>
              </w:rPr>
              <w:t xml:space="preserve">1 (3%)</w:t>
            </w:r>
          </w:p>
        </w:tc>
        <w:tc>
          <w:tcPr>
            <w:tcBorders>
              <w:top w:color="000000" w:space="0" w:sz="0" w:val="nil"/>
              <w:bottom w:color="000000" w:space="0" w:sz="0" w:val="nil"/>
              <w:right w:color="000000" w:space="0" w:sz="0" w:val="nil"/>
            </w:tcBorders>
            <w:tcMar>
              <w:top w:w="15.0" w:type="dxa"/>
              <w:left w:w="15.0" w:type="dxa"/>
              <w:right w:w="15.0" w:type="dxa"/>
            </w:tcMar>
          </w:tcPr>
          <w:p w:rsidR="00000000" w:rsidDel="00000000" w:rsidP="00000000" w:rsidRDefault="00000000" w:rsidRPr="00000000" w14:paraId="00000111">
            <w:pPr>
              <w:jc w:val="center"/>
              <w:rPr>
                <w:color w:val="000000"/>
              </w:rPr>
            </w:pPr>
            <w:r w:rsidDel="00000000" w:rsidR="00000000" w:rsidRPr="00000000">
              <w:rPr>
                <w:color w:val="000000"/>
                <w:rtl w:val="0"/>
              </w:rPr>
              <w:t xml:space="preserve">100%</w:t>
            </w:r>
          </w:p>
        </w:tc>
      </w:tr>
      <w:tr>
        <w:trPr>
          <w:cantSplit w:val="0"/>
          <w:trHeight w:val="345" w:hRule="atLeast"/>
          <w:tblHeader w:val="0"/>
        </w:trPr>
        <w:tc>
          <w:tcPr>
            <w:tcBorders>
              <w:top w:color="000000" w:space="0" w:sz="0" w:val="nil"/>
              <w:left w:color="000000" w:space="0" w:sz="0" w:val="nil"/>
              <w:bottom w:color="000000" w:space="0" w:sz="0" w:val="nil"/>
            </w:tcBorders>
            <w:tcMar>
              <w:top w:w="15.0" w:type="dxa"/>
              <w:left w:w="15.0" w:type="dxa"/>
              <w:right w:w="15.0" w:type="dxa"/>
            </w:tcMar>
            <w:vAlign w:val="bottom"/>
          </w:tcPr>
          <w:p w:rsidR="00000000" w:rsidDel="00000000" w:rsidP="00000000" w:rsidRDefault="00000000" w:rsidRPr="00000000" w14:paraId="00000112">
            <w:pPr>
              <w:rPr>
                <w:color w:val="000000"/>
              </w:rPr>
            </w:pPr>
            <w:r w:rsidDel="00000000" w:rsidR="00000000" w:rsidRPr="00000000">
              <w:rPr>
                <w:color w:val="000000"/>
                <w:rtl w:val="0"/>
              </w:rPr>
              <w:t xml:space="preserve">6. This app is very consistent</w:t>
            </w:r>
          </w:p>
        </w:tc>
        <w:tc>
          <w:tcPr>
            <w:tcBorders>
              <w:top w:color="000000" w:space="0" w:sz="0" w:val="nil"/>
              <w:bottom w:color="000000" w:space="0" w:sz="0" w:val="nil"/>
            </w:tcBorders>
            <w:tcMar>
              <w:top w:w="15.0" w:type="dxa"/>
              <w:left w:w="15.0" w:type="dxa"/>
              <w:right w:w="15.0" w:type="dxa"/>
            </w:tcMar>
            <w:vAlign w:val="bottom"/>
          </w:tcPr>
          <w:p w:rsidR="00000000" w:rsidDel="00000000" w:rsidP="00000000" w:rsidRDefault="00000000" w:rsidRPr="00000000" w14:paraId="00000113">
            <w:pPr>
              <w:jc w:val="center"/>
              <w:rPr>
                <w:color w:val="000000"/>
              </w:rPr>
            </w:pPr>
            <w:r w:rsidDel="00000000" w:rsidR="00000000" w:rsidRPr="00000000">
              <w:rPr>
                <w:color w:val="000000"/>
                <w:rtl w:val="0"/>
              </w:rPr>
              <w:t xml:space="preserve">24 (66%)</w:t>
            </w:r>
          </w:p>
        </w:tc>
        <w:tc>
          <w:tcPr>
            <w:tcBorders>
              <w:top w:color="000000" w:space="0" w:sz="0" w:val="nil"/>
              <w:bottom w:color="000000" w:space="0" w:sz="0" w:val="nil"/>
            </w:tcBorders>
            <w:tcMar>
              <w:top w:w="15.0" w:type="dxa"/>
              <w:left w:w="15.0" w:type="dxa"/>
              <w:right w:w="15.0" w:type="dxa"/>
            </w:tcMar>
            <w:vAlign w:val="bottom"/>
          </w:tcPr>
          <w:p w:rsidR="00000000" w:rsidDel="00000000" w:rsidP="00000000" w:rsidRDefault="00000000" w:rsidRPr="00000000" w14:paraId="00000114">
            <w:pPr>
              <w:jc w:val="center"/>
              <w:rPr>
                <w:color w:val="000000"/>
              </w:rPr>
            </w:pPr>
            <w:r w:rsidDel="00000000" w:rsidR="00000000" w:rsidRPr="00000000">
              <w:rPr>
                <w:color w:val="000000"/>
                <w:rtl w:val="0"/>
              </w:rPr>
              <w:t xml:space="preserve">11 (31%)</w:t>
            </w:r>
          </w:p>
        </w:tc>
        <w:tc>
          <w:tcPr>
            <w:tcBorders>
              <w:top w:color="000000" w:space="0" w:sz="0" w:val="nil"/>
              <w:bottom w:color="000000" w:space="0" w:sz="0" w:val="nil"/>
            </w:tcBorders>
            <w:tcMar>
              <w:top w:w="15.0" w:type="dxa"/>
              <w:left w:w="15.0" w:type="dxa"/>
              <w:right w:w="15.0" w:type="dxa"/>
            </w:tcMar>
            <w:vAlign w:val="bottom"/>
          </w:tcPr>
          <w:p w:rsidR="00000000" w:rsidDel="00000000" w:rsidP="00000000" w:rsidRDefault="00000000" w:rsidRPr="00000000" w14:paraId="00000115">
            <w:pPr>
              <w:jc w:val="center"/>
              <w:rPr>
                <w:color w:val="000000"/>
              </w:rPr>
            </w:pPr>
            <w:r w:rsidDel="00000000" w:rsidR="00000000" w:rsidRPr="00000000">
              <w:rPr>
                <w:color w:val="000000"/>
                <w:rtl w:val="0"/>
              </w:rPr>
              <w:t xml:space="preserve">1 (3%)</w:t>
            </w:r>
          </w:p>
        </w:tc>
        <w:tc>
          <w:tcPr>
            <w:tcBorders>
              <w:top w:color="000000" w:space="0" w:sz="0" w:val="nil"/>
              <w:bottom w:color="000000" w:space="0" w:sz="0" w:val="nil"/>
              <w:right w:color="000000" w:space="0" w:sz="0" w:val="nil"/>
            </w:tcBorders>
            <w:tcMar>
              <w:top w:w="15.0" w:type="dxa"/>
              <w:left w:w="15.0" w:type="dxa"/>
              <w:right w:w="15.0" w:type="dxa"/>
            </w:tcMar>
          </w:tcPr>
          <w:p w:rsidR="00000000" w:rsidDel="00000000" w:rsidP="00000000" w:rsidRDefault="00000000" w:rsidRPr="00000000" w14:paraId="00000116">
            <w:pPr>
              <w:jc w:val="center"/>
              <w:rPr>
                <w:color w:val="000000"/>
              </w:rPr>
            </w:pPr>
            <w:r w:rsidDel="00000000" w:rsidR="00000000" w:rsidRPr="00000000">
              <w:rPr>
                <w:color w:val="000000"/>
                <w:rtl w:val="0"/>
              </w:rPr>
              <w:t xml:space="preserve">100%</w:t>
            </w:r>
          </w:p>
        </w:tc>
      </w:tr>
      <w:tr>
        <w:trPr>
          <w:cantSplit w:val="0"/>
          <w:trHeight w:val="345" w:hRule="atLeast"/>
          <w:tblHeader w:val="0"/>
        </w:trPr>
        <w:tc>
          <w:tcPr>
            <w:tcBorders>
              <w:top w:color="000000" w:space="0" w:sz="0" w:val="nil"/>
              <w:left w:color="000000" w:space="0" w:sz="0" w:val="nil"/>
              <w:bottom w:color="000000" w:space="0" w:sz="0" w:val="nil"/>
            </w:tcBorders>
            <w:tcMar>
              <w:top w:w="15.0" w:type="dxa"/>
              <w:left w:w="15.0" w:type="dxa"/>
              <w:right w:w="15.0" w:type="dxa"/>
            </w:tcMar>
            <w:vAlign w:val="bottom"/>
          </w:tcPr>
          <w:p w:rsidR="00000000" w:rsidDel="00000000" w:rsidP="00000000" w:rsidRDefault="00000000" w:rsidRPr="00000000" w14:paraId="00000117">
            <w:pPr>
              <w:rPr>
                <w:color w:val="000000"/>
              </w:rPr>
            </w:pPr>
            <w:r w:rsidDel="00000000" w:rsidR="00000000" w:rsidRPr="00000000">
              <w:rPr>
                <w:color w:val="000000"/>
                <w:rtl w:val="0"/>
              </w:rPr>
              <w:t xml:space="preserve">7. I believe that most the people could learn to use this app quickly</w:t>
            </w:r>
          </w:p>
        </w:tc>
        <w:tc>
          <w:tcPr>
            <w:tcBorders>
              <w:top w:color="000000" w:space="0" w:sz="0" w:val="nil"/>
              <w:bottom w:color="000000" w:space="0" w:sz="0" w:val="nil"/>
            </w:tcBorders>
            <w:tcMar>
              <w:top w:w="15.0" w:type="dxa"/>
              <w:left w:w="15.0" w:type="dxa"/>
              <w:right w:w="15.0" w:type="dxa"/>
            </w:tcMar>
            <w:vAlign w:val="bottom"/>
          </w:tcPr>
          <w:p w:rsidR="00000000" w:rsidDel="00000000" w:rsidP="00000000" w:rsidRDefault="00000000" w:rsidRPr="00000000" w14:paraId="00000118">
            <w:pPr>
              <w:jc w:val="center"/>
              <w:rPr>
                <w:color w:val="000000"/>
              </w:rPr>
            </w:pPr>
            <w:r w:rsidDel="00000000" w:rsidR="00000000" w:rsidRPr="00000000">
              <w:rPr>
                <w:color w:val="000000"/>
                <w:rtl w:val="0"/>
              </w:rPr>
              <w:t xml:space="preserve">31 (86%)</w:t>
            </w:r>
          </w:p>
        </w:tc>
        <w:tc>
          <w:tcPr>
            <w:tcBorders>
              <w:top w:color="000000" w:space="0" w:sz="0" w:val="nil"/>
              <w:bottom w:color="000000" w:space="0" w:sz="0" w:val="nil"/>
            </w:tcBorders>
            <w:tcMar>
              <w:top w:w="15.0" w:type="dxa"/>
              <w:left w:w="15.0" w:type="dxa"/>
              <w:right w:w="15.0" w:type="dxa"/>
            </w:tcMar>
            <w:vAlign w:val="bottom"/>
          </w:tcPr>
          <w:p w:rsidR="00000000" w:rsidDel="00000000" w:rsidP="00000000" w:rsidRDefault="00000000" w:rsidRPr="00000000" w14:paraId="00000119">
            <w:pPr>
              <w:jc w:val="center"/>
              <w:rPr>
                <w:color w:val="000000"/>
              </w:rPr>
            </w:pPr>
            <w:r w:rsidDel="00000000" w:rsidR="00000000" w:rsidRPr="00000000">
              <w:rPr>
                <w:color w:val="000000"/>
                <w:rtl w:val="0"/>
              </w:rPr>
              <w:t xml:space="preserve">3 (8%)</w:t>
            </w:r>
          </w:p>
        </w:tc>
        <w:tc>
          <w:tcPr>
            <w:tcBorders>
              <w:top w:color="000000" w:space="0" w:sz="0" w:val="nil"/>
              <w:bottom w:color="000000" w:space="0" w:sz="0" w:val="nil"/>
            </w:tcBorders>
            <w:tcMar>
              <w:top w:w="15.0" w:type="dxa"/>
              <w:left w:w="15.0" w:type="dxa"/>
              <w:right w:w="15.0" w:type="dxa"/>
            </w:tcMar>
            <w:vAlign w:val="bottom"/>
          </w:tcPr>
          <w:p w:rsidR="00000000" w:rsidDel="00000000" w:rsidP="00000000" w:rsidRDefault="00000000" w:rsidRPr="00000000" w14:paraId="0000011A">
            <w:pPr>
              <w:jc w:val="center"/>
              <w:rPr>
                <w:color w:val="000000"/>
              </w:rPr>
            </w:pPr>
            <w:r w:rsidDel="00000000" w:rsidR="00000000" w:rsidRPr="00000000">
              <w:rPr>
                <w:color w:val="000000"/>
                <w:rtl w:val="0"/>
              </w:rPr>
              <w:t xml:space="preserve">2 (6%)</w:t>
            </w:r>
          </w:p>
        </w:tc>
        <w:tc>
          <w:tcPr>
            <w:tcBorders>
              <w:top w:color="000000" w:space="0" w:sz="0" w:val="nil"/>
              <w:bottom w:color="000000" w:space="0" w:sz="0" w:val="nil"/>
              <w:right w:color="000000" w:space="0" w:sz="0" w:val="nil"/>
            </w:tcBorders>
            <w:tcMar>
              <w:top w:w="15.0" w:type="dxa"/>
              <w:left w:w="15.0" w:type="dxa"/>
              <w:right w:w="15.0" w:type="dxa"/>
            </w:tcMar>
          </w:tcPr>
          <w:p w:rsidR="00000000" w:rsidDel="00000000" w:rsidP="00000000" w:rsidRDefault="00000000" w:rsidRPr="00000000" w14:paraId="0000011B">
            <w:pPr>
              <w:jc w:val="center"/>
              <w:rPr>
                <w:color w:val="000000"/>
              </w:rPr>
            </w:pPr>
            <w:r w:rsidDel="00000000" w:rsidR="00000000" w:rsidRPr="00000000">
              <w:rPr>
                <w:color w:val="000000"/>
                <w:rtl w:val="0"/>
              </w:rPr>
              <w:t xml:space="preserve">100%</w:t>
            </w:r>
          </w:p>
        </w:tc>
      </w:tr>
      <w:tr>
        <w:trPr>
          <w:cantSplit w:val="0"/>
          <w:trHeight w:val="345" w:hRule="atLeast"/>
          <w:tblHeader w:val="0"/>
        </w:trPr>
        <w:tc>
          <w:tcPr>
            <w:tcBorders>
              <w:top w:color="000000" w:space="0" w:sz="0" w:val="nil"/>
              <w:left w:color="000000" w:space="0" w:sz="0" w:val="nil"/>
              <w:bottom w:color="000000" w:space="0" w:sz="0" w:val="nil"/>
            </w:tcBorders>
            <w:tcMar>
              <w:top w:w="15.0" w:type="dxa"/>
              <w:left w:w="15.0" w:type="dxa"/>
              <w:right w:w="15.0" w:type="dxa"/>
            </w:tcMar>
            <w:vAlign w:val="bottom"/>
          </w:tcPr>
          <w:p w:rsidR="00000000" w:rsidDel="00000000" w:rsidP="00000000" w:rsidRDefault="00000000" w:rsidRPr="00000000" w14:paraId="0000011C">
            <w:pPr>
              <w:rPr>
                <w:color w:val="000000"/>
              </w:rPr>
            </w:pPr>
            <w:r w:rsidDel="00000000" w:rsidR="00000000" w:rsidRPr="00000000">
              <w:rPr>
                <w:color w:val="000000"/>
                <w:rtl w:val="0"/>
              </w:rPr>
              <w:t xml:space="preserve">8. This app is intuitive</w:t>
            </w:r>
          </w:p>
        </w:tc>
        <w:tc>
          <w:tcPr>
            <w:tcBorders>
              <w:top w:color="000000" w:space="0" w:sz="0" w:val="nil"/>
              <w:bottom w:color="000000" w:space="0" w:sz="0" w:val="nil"/>
            </w:tcBorders>
            <w:tcMar>
              <w:top w:w="15.0" w:type="dxa"/>
              <w:left w:w="15.0" w:type="dxa"/>
              <w:right w:w="15.0" w:type="dxa"/>
            </w:tcMar>
            <w:vAlign w:val="bottom"/>
          </w:tcPr>
          <w:p w:rsidR="00000000" w:rsidDel="00000000" w:rsidP="00000000" w:rsidRDefault="00000000" w:rsidRPr="00000000" w14:paraId="0000011D">
            <w:pPr>
              <w:jc w:val="center"/>
              <w:rPr>
                <w:color w:val="000000"/>
              </w:rPr>
            </w:pPr>
            <w:r w:rsidDel="00000000" w:rsidR="00000000" w:rsidRPr="00000000">
              <w:rPr>
                <w:color w:val="000000"/>
                <w:rtl w:val="0"/>
              </w:rPr>
              <w:t xml:space="preserve">25 (70%)</w:t>
            </w:r>
          </w:p>
        </w:tc>
        <w:tc>
          <w:tcPr>
            <w:tcBorders>
              <w:top w:color="000000" w:space="0" w:sz="0" w:val="nil"/>
              <w:bottom w:color="000000" w:space="0" w:sz="0" w:val="nil"/>
            </w:tcBorders>
            <w:tcMar>
              <w:top w:w="15.0" w:type="dxa"/>
              <w:left w:w="15.0" w:type="dxa"/>
              <w:right w:w="15.0" w:type="dxa"/>
            </w:tcMar>
            <w:vAlign w:val="bottom"/>
          </w:tcPr>
          <w:p w:rsidR="00000000" w:rsidDel="00000000" w:rsidP="00000000" w:rsidRDefault="00000000" w:rsidRPr="00000000" w14:paraId="0000011E">
            <w:pPr>
              <w:jc w:val="center"/>
              <w:rPr>
                <w:color w:val="000000"/>
              </w:rPr>
            </w:pPr>
            <w:r w:rsidDel="00000000" w:rsidR="00000000" w:rsidRPr="00000000">
              <w:rPr>
                <w:color w:val="000000"/>
                <w:rtl w:val="0"/>
              </w:rPr>
              <w:t xml:space="preserve">9 (25%)</w:t>
            </w:r>
          </w:p>
        </w:tc>
        <w:tc>
          <w:tcPr>
            <w:tcBorders>
              <w:top w:color="000000" w:space="0" w:sz="0" w:val="nil"/>
              <w:bottom w:color="000000" w:space="0" w:sz="0" w:val="nil"/>
            </w:tcBorders>
            <w:tcMar>
              <w:top w:w="15.0" w:type="dxa"/>
              <w:left w:w="15.0" w:type="dxa"/>
              <w:right w:w="15.0" w:type="dxa"/>
            </w:tcMar>
            <w:vAlign w:val="bottom"/>
          </w:tcPr>
          <w:p w:rsidR="00000000" w:rsidDel="00000000" w:rsidP="00000000" w:rsidRDefault="00000000" w:rsidRPr="00000000" w14:paraId="0000011F">
            <w:pPr>
              <w:jc w:val="center"/>
              <w:rPr>
                <w:color w:val="000000"/>
              </w:rPr>
            </w:pPr>
            <w:r w:rsidDel="00000000" w:rsidR="00000000" w:rsidRPr="00000000">
              <w:rPr>
                <w:color w:val="000000"/>
                <w:rtl w:val="0"/>
              </w:rPr>
              <w:t xml:space="preserve">2 (5%)</w:t>
            </w:r>
          </w:p>
        </w:tc>
        <w:tc>
          <w:tcPr>
            <w:tcBorders>
              <w:top w:color="000000" w:space="0" w:sz="0" w:val="nil"/>
              <w:bottom w:color="000000" w:space="0" w:sz="0" w:val="nil"/>
              <w:right w:color="000000" w:space="0" w:sz="0" w:val="nil"/>
            </w:tcBorders>
            <w:tcMar>
              <w:top w:w="15.0" w:type="dxa"/>
              <w:left w:w="15.0" w:type="dxa"/>
              <w:right w:w="15.0" w:type="dxa"/>
            </w:tcMar>
          </w:tcPr>
          <w:p w:rsidR="00000000" w:rsidDel="00000000" w:rsidP="00000000" w:rsidRDefault="00000000" w:rsidRPr="00000000" w14:paraId="00000120">
            <w:pPr>
              <w:jc w:val="center"/>
              <w:rPr>
                <w:color w:val="000000"/>
              </w:rPr>
            </w:pPr>
            <w:r w:rsidDel="00000000" w:rsidR="00000000" w:rsidRPr="00000000">
              <w:rPr>
                <w:color w:val="000000"/>
                <w:rtl w:val="0"/>
              </w:rPr>
              <w:t xml:space="preserve">100%</w:t>
            </w:r>
          </w:p>
        </w:tc>
      </w:tr>
      <w:tr>
        <w:trPr>
          <w:cantSplit w:val="0"/>
          <w:trHeight w:val="345" w:hRule="atLeast"/>
          <w:tblHeader w:val="0"/>
        </w:trPr>
        <w:tc>
          <w:tcPr>
            <w:tcBorders>
              <w:top w:color="000000" w:space="0" w:sz="0" w:val="nil"/>
              <w:left w:color="000000" w:space="0" w:sz="0" w:val="nil"/>
              <w:bottom w:color="000000" w:space="0" w:sz="0" w:val="nil"/>
            </w:tcBorders>
            <w:tcMar>
              <w:top w:w="15.0" w:type="dxa"/>
              <w:left w:w="15.0" w:type="dxa"/>
              <w:right w:w="15.0" w:type="dxa"/>
            </w:tcMar>
            <w:vAlign w:val="bottom"/>
          </w:tcPr>
          <w:p w:rsidR="00000000" w:rsidDel="00000000" w:rsidP="00000000" w:rsidRDefault="00000000" w:rsidRPr="00000000" w14:paraId="00000121">
            <w:pPr>
              <w:rPr>
                <w:color w:val="000000"/>
              </w:rPr>
            </w:pPr>
            <w:r w:rsidDel="00000000" w:rsidR="00000000" w:rsidRPr="00000000">
              <w:rPr>
                <w:color w:val="000000"/>
                <w:rtl w:val="0"/>
              </w:rPr>
              <w:t xml:space="preserve">9. I felt confident using this app</w:t>
            </w:r>
          </w:p>
        </w:tc>
        <w:tc>
          <w:tcPr>
            <w:tcBorders>
              <w:top w:color="000000" w:space="0" w:sz="0" w:val="nil"/>
              <w:bottom w:color="000000" w:space="0" w:sz="0" w:val="nil"/>
            </w:tcBorders>
            <w:tcMar>
              <w:top w:w="15.0" w:type="dxa"/>
              <w:left w:w="15.0" w:type="dxa"/>
              <w:right w:w="15.0" w:type="dxa"/>
            </w:tcMar>
            <w:vAlign w:val="bottom"/>
          </w:tcPr>
          <w:p w:rsidR="00000000" w:rsidDel="00000000" w:rsidP="00000000" w:rsidRDefault="00000000" w:rsidRPr="00000000" w14:paraId="00000122">
            <w:pPr>
              <w:jc w:val="center"/>
              <w:rPr>
                <w:color w:val="000000"/>
              </w:rPr>
            </w:pPr>
            <w:r w:rsidDel="00000000" w:rsidR="00000000" w:rsidRPr="00000000">
              <w:rPr>
                <w:color w:val="000000"/>
                <w:rtl w:val="0"/>
              </w:rPr>
              <w:t xml:space="preserve">22 (61%)</w:t>
            </w:r>
          </w:p>
        </w:tc>
        <w:tc>
          <w:tcPr>
            <w:tcBorders>
              <w:top w:color="000000" w:space="0" w:sz="0" w:val="nil"/>
              <w:bottom w:color="000000" w:space="0" w:sz="0" w:val="nil"/>
            </w:tcBorders>
            <w:tcMar>
              <w:top w:w="15.0" w:type="dxa"/>
              <w:left w:w="15.0" w:type="dxa"/>
              <w:right w:w="15.0" w:type="dxa"/>
            </w:tcMar>
            <w:vAlign w:val="bottom"/>
          </w:tcPr>
          <w:p w:rsidR="00000000" w:rsidDel="00000000" w:rsidP="00000000" w:rsidRDefault="00000000" w:rsidRPr="00000000" w14:paraId="00000123">
            <w:pPr>
              <w:jc w:val="center"/>
              <w:rPr>
                <w:color w:val="000000"/>
              </w:rPr>
            </w:pPr>
            <w:r w:rsidDel="00000000" w:rsidR="00000000" w:rsidRPr="00000000">
              <w:rPr>
                <w:color w:val="000000"/>
                <w:rtl w:val="0"/>
              </w:rPr>
              <w:t xml:space="preserve">13 (36%)</w:t>
            </w:r>
          </w:p>
        </w:tc>
        <w:tc>
          <w:tcPr>
            <w:tcBorders>
              <w:top w:color="000000" w:space="0" w:sz="0" w:val="nil"/>
              <w:bottom w:color="000000" w:space="0" w:sz="0" w:val="nil"/>
            </w:tcBorders>
            <w:tcMar>
              <w:top w:w="15.0" w:type="dxa"/>
              <w:left w:w="15.0" w:type="dxa"/>
              <w:right w:w="15.0" w:type="dxa"/>
            </w:tcMar>
            <w:vAlign w:val="bottom"/>
          </w:tcPr>
          <w:p w:rsidR="00000000" w:rsidDel="00000000" w:rsidP="00000000" w:rsidRDefault="00000000" w:rsidRPr="00000000" w14:paraId="00000124">
            <w:pPr>
              <w:jc w:val="center"/>
              <w:rPr>
                <w:color w:val="000000"/>
              </w:rPr>
            </w:pPr>
            <w:r w:rsidDel="00000000" w:rsidR="00000000" w:rsidRPr="00000000">
              <w:rPr>
                <w:color w:val="000000"/>
                <w:rtl w:val="0"/>
              </w:rPr>
              <w:t xml:space="preserve">1 (3%)</w:t>
            </w:r>
          </w:p>
        </w:tc>
        <w:tc>
          <w:tcPr>
            <w:tcBorders>
              <w:top w:color="000000" w:space="0" w:sz="0" w:val="nil"/>
              <w:bottom w:color="000000" w:space="0" w:sz="0" w:val="nil"/>
              <w:right w:color="000000" w:space="0" w:sz="0" w:val="nil"/>
            </w:tcBorders>
            <w:tcMar>
              <w:top w:w="15.0" w:type="dxa"/>
              <w:left w:w="15.0" w:type="dxa"/>
              <w:right w:w="15.0" w:type="dxa"/>
            </w:tcMar>
          </w:tcPr>
          <w:p w:rsidR="00000000" w:rsidDel="00000000" w:rsidP="00000000" w:rsidRDefault="00000000" w:rsidRPr="00000000" w14:paraId="00000125">
            <w:pPr>
              <w:jc w:val="center"/>
              <w:rPr>
                <w:color w:val="000000"/>
              </w:rPr>
            </w:pPr>
            <w:r w:rsidDel="00000000" w:rsidR="00000000" w:rsidRPr="00000000">
              <w:rPr>
                <w:color w:val="000000"/>
                <w:rtl w:val="0"/>
              </w:rPr>
              <w:t xml:space="preserve">100%</w:t>
            </w:r>
          </w:p>
        </w:tc>
      </w:tr>
      <w:tr>
        <w:trPr>
          <w:cantSplit w:val="0"/>
          <w:trHeight w:val="345" w:hRule="atLeast"/>
          <w:tblHeader w:val="0"/>
        </w:trPr>
        <w:tc>
          <w:tcPr>
            <w:tcBorders>
              <w:top w:color="000000" w:space="0" w:sz="0" w:val="nil"/>
              <w:left w:color="000000" w:space="0" w:sz="0" w:val="nil"/>
              <w:bottom w:color="000000" w:space="0" w:sz="0" w:val="nil"/>
            </w:tcBorders>
            <w:tcMar>
              <w:top w:w="15.0" w:type="dxa"/>
              <w:left w:w="15.0" w:type="dxa"/>
              <w:right w:w="15.0" w:type="dxa"/>
            </w:tcMar>
            <w:vAlign w:val="bottom"/>
          </w:tcPr>
          <w:p w:rsidR="00000000" w:rsidDel="00000000" w:rsidP="00000000" w:rsidRDefault="00000000" w:rsidRPr="00000000" w14:paraId="00000126">
            <w:pPr>
              <w:rPr>
                <w:color w:val="000000"/>
              </w:rPr>
            </w:pPr>
            <w:r w:rsidDel="00000000" w:rsidR="00000000" w:rsidRPr="00000000">
              <w:rPr>
                <w:color w:val="000000"/>
                <w:rtl w:val="0"/>
              </w:rPr>
              <w:t xml:space="preserve">10. I could use this app without having to learn anything new</w:t>
            </w:r>
          </w:p>
        </w:tc>
        <w:tc>
          <w:tcPr>
            <w:tcBorders>
              <w:top w:color="000000" w:space="0" w:sz="0" w:val="nil"/>
              <w:bottom w:color="000000" w:space="0" w:sz="0" w:val="nil"/>
            </w:tcBorders>
            <w:tcMar>
              <w:top w:w="15.0" w:type="dxa"/>
              <w:left w:w="15.0" w:type="dxa"/>
              <w:right w:w="15.0" w:type="dxa"/>
            </w:tcMar>
            <w:vAlign w:val="bottom"/>
          </w:tcPr>
          <w:p w:rsidR="00000000" w:rsidDel="00000000" w:rsidP="00000000" w:rsidRDefault="00000000" w:rsidRPr="00000000" w14:paraId="00000127">
            <w:pPr>
              <w:jc w:val="center"/>
              <w:rPr>
                <w:color w:val="000000"/>
              </w:rPr>
            </w:pPr>
            <w:r w:rsidDel="00000000" w:rsidR="00000000" w:rsidRPr="00000000">
              <w:rPr>
                <w:color w:val="000000"/>
                <w:rtl w:val="0"/>
              </w:rPr>
              <w:t xml:space="preserve">20 (55%)</w:t>
            </w:r>
          </w:p>
        </w:tc>
        <w:tc>
          <w:tcPr>
            <w:tcBorders>
              <w:top w:color="000000" w:space="0" w:sz="0" w:val="nil"/>
              <w:bottom w:color="000000" w:space="0" w:sz="0" w:val="nil"/>
            </w:tcBorders>
            <w:tcMar>
              <w:top w:w="15.0" w:type="dxa"/>
              <w:left w:w="15.0" w:type="dxa"/>
              <w:right w:w="15.0" w:type="dxa"/>
            </w:tcMar>
            <w:vAlign w:val="bottom"/>
          </w:tcPr>
          <w:p w:rsidR="00000000" w:rsidDel="00000000" w:rsidP="00000000" w:rsidRDefault="00000000" w:rsidRPr="00000000" w14:paraId="00000128">
            <w:pPr>
              <w:jc w:val="center"/>
              <w:rPr>
                <w:color w:val="000000"/>
              </w:rPr>
            </w:pPr>
            <w:r w:rsidDel="00000000" w:rsidR="00000000" w:rsidRPr="00000000">
              <w:rPr>
                <w:color w:val="000000"/>
                <w:rtl w:val="0"/>
              </w:rPr>
              <w:t xml:space="preserve">6 (17%)</w:t>
            </w:r>
          </w:p>
        </w:tc>
        <w:tc>
          <w:tcPr>
            <w:tcBorders>
              <w:top w:color="000000" w:space="0" w:sz="0" w:val="nil"/>
              <w:bottom w:color="000000" w:space="0" w:sz="0" w:val="nil"/>
            </w:tcBorders>
            <w:tcMar>
              <w:top w:w="15.0" w:type="dxa"/>
              <w:left w:w="15.0" w:type="dxa"/>
              <w:right w:w="15.0" w:type="dxa"/>
            </w:tcMar>
            <w:vAlign w:val="bottom"/>
          </w:tcPr>
          <w:p w:rsidR="00000000" w:rsidDel="00000000" w:rsidP="00000000" w:rsidRDefault="00000000" w:rsidRPr="00000000" w14:paraId="00000129">
            <w:pPr>
              <w:jc w:val="center"/>
              <w:rPr>
                <w:color w:val="000000"/>
              </w:rPr>
            </w:pPr>
            <w:r w:rsidDel="00000000" w:rsidR="00000000" w:rsidRPr="00000000">
              <w:rPr>
                <w:color w:val="000000"/>
                <w:rtl w:val="0"/>
              </w:rPr>
              <w:t xml:space="preserve">10 (28%)</w:t>
            </w:r>
          </w:p>
        </w:tc>
        <w:tc>
          <w:tcPr>
            <w:tcBorders>
              <w:top w:color="000000" w:space="0" w:sz="0" w:val="nil"/>
              <w:bottom w:color="000000" w:space="0" w:sz="0" w:val="nil"/>
              <w:right w:color="000000" w:space="0" w:sz="0" w:val="nil"/>
            </w:tcBorders>
            <w:tcMar>
              <w:top w:w="15.0" w:type="dxa"/>
              <w:left w:w="15.0" w:type="dxa"/>
              <w:right w:w="15.0" w:type="dxa"/>
            </w:tcMar>
          </w:tcPr>
          <w:p w:rsidR="00000000" w:rsidDel="00000000" w:rsidP="00000000" w:rsidRDefault="00000000" w:rsidRPr="00000000" w14:paraId="0000012A">
            <w:pPr>
              <w:jc w:val="center"/>
              <w:rPr>
                <w:color w:val="000000"/>
              </w:rPr>
            </w:pPr>
            <w:r w:rsidDel="00000000" w:rsidR="00000000" w:rsidRPr="00000000">
              <w:rPr>
                <w:color w:val="000000"/>
                <w:rtl w:val="0"/>
              </w:rPr>
              <w:t xml:space="preserve">100%</w:t>
            </w:r>
          </w:p>
        </w:tc>
      </w:tr>
      <w:tr>
        <w:trPr>
          <w:cantSplit w:val="0"/>
          <w:trHeight w:val="345" w:hRule="atLeast"/>
          <w:tblHeader w:val="0"/>
        </w:trPr>
        <w:tc>
          <w:tcPr>
            <w:tcBorders>
              <w:top w:color="000000" w:space="0" w:sz="0" w:val="nil"/>
              <w:left w:color="000000" w:space="0" w:sz="0" w:val="nil"/>
              <w:bottom w:color="000000" w:space="0" w:sz="5" w:val="single"/>
            </w:tcBorders>
            <w:tcMar>
              <w:top w:w="15.0" w:type="dxa"/>
              <w:left w:w="15.0" w:type="dxa"/>
              <w:right w:w="15.0" w:type="dxa"/>
            </w:tcMar>
            <w:vAlign w:val="bottom"/>
          </w:tcPr>
          <w:p w:rsidR="00000000" w:rsidDel="00000000" w:rsidP="00000000" w:rsidRDefault="00000000" w:rsidRPr="00000000" w14:paraId="0000012B">
            <w:pPr>
              <w:ind w:firstLine="720"/>
              <w:jc w:val="center"/>
              <w:rPr>
                <w:color w:val="000000"/>
              </w:rPr>
            </w:pPr>
            <w:r w:rsidDel="00000000" w:rsidR="00000000" w:rsidRPr="00000000">
              <w:rPr>
                <w:rtl w:val="0"/>
              </w:rPr>
            </w:r>
          </w:p>
        </w:tc>
        <w:tc>
          <w:tcPr>
            <w:tcBorders>
              <w:top w:color="000000" w:space="0" w:sz="0" w:val="nil"/>
              <w:bottom w:color="000000" w:space="0" w:sz="5" w:val="single"/>
            </w:tcBorders>
            <w:tcMar>
              <w:top w:w="15.0" w:type="dxa"/>
              <w:left w:w="15.0" w:type="dxa"/>
              <w:right w:w="15.0" w:type="dxa"/>
            </w:tcMar>
            <w:vAlign w:val="bottom"/>
          </w:tcPr>
          <w:p w:rsidR="00000000" w:rsidDel="00000000" w:rsidP="00000000" w:rsidRDefault="00000000" w:rsidRPr="00000000" w14:paraId="0000012C">
            <w:pPr>
              <w:ind w:firstLine="720"/>
              <w:jc w:val="center"/>
              <w:rPr>
                <w:color w:val="000000"/>
              </w:rPr>
            </w:pPr>
            <w:r w:rsidDel="00000000" w:rsidR="00000000" w:rsidRPr="00000000">
              <w:rPr>
                <w:rtl w:val="0"/>
              </w:rPr>
            </w:r>
          </w:p>
        </w:tc>
        <w:tc>
          <w:tcPr>
            <w:tcBorders>
              <w:top w:color="000000" w:space="0" w:sz="0" w:val="nil"/>
              <w:bottom w:color="000000" w:space="0" w:sz="5" w:val="single"/>
            </w:tcBorders>
            <w:tcMar>
              <w:top w:w="15.0" w:type="dxa"/>
              <w:left w:w="15.0" w:type="dxa"/>
              <w:right w:w="15.0" w:type="dxa"/>
            </w:tcMar>
            <w:vAlign w:val="bottom"/>
          </w:tcPr>
          <w:p w:rsidR="00000000" w:rsidDel="00000000" w:rsidP="00000000" w:rsidRDefault="00000000" w:rsidRPr="00000000" w14:paraId="0000012D">
            <w:pPr>
              <w:ind w:firstLine="720"/>
              <w:jc w:val="center"/>
              <w:rPr>
                <w:color w:val="000000"/>
              </w:rPr>
            </w:pPr>
            <w:r w:rsidDel="00000000" w:rsidR="00000000" w:rsidRPr="00000000">
              <w:rPr>
                <w:rtl w:val="0"/>
              </w:rPr>
            </w:r>
          </w:p>
        </w:tc>
        <w:tc>
          <w:tcPr>
            <w:tcBorders>
              <w:top w:color="000000" w:space="0" w:sz="0" w:val="nil"/>
              <w:bottom w:color="000000" w:space="0" w:sz="5" w:val="single"/>
            </w:tcBorders>
            <w:tcMar>
              <w:top w:w="15.0" w:type="dxa"/>
              <w:left w:w="15.0" w:type="dxa"/>
              <w:right w:w="15.0" w:type="dxa"/>
            </w:tcMar>
            <w:vAlign w:val="bottom"/>
          </w:tcPr>
          <w:p w:rsidR="00000000" w:rsidDel="00000000" w:rsidP="00000000" w:rsidRDefault="00000000" w:rsidRPr="00000000" w14:paraId="0000012E">
            <w:pPr>
              <w:ind w:firstLine="720"/>
              <w:jc w:val="center"/>
              <w:rPr>
                <w:color w:val="000000"/>
              </w:rPr>
            </w:pPr>
            <w:r w:rsidDel="00000000" w:rsidR="00000000" w:rsidRPr="00000000">
              <w:rPr>
                <w:rtl w:val="0"/>
              </w:rPr>
            </w:r>
          </w:p>
        </w:tc>
        <w:tc>
          <w:tcPr>
            <w:tcBorders>
              <w:top w:color="000000" w:space="0" w:sz="0" w:val="nil"/>
              <w:bottom w:color="000000" w:space="0" w:sz="5" w:val="single"/>
              <w:right w:color="000000" w:space="0" w:sz="0" w:val="nil"/>
            </w:tcBorders>
            <w:tcMar>
              <w:top w:w="15.0" w:type="dxa"/>
              <w:left w:w="15.0" w:type="dxa"/>
              <w:right w:w="15.0" w:type="dxa"/>
            </w:tcMar>
            <w:vAlign w:val="bottom"/>
          </w:tcPr>
          <w:p w:rsidR="00000000" w:rsidDel="00000000" w:rsidP="00000000" w:rsidRDefault="00000000" w:rsidRPr="00000000" w14:paraId="0000012F">
            <w:pPr>
              <w:ind w:firstLine="720"/>
              <w:jc w:val="center"/>
              <w:rPr>
                <w:color w:val="000000"/>
              </w:rPr>
            </w:pPr>
            <w:r w:rsidDel="00000000" w:rsidR="00000000" w:rsidRPr="00000000">
              <w:rPr>
                <w:rtl w:val="0"/>
              </w:rPr>
            </w:r>
          </w:p>
        </w:tc>
      </w:tr>
    </w:tbl>
    <w:p w:rsidR="00000000" w:rsidDel="00000000" w:rsidP="00000000" w:rsidRDefault="00000000" w:rsidRPr="00000000" w14:paraId="00000130">
      <w:pPr>
        <w:spacing w:after="60" w:before="240" w:line="228" w:lineRule="auto"/>
        <w:ind w:firstLine="720"/>
        <w:rPr/>
      </w:pPr>
      <w:r w:rsidDel="00000000" w:rsidR="00000000" w:rsidRPr="00000000">
        <w:rPr>
          <w:rtl w:val="0"/>
        </w:rPr>
        <w:t xml:space="preserve">Users positively perceived the app, with a high percentage of respondents rating it favorably across all attributes. Most users expressed satisfaction with the app's ease of use, intuitiveness, and overall usability. The app's simplicity and ease of use are particularly strong points, with over 80% of respondents rating these attributes highly. Users felt confident in their ability to use the app without requiring extensive training or support. Almost half (55%) of the sample indicated they could use the app without having to learn anything new, and almost 64% agreed that they would like to use the app all time.</w:t>
      </w:r>
    </w:p>
    <w:p w:rsidR="00000000" w:rsidDel="00000000" w:rsidP="00000000" w:rsidRDefault="00000000" w:rsidRPr="00000000" w14:paraId="00000131">
      <w:pPr>
        <w:spacing w:after="60" w:before="240" w:line="228" w:lineRule="auto"/>
        <w:ind w:firstLine="720"/>
        <w:rPr>
          <w:i w:val="1"/>
        </w:rPr>
      </w:pPr>
      <w:r w:rsidDel="00000000" w:rsidR="00000000" w:rsidRPr="00000000">
        <w:rPr>
          <w:rtl w:val="0"/>
        </w:rPr>
        <w:t xml:space="preserve">4) </w:t>
      </w:r>
      <w:r w:rsidDel="00000000" w:rsidR="00000000" w:rsidRPr="00000000">
        <w:rPr>
          <w:i w:val="1"/>
          <w:rtl w:val="0"/>
        </w:rPr>
        <w:t xml:space="preserve">Frequency of adoption of the behaviors suggested in the mHealth app messages.  </w:t>
      </w:r>
    </w:p>
    <w:p w:rsidR="00000000" w:rsidDel="00000000" w:rsidP="00000000" w:rsidRDefault="00000000" w:rsidRPr="00000000" w14:paraId="00000132">
      <w:pPr>
        <w:spacing w:after="60" w:before="240" w:line="228" w:lineRule="auto"/>
        <w:ind w:firstLine="720"/>
        <w:rPr/>
      </w:pPr>
      <w:r w:rsidDel="00000000" w:rsidR="00000000" w:rsidRPr="00000000">
        <w:rPr>
          <w:rtl w:val="0"/>
        </w:rPr>
        <w:t xml:space="preserve">The adoption analysis of suggested behaviors in the </w:t>
      </w:r>
      <w:r w:rsidDel="00000000" w:rsidR="00000000" w:rsidRPr="00000000">
        <w:rPr>
          <w:color w:val="3f3f3f"/>
          <w:rtl w:val="0"/>
        </w:rPr>
        <w:t xml:space="preserve">CCA©</w:t>
      </w:r>
      <w:r w:rsidDel="00000000" w:rsidR="00000000" w:rsidRPr="00000000">
        <w:rPr>
          <w:rtl w:val="0"/>
        </w:rPr>
        <w:t xml:space="preserve"> was examined by comparing the initial period of the project (baseline survey) with the end of the project, 6 months after initiation (endline survey). Frequency numbers are shown below. There was no statistical significance comparing baseline and endline in the frequency of practice among participants in the suggested behaviors.</w:t>
      </w:r>
    </w:p>
    <w:p w:rsidR="00000000" w:rsidDel="00000000" w:rsidP="00000000" w:rsidRDefault="00000000" w:rsidRPr="00000000" w14:paraId="00000133">
      <w:pPr>
        <w:spacing w:after="60" w:before="240" w:line="228" w:lineRule="auto"/>
        <w:ind w:left="720" w:firstLine="720"/>
        <w:rPr>
          <w:highlight w:val="yellow"/>
        </w:rPr>
      </w:pPr>
      <w:r w:rsidDel="00000000" w:rsidR="00000000" w:rsidRPr="00000000">
        <w:rPr>
          <w:rtl w:val="0"/>
        </w:rPr>
      </w:r>
    </w:p>
    <w:p w:rsidR="00000000" w:rsidDel="00000000" w:rsidP="00000000" w:rsidRDefault="00000000" w:rsidRPr="00000000" w14:paraId="00000134">
      <w:pPr>
        <w:spacing w:after="60" w:before="240" w:line="228" w:lineRule="auto"/>
        <w:ind w:left="720" w:firstLine="720"/>
        <w:rPr>
          <w:highlight w:val="yellow"/>
        </w:rPr>
      </w:pPr>
      <w:r w:rsidDel="00000000" w:rsidR="00000000" w:rsidRPr="00000000">
        <w:rPr>
          <w:rtl w:val="0"/>
        </w:rPr>
      </w:r>
    </w:p>
    <w:p w:rsidR="00000000" w:rsidDel="00000000" w:rsidP="00000000" w:rsidRDefault="00000000" w:rsidRPr="00000000" w14:paraId="00000135">
      <w:pPr>
        <w:spacing w:after="60" w:before="240" w:line="228" w:lineRule="auto"/>
        <w:ind w:left="720" w:firstLine="720"/>
        <w:rPr>
          <w:highlight w:val="yellow"/>
        </w:rPr>
      </w:pPr>
      <w:r w:rsidDel="00000000" w:rsidR="00000000" w:rsidRPr="00000000">
        <w:rPr>
          <w:rtl w:val="0"/>
        </w:rPr>
      </w:r>
    </w:p>
    <w:p w:rsidR="00000000" w:rsidDel="00000000" w:rsidP="00000000" w:rsidRDefault="00000000" w:rsidRPr="00000000" w14:paraId="00000136">
      <w:pPr>
        <w:spacing w:after="60" w:before="240" w:line="228" w:lineRule="auto"/>
        <w:ind w:left="720" w:firstLine="720"/>
        <w:rPr>
          <w:highlight w:val="yellow"/>
        </w:rPr>
      </w:pPr>
      <w:r w:rsidDel="00000000" w:rsidR="00000000" w:rsidRPr="00000000">
        <w:rPr>
          <w:rtl w:val="0"/>
        </w:rPr>
      </w:r>
    </w:p>
    <w:p w:rsidR="00000000" w:rsidDel="00000000" w:rsidP="00000000" w:rsidRDefault="00000000" w:rsidRPr="00000000" w14:paraId="00000137">
      <w:pPr>
        <w:spacing w:after="60" w:before="240" w:line="228" w:lineRule="auto"/>
        <w:ind w:left="720" w:firstLine="720"/>
        <w:rPr>
          <w:highlight w:val="yellow"/>
        </w:rPr>
      </w:pPr>
      <w:r w:rsidDel="00000000" w:rsidR="00000000" w:rsidRPr="00000000">
        <w:rPr>
          <w:rtl w:val="0"/>
        </w:rPr>
      </w:r>
    </w:p>
    <w:p w:rsidR="00000000" w:rsidDel="00000000" w:rsidP="00000000" w:rsidRDefault="00000000" w:rsidRPr="00000000" w14:paraId="00000138">
      <w:pPr>
        <w:spacing w:after="60" w:before="240" w:line="228" w:lineRule="auto"/>
        <w:ind w:left="720" w:firstLine="720"/>
        <w:rPr>
          <w:highlight w:val="yellow"/>
        </w:rPr>
      </w:pPr>
      <w:r w:rsidDel="00000000" w:rsidR="00000000" w:rsidRPr="00000000">
        <w:rPr>
          <w:rtl w:val="0"/>
        </w:rPr>
      </w:r>
    </w:p>
    <w:p w:rsidR="00000000" w:rsidDel="00000000" w:rsidP="00000000" w:rsidRDefault="00000000" w:rsidRPr="00000000" w14:paraId="00000139">
      <w:pPr>
        <w:spacing w:after="60" w:before="240" w:line="228" w:lineRule="auto"/>
        <w:ind w:left="720" w:firstLine="720"/>
        <w:rPr>
          <w:highlight w:val="yellow"/>
        </w:rPr>
      </w:pPr>
      <w:r w:rsidDel="00000000" w:rsidR="00000000" w:rsidRPr="00000000">
        <w:rPr>
          <w:rtl w:val="0"/>
        </w:rPr>
      </w:r>
    </w:p>
    <w:p w:rsidR="00000000" w:rsidDel="00000000" w:rsidP="00000000" w:rsidRDefault="00000000" w:rsidRPr="00000000" w14:paraId="0000013A">
      <w:pPr>
        <w:spacing w:after="60" w:before="240" w:line="228" w:lineRule="auto"/>
        <w:ind w:left="720" w:firstLine="720"/>
        <w:rPr>
          <w:highlight w:val="yellow"/>
        </w:rPr>
      </w:pPr>
      <w:r w:rsidDel="00000000" w:rsidR="00000000" w:rsidRPr="00000000">
        <w:rPr>
          <w:rtl w:val="0"/>
        </w:rPr>
      </w:r>
    </w:p>
    <w:p w:rsidR="00000000" w:rsidDel="00000000" w:rsidP="00000000" w:rsidRDefault="00000000" w:rsidRPr="00000000" w14:paraId="0000013B">
      <w:pPr>
        <w:spacing w:after="60" w:before="240" w:line="228" w:lineRule="auto"/>
        <w:ind w:left="720" w:firstLine="720"/>
        <w:rPr/>
      </w:pPr>
      <w:r w:rsidDel="00000000" w:rsidR="00000000" w:rsidRPr="00000000">
        <w:rPr>
          <w:rtl w:val="0"/>
        </w:rPr>
        <w:t xml:space="preserve">Frequency of adoption of the suggested behaviors (N = 36): </w:t>
      </w:r>
    </w:p>
    <w:tbl>
      <w:tblPr>
        <w:tblStyle w:val="Table8"/>
        <w:tblW w:w="10453.0" w:type="dxa"/>
        <w:jc w:val="center"/>
        <w:tblBorders>
          <w:top w:color="000000" w:space="0" w:sz="8" w:val="single"/>
          <w:left w:color="000000" w:space="0" w:sz="4" w:val="single"/>
          <w:bottom w:color="000000" w:space="0" w:sz="8" w:val="single"/>
          <w:right w:color="000000" w:space="0" w:sz="4" w:val="single"/>
          <w:insideH w:color="000000" w:space="0" w:sz="4" w:val="single"/>
          <w:insideV w:color="000000" w:space="0" w:sz="4" w:val="single"/>
        </w:tblBorders>
        <w:tblLayout w:type="fixed"/>
        <w:tblLook w:val="0600"/>
      </w:tblPr>
      <w:tblGrid>
        <w:gridCol w:w="3367"/>
        <w:gridCol w:w="886"/>
        <w:gridCol w:w="884"/>
        <w:gridCol w:w="884"/>
        <w:gridCol w:w="889"/>
        <w:gridCol w:w="886"/>
        <w:gridCol w:w="884"/>
        <w:gridCol w:w="884"/>
        <w:gridCol w:w="889"/>
        <w:tblGridChange w:id="0">
          <w:tblGrid>
            <w:gridCol w:w="3367"/>
            <w:gridCol w:w="886"/>
            <w:gridCol w:w="884"/>
            <w:gridCol w:w="884"/>
            <w:gridCol w:w="889"/>
            <w:gridCol w:w="886"/>
            <w:gridCol w:w="884"/>
            <w:gridCol w:w="884"/>
            <w:gridCol w:w="889"/>
          </w:tblGrid>
        </w:tblGridChange>
      </w:tblGrid>
      <w:tr>
        <w:trPr>
          <w:cantSplit w:val="0"/>
          <w:trHeight w:val="430" w:hRule="atLeast"/>
          <w:tblHeader w:val="0"/>
        </w:trPr>
        <w:tc>
          <w:tcPr>
            <w:vMerge w:val="restart"/>
            <w:tcBorders>
              <w:top w:color="000000" w:space="0" w:sz="4" w:val="single"/>
              <w:left w:color="000000" w:space="0" w:sz="0" w:val="nil"/>
              <w:bottom w:color="000000" w:space="0" w:sz="0" w:val="nil"/>
              <w:right w:color="000000" w:space="0" w:sz="0" w:val="nil"/>
            </w:tcBorders>
            <w:shd w:fill="d0d0d0" w:val="clear"/>
            <w:tcMar>
              <w:top w:w="15.0" w:type="dxa"/>
              <w:left w:w="15.0" w:type="dxa"/>
              <w:right w:w="15.0" w:type="dxa"/>
            </w:tcMar>
            <w:vAlign w:val="center"/>
          </w:tcPr>
          <w:p w:rsidR="00000000" w:rsidDel="00000000" w:rsidP="00000000" w:rsidRDefault="00000000" w:rsidRPr="00000000" w14:paraId="0000013C">
            <w:pPr>
              <w:ind w:firstLine="720"/>
              <w:jc w:val="center"/>
              <w:rPr>
                <w:color w:val="000000"/>
              </w:rPr>
            </w:pPr>
            <w:r w:rsidDel="00000000" w:rsidR="00000000" w:rsidRPr="00000000">
              <w:rPr>
                <w:color w:val="000000"/>
                <w:rtl w:val="0"/>
              </w:rPr>
              <w:t xml:space="preserve">Suggested Behaviors: In the last month how often did you practice any of these activities. </w:t>
            </w:r>
          </w:p>
        </w:tc>
        <w:tc>
          <w:tcPr>
            <w:gridSpan w:val="4"/>
            <w:tcBorders>
              <w:top w:color="000000" w:space="0" w:sz="4" w:val="single"/>
              <w:left w:color="000000" w:space="0" w:sz="4" w:val="single"/>
              <w:bottom w:color="000000" w:space="0" w:sz="4" w:val="single"/>
              <w:right w:color="000000" w:space="0" w:sz="4" w:val="single"/>
            </w:tcBorders>
            <w:shd w:fill="d0d0d0" w:val="clear"/>
            <w:tcMar>
              <w:top w:w="15.0" w:type="dxa"/>
              <w:left w:w="15.0" w:type="dxa"/>
              <w:right w:w="15.0" w:type="dxa"/>
            </w:tcMar>
          </w:tcPr>
          <w:p w:rsidR="00000000" w:rsidDel="00000000" w:rsidP="00000000" w:rsidRDefault="00000000" w:rsidRPr="00000000" w14:paraId="0000013D">
            <w:pPr>
              <w:ind w:firstLine="720"/>
              <w:jc w:val="center"/>
              <w:rPr>
                <w:color w:val="000000"/>
              </w:rPr>
            </w:pPr>
            <w:r w:rsidDel="00000000" w:rsidR="00000000" w:rsidRPr="00000000">
              <w:rPr>
                <w:color w:val="000000"/>
                <w:rtl w:val="0"/>
              </w:rPr>
              <w:t xml:space="preserve">Baseline</w:t>
            </w:r>
          </w:p>
        </w:tc>
        <w:tc>
          <w:tcPr>
            <w:gridSpan w:val="4"/>
            <w:tcBorders>
              <w:top w:color="000000" w:space="0" w:sz="4" w:val="single"/>
              <w:left w:color="000000" w:space="0" w:sz="0" w:val="nil"/>
              <w:bottom w:color="000000" w:space="0" w:sz="4" w:val="single"/>
              <w:right w:color="000000" w:space="0" w:sz="4" w:val="single"/>
            </w:tcBorders>
            <w:shd w:fill="e8e8e8" w:val="clear"/>
            <w:tcMar>
              <w:top w:w="15.0" w:type="dxa"/>
              <w:left w:w="15.0" w:type="dxa"/>
              <w:right w:w="15.0" w:type="dxa"/>
            </w:tcMar>
          </w:tcPr>
          <w:p w:rsidR="00000000" w:rsidDel="00000000" w:rsidP="00000000" w:rsidRDefault="00000000" w:rsidRPr="00000000" w14:paraId="00000141">
            <w:pPr>
              <w:ind w:firstLine="720"/>
              <w:jc w:val="center"/>
              <w:rPr>
                <w:color w:val="000000"/>
              </w:rPr>
            </w:pPr>
            <w:r w:rsidDel="00000000" w:rsidR="00000000" w:rsidRPr="00000000">
              <w:rPr>
                <w:color w:val="000000"/>
                <w:rtl w:val="0"/>
              </w:rPr>
              <w:t xml:space="preserve">Endline</w:t>
            </w:r>
          </w:p>
        </w:tc>
      </w:tr>
      <w:tr>
        <w:trPr>
          <w:cantSplit w:val="0"/>
          <w:trHeight w:val="600" w:hRule="atLeast"/>
          <w:tblHeader w:val="0"/>
        </w:trPr>
        <w:tc>
          <w:tcPr>
            <w:vMerge w:val="continue"/>
            <w:tcBorders>
              <w:top w:color="000000" w:space="0" w:sz="4" w:val="single"/>
              <w:left w:color="000000" w:space="0" w:sz="0" w:val="nil"/>
              <w:bottom w:color="000000" w:space="0" w:sz="0" w:val="nil"/>
              <w:right w:color="000000" w:space="0" w:sz="0" w:val="nil"/>
            </w:tcBorders>
            <w:shd w:fill="d0d0d0" w:val="clear"/>
            <w:tcMar>
              <w:top w:w="15.0" w:type="dxa"/>
              <w:left w:w="15.0" w:type="dxa"/>
              <w:right w:w="15.0" w:type="dxa"/>
            </w:tcMar>
          </w:tcPr>
          <w:p w:rsidR="00000000" w:rsidDel="00000000" w:rsidP="00000000" w:rsidRDefault="00000000" w:rsidRPr="00000000" w14:paraId="0000014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color w:val="000000"/>
              </w:rPr>
            </w:pP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shd w:fill="d0d0d0" w:val="clear"/>
            <w:tcMar>
              <w:top w:w="15.0" w:type="dxa"/>
              <w:left w:w="15.0" w:type="dxa"/>
              <w:right w:w="15.0" w:type="dxa"/>
            </w:tcMar>
          </w:tcPr>
          <w:p w:rsidR="00000000" w:rsidDel="00000000" w:rsidP="00000000" w:rsidRDefault="00000000" w:rsidRPr="00000000" w14:paraId="00000146">
            <w:pPr>
              <w:jc w:val="center"/>
              <w:rPr>
                <w:color w:val="000000"/>
              </w:rPr>
            </w:pPr>
            <w:r w:rsidDel="00000000" w:rsidR="00000000" w:rsidRPr="00000000">
              <w:rPr>
                <w:color w:val="000000"/>
                <w:rtl w:val="0"/>
              </w:rPr>
              <w:t xml:space="preserve">Never</w:t>
            </w:r>
          </w:p>
        </w:tc>
        <w:tc>
          <w:tcPr>
            <w:tcBorders>
              <w:top w:color="000000" w:space="0" w:sz="0" w:val="nil"/>
              <w:left w:color="000000" w:space="0" w:sz="4" w:val="single"/>
              <w:bottom w:color="000000" w:space="0" w:sz="4" w:val="single"/>
              <w:right w:color="000000" w:space="0" w:sz="4" w:val="single"/>
            </w:tcBorders>
            <w:shd w:fill="d0d0d0" w:val="clear"/>
            <w:tcMar>
              <w:top w:w="15.0" w:type="dxa"/>
              <w:left w:w="15.0" w:type="dxa"/>
              <w:right w:w="15.0" w:type="dxa"/>
            </w:tcMar>
          </w:tcPr>
          <w:p w:rsidR="00000000" w:rsidDel="00000000" w:rsidP="00000000" w:rsidRDefault="00000000" w:rsidRPr="00000000" w14:paraId="00000147">
            <w:pPr>
              <w:jc w:val="center"/>
              <w:rPr>
                <w:color w:val="000000"/>
              </w:rPr>
            </w:pPr>
            <w:r w:rsidDel="00000000" w:rsidR="00000000" w:rsidRPr="00000000">
              <w:rPr>
                <w:color w:val="000000"/>
                <w:rtl w:val="0"/>
              </w:rPr>
              <w:t xml:space="preserve">Less than 10 times</w:t>
            </w:r>
          </w:p>
        </w:tc>
        <w:tc>
          <w:tcPr>
            <w:tcBorders>
              <w:top w:color="000000" w:space="0" w:sz="0" w:val="nil"/>
              <w:left w:color="000000" w:space="0" w:sz="4" w:val="single"/>
              <w:bottom w:color="000000" w:space="0" w:sz="4" w:val="single"/>
              <w:right w:color="000000" w:space="0" w:sz="4" w:val="single"/>
            </w:tcBorders>
            <w:shd w:fill="d0d0d0" w:val="clear"/>
            <w:tcMar>
              <w:top w:w="15.0" w:type="dxa"/>
              <w:left w:w="15.0" w:type="dxa"/>
              <w:right w:w="15.0" w:type="dxa"/>
            </w:tcMar>
          </w:tcPr>
          <w:p w:rsidR="00000000" w:rsidDel="00000000" w:rsidP="00000000" w:rsidRDefault="00000000" w:rsidRPr="00000000" w14:paraId="00000148">
            <w:pPr>
              <w:jc w:val="center"/>
              <w:rPr>
                <w:color w:val="000000"/>
              </w:rPr>
            </w:pPr>
            <w:r w:rsidDel="00000000" w:rsidR="00000000" w:rsidRPr="00000000">
              <w:rPr>
                <w:color w:val="000000"/>
                <w:rtl w:val="0"/>
              </w:rPr>
              <w:t xml:space="preserve">More than 10 times</w:t>
            </w:r>
          </w:p>
        </w:tc>
        <w:tc>
          <w:tcPr>
            <w:tcBorders>
              <w:top w:color="000000" w:space="0" w:sz="0" w:val="nil"/>
              <w:left w:color="000000" w:space="0" w:sz="4" w:val="single"/>
              <w:bottom w:color="000000" w:space="0" w:sz="4" w:val="single"/>
              <w:right w:color="000000" w:space="0" w:sz="4" w:val="single"/>
            </w:tcBorders>
            <w:shd w:fill="d0d0d0" w:val="clear"/>
            <w:tcMar>
              <w:top w:w="15.0" w:type="dxa"/>
              <w:left w:w="15.0" w:type="dxa"/>
              <w:right w:w="15.0" w:type="dxa"/>
            </w:tcMar>
          </w:tcPr>
          <w:p w:rsidR="00000000" w:rsidDel="00000000" w:rsidP="00000000" w:rsidRDefault="00000000" w:rsidRPr="00000000" w14:paraId="00000149">
            <w:pPr>
              <w:jc w:val="center"/>
              <w:rPr>
                <w:color w:val="000000"/>
              </w:rPr>
            </w:pPr>
            <w:r w:rsidDel="00000000" w:rsidR="00000000" w:rsidRPr="00000000">
              <w:rPr>
                <w:color w:val="000000"/>
                <w:rtl w:val="0"/>
              </w:rPr>
              <w:t xml:space="preserve">Almost Every day</w:t>
            </w:r>
          </w:p>
        </w:tc>
        <w:tc>
          <w:tcPr>
            <w:tcBorders>
              <w:top w:color="000000" w:space="0" w:sz="4" w:val="single"/>
              <w:left w:color="000000" w:space="0" w:sz="4" w:val="single"/>
              <w:bottom w:color="000000" w:space="0" w:sz="4" w:val="single"/>
              <w:right w:color="000000" w:space="0" w:sz="4" w:val="single"/>
            </w:tcBorders>
            <w:shd w:fill="e8e8e8" w:val="clear"/>
            <w:tcMar>
              <w:top w:w="15.0" w:type="dxa"/>
              <w:left w:w="15.0" w:type="dxa"/>
              <w:right w:w="15.0" w:type="dxa"/>
            </w:tcMar>
          </w:tcPr>
          <w:p w:rsidR="00000000" w:rsidDel="00000000" w:rsidP="00000000" w:rsidRDefault="00000000" w:rsidRPr="00000000" w14:paraId="0000014A">
            <w:pPr>
              <w:jc w:val="center"/>
              <w:rPr>
                <w:color w:val="000000"/>
              </w:rPr>
            </w:pPr>
            <w:r w:rsidDel="00000000" w:rsidR="00000000" w:rsidRPr="00000000">
              <w:rPr>
                <w:color w:val="000000"/>
                <w:rtl w:val="0"/>
              </w:rPr>
              <w:t xml:space="preserve">Never</w:t>
            </w:r>
          </w:p>
        </w:tc>
        <w:tc>
          <w:tcPr>
            <w:tcBorders>
              <w:top w:color="000000" w:space="0" w:sz="0" w:val="nil"/>
              <w:left w:color="000000" w:space="0" w:sz="4" w:val="single"/>
              <w:bottom w:color="000000" w:space="0" w:sz="4" w:val="single"/>
              <w:right w:color="000000" w:space="0" w:sz="4" w:val="single"/>
            </w:tcBorders>
            <w:shd w:fill="e8e8e8" w:val="clear"/>
            <w:tcMar>
              <w:top w:w="15.0" w:type="dxa"/>
              <w:left w:w="15.0" w:type="dxa"/>
              <w:right w:w="15.0" w:type="dxa"/>
            </w:tcMar>
          </w:tcPr>
          <w:p w:rsidR="00000000" w:rsidDel="00000000" w:rsidP="00000000" w:rsidRDefault="00000000" w:rsidRPr="00000000" w14:paraId="0000014B">
            <w:pPr>
              <w:jc w:val="center"/>
              <w:rPr>
                <w:color w:val="000000"/>
              </w:rPr>
            </w:pPr>
            <w:r w:rsidDel="00000000" w:rsidR="00000000" w:rsidRPr="00000000">
              <w:rPr>
                <w:color w:val="000000"/>
                <w:rtl w:val="0"/>
              </w:rPr>
              <w:t xml:space="preserve">Less than 10 times</w:t>
            </w:r>
          </w:p>
        </w:tc>
        <w:tc>
          <w:tcPr>
            <w:tcBorders>
              <w:top w:color="000000" w:space="0" w:sz="0" w:val="nil"/>
              <w:left w:color="000000" w:space="0" w:sz="4" w:val="single"/>
              <w:bottom w:color="000000" w:space="0" w:sz="4" w:val="single"/>
              <w:right w:color="000000" w:space="0" w:sz="4" w:val="single"/>
            </w:tcBorders>
            <w:shd w:fill="e8e8e8" w:val="clear"/>
            <w:tcMar>
              <w:top w:w="15.0" w:type="dxa"/>
              <w:left w:w="15.0" w:type="dxa"/>
              <w:right w:w="15.0" w:type="dxa"/>
            </w:tcMar>
          </w:tcPr>
          <w:p w:rsidR="00000000" w:rsidDel="00000000" w:rsidP="00000000" w:rsidRDefault="00000000" w:rsidRPr="00000000" w14:paraId="0000014C">
            <w:pPr>
              <w:jc w:val="center"/>
              <w:rPr>
                <w:color w:val="000000"/>
              </w:rPr>
            </w:pPr>
            <w:r w:rsidDel="00000000" w:rsidR="00000000" w:rsidRPr="00000000">
              <w:rPr>
                <w:color w:val="000000"/>
                <w:rtl w:val="0"/>
              </w:rPr>
              <w:t xml:space="preserve">More than 10 times</w:t>
            </w:r>
          </w:p>
        </w:tc>
        <w:tc>
          <w:tcPr>
            <w:tcBorders>
              <w:top w:color="000000" w:space="0" w:sz="0" w:val="nil"/>
              <w:left w:color="000000" w:space="0" w:sz="4" w:val="single"/>
              <w:bottom w:color="000000" w:space="0" w:sz="4" w:val="single"/>
              <w:right w:color="000000" w:space="0" w:sz="4" w:val="single"/>
            </w:tcBorders>
            <w:shd w:fill="e8e8e8" w:val="clear"/>
            <w:tcMar>
              <w:top w:w="15.0" w:type="dxa"/>
              <w:left w:w="15.0" w:type="dxa"/>
              <w:right w:w="15.0" w:type="dxa"/>
            </w:tcMar>
          </w:tcPr>
          <w:p w:rsidR="00000000" w:rsidDel="00000000" w:rsidP="00000000" w:rsidRDefault="00000000" w:rsidRPr="00000000" w14:paraId="0000014D">
            <w:pPr>
              <w:jc w:val="center"/>
              <w:rPr>
                <w:color w:val="000000"/>
              </w:rPr>
            </w:pPr>
            <w:r w:rsidDel="00000000" w:rsidR="00000000" w:rsidRPr="00000000">
              <w:rPr>
                <w:color w:val="000000"/>
                <w:rtl w:val="0"/>
              </w:rPr>
              <w:t xml:space="preserve">Almost Every day</w:t>
            </w:r>
          </w:p>
        </w:tc>
      </w:tr>
      <w:tr>
        <w:trPr>
          <w:cantSplit w:val="0"/>
          <w:trHeight w:val="1365" w:hRule="atLeast"/>
          <w:tblHeader w:val="0"/>
        </w:trPr>
        <w:tc>
          <w:tcPr>
            <w:tcBorders>
              <w:top w:color="000000" w:space="0" w:sz="4" w:val="single"/>
              <w:left w:color="000000" w:space="0" w:sz="4" w:val="single"/>
              <w:bottom w:color="000000" w:space="0" w:sz="4" w:val="single"/>
              <w:right w:color="000000" w:space="0" w:sz="4" w:val="single"/>
            </w:tcBorders>
            <w:tcMar>
              <w:top w:w="15.0" w:type="dxa"/>
              <w:left w:w="15.0" w:type="dxa"/>
              <w:right w:w="15.0" w:type="dxa"/>
            </w:tcMar>
          </w:tcPr>
          <w:p w:rsidR="00000000" w:rsidDel="00000000" w:rsidP="00000000" w:rsidRDefault="00000000" w:rsidRPr="00000000" w14:paraId="0000014E">
            <w:pPr>
              <w:jc w:val="center"/>
              <w:rPr>
                <w:color w:val="000000"/>
              </w:rPr>
            </w:pPr>
            <w:r w:rsidDel="00000000" w:rsidR="00000000" w:rsidRPr="00000000">
              <w:rPr>
                <w:color w:val="000000"/>
                <w:rtl w:val="0"/>
              </w:rPr>
              <w:t xml:space="preserve">1. Activities of relaxation and mindfulness</w:t>
            </w:r>
            <w:r w:rsidDel="00000000" w:rsidR="00000000" w:rsidRPr="00000000">
              <w:rPr>
                <w:rtl w:val="0"/>
              </w:rPr>
              <w:br w:type="textWrapping"/>
            </w:r>
            <w:r w:rsidDel="00000000" w:rsidR="00000000" w:rsidRPr="00000000">
              <w:rPr>
                <w:color w:val="000000"/>
                <w:rtl w:val="0"/>
              </w:rPr>
              <w:t xml:space="preserve"> Taking short breaks, stretching, and breathing exercises. Creative exercises such as drawing, coloring, singing, watching movie</w:t>
            </w:r>
          </w:p>
        </w:tc>
        <w:tc>
          <w:tcPr>
            <w:tcBorders>
              <w:top w:color="000000" w:space="0" w:sz="4" w:val="single"/>
              <w:left w:color="000000" w:space="0" w:sz="4" w:val="single"/>
              <w:bottom w:color="000000" w:space="0" w:sz="4" w:val="single"/>
              <w:right w:color="000000" w:space="0" w:sz="4" w:val="single"/>
            </w:tcBorders>
            <w:tcMar>
              <w:top w:w="15.0" w:type="dxa"/>
              <w:left w:w="15.0" w:type="dxa"/>
              <w:right w:w="15.0" w:type="dxa"/>
            </w:tcMar>
            <w:vAlign w:val="center"/>
          </w:tcPr>
          <w:p w:rsidR="00000000" w:rsidDel="00000000" w:rsidP="00000000" w:rsidRDefault="00000000" w:rsidRPr="00000000" w14:paraId="0000014F">
            <w:pPr>
              <w:jc w:val="center"/>
              <w:rPr>
                <w:color w:val="000000"/>
              </w:rPr>
            </w:pPr>
            <w:r w:rsidDel="00000000" w:rsidR="00000000" w:rsidRPr="00000000">
              <w:rPr>
                <w:color w:val="000000"/>
                <w:rtl w:val="0"/>
              </w:rPr>
              <w:t xml:space="preserve">14</w:t>
            </w:r>
          </w:p>
        </w:tc>
        <w:tc>
          <w:tcPr>
            <w:tcBorders>
              <w:top w:color="000000" w:space="0" w:sz="4" w:val="single"/>
              <w:left w:color="000000" w:space="0" w:sz="4" w:val="single"/>
              <w:bottom w:color="000000" w:space="0" w:sz="4" w:val="single"/>
              <w:right w:color="000000" w:space="0" w:sz="4" w:val="single"/>
            </w:tcBorders>
            <w:tcMar>
              <w:top w:w="15.0" w:type="dxa"/>
              <w:left w:w="15.0" w:type="dxa"/>
              <w:right w:w="15.0" w:type="dxa"/>
            </w:tcMar>
            <w:vAlign w:val="center"/>
          </w:tcPr>
          <w:p w:rsidR="00000000" w:rsidDel="00000000" w:rsidP="00000000" w:rsidRDefault="00000000" w:rsidRPr="00000000" w14:paraId="00000150">
            <w:pPr>
              <w:jc w:val="center"/>
              <w:rPr>
                <w:color w:val="000000"/>
              </w:rPr>
            </w:pPr>
            <w:r w:rsidDel="00000000" w:rsidR="00000000" w:rsidRPr="00000000">
              <w:rPr>
                <w:color w:val="000000"/>
                <w:rtl w:val="0"/>
              </w:rPr>
              <w:t xml:space="preserve">16</w:t>
            </w:r>
          </w:p>
        </w:tc>
        <w:tc>
          <w:tcPr>
            <w:tcBorders>
              <w:top w:color="000000" w:space="0" w:sz="4" w:val="single"/>
              <w:left w:color="000000" w:space="0" w:sz="4" w:val="single"/>
              <w:bottom w:color="000000" w:space="0" w:sz="4" w:val="single"/>
              <w:right w:color="000000" w:space="0" w:sz="4" w:val="single"/>
            </w:tcBorders>
            <w:tcMar>
              <w:top w:w="15.0" w:type="dxa"/>
              <w:left w:w="15.0" w:type="dxa"/>
              <w:right w:w="15.0" w:type="dxa"/>
            </w:tcMar>
            <w:vAlign w:val="center"/>
          </w:tcPr>
          <w:p w:rsidR="00000000" w:rsidDel="00000000" w:rsidP="00000000" w:rsidRDefault="00000000" w:rsidRPr="00000000" w14:paraId="00000151">
            <w:pPr>
              <w:jc w:val="center"/>
              <w:rPr>
                <w:color w:val="000000"/>
              </w:rPr>
            </w:pPr>
            <w:r w:rsidDel="00000000" w:rsidR="00000000" w:rsidRPr="00000000">
              <w:rPr>
                <w:color w:val="000000"/>
                <w:rtl w:val="0"/>
              </w:rPr>
              <w:t xml:space="preserve">3</w:t>
            </w:r>
          </w:p>
        </w:tc>
        <w:tc>
          <w:tcPr>
            <w:tcBorders>
              <w:top w:color="000000" w:space="0" w:sz="4" w:val="single"/>
              <w:left w:color="000000" w:space="0" w:sz="4" w:val="single"/>
              <w:bottom w:color="000000" w:space="0" w:sz="4" w:val="single"/>
              <w:right w:color="000000" w:space="0" w:sz="4" w:val="single"/>
            </w:tcBorders>
            <w:tcMar>
              <w:top w:w="15.0" w:type="dxa"/>
              <w:left w:w="15.0" w:type="dxa"/>
              <w:right w:w="15.0" w:type="dxa"/>
            </w:tcMar>
            <w:vAlign w:val="center"/>
          </w:tcPr>
          <w:p w:rsidR="00000000" w:rsidDel="00000000" w:rsidP="00000000" w:rsidRDefault="00000000" w:rsidRPr="00000000" w14:paraId="00000152">
            <w:pPr>
              <w:jc w:val="center"/>
              <w:rPr>
                <w:color w:val="000000"/>
              </w:rPr>
            </w:pPr>
            <w:r w:rsidDel="00000000" w:rsidR="00000000" w:rsidRPr="00000000">
              <w:rPr>
                <w:color w:val="000000"/>
                <w:rtl w:val="0"/>
              </w:rPr>
              <w:t xml:space="preserve">3</w:t>
            </w:r>
          </w:p>
        </w:tc>
        <w:tc>
          <w:tcPr>
            <w:tcBorders>
              <w:top w:color="000000" w:space="0" w:sz="4" w:val="single"/>
              <w:left w:color="000000" w:space="0" w:sz="4" w:val="single"/>
              <w:bottom w:color="000000" w:space="0" w:sz="4" w:val="single"/>
              <w:right w:color="000000" w:space="0" w:sz="4" w:val="single"/>
            </w:tcBorders>
            <w:tcMar>
              <w:top w:w="15.0" w:type="dxa"/>
              <w:left w:w="15.0" w:type="dxa"/>
              <w:right w:w="15.0" w:type="dxa"/>
            </w:tcMar>
            <w:vAlign w:val="center"/>
          </w:tcPr>
          <w:p w:rsidR="00000000" w:rsidDel="00000000" w:rsidP="00000000" w:rsidRDefault="00000000" w:rsidRPr="00000000" w14:paraId="00000153">
            <w:pPr>
              <w:jc w:val="center"/>
              <w:rPr>
                <w:color w:val="000000"/>
              </w:rPr>
            </w:pPr>
            <w:r w:rsidDel="00000000" w:rsidR="00000000" w:rsidRPr="00000000">
              <w:rPr>
                <w:color w:val="000000"/>
                <w:rtl w:val="0"/>
              </w:rPr>
              <w:t xml:space="preserve">8</w:t>
            </w:r>
          </w:p>
        </w:tc>
        <w:tc>
          <w:tcPr>
            <w:tcBorders>
              <w:top w:color="000000" w:space="0" w:sz="4" w:val="single"/>
              <w:left w:color="000000" w:space="0" w:sz="4" w:val="single"/>
              <w:bottom w:color="000000" w:space="0" w:sz="4" w:val="single"/>
              <w:right w:color="000000" w:space="0" w:sz="4" w:val="single"/>
            </w:tcBorders>
            <w:tcMar>
              <w:top w:w="15.0" w:type="dxa"/>
              <w:left w:w="15.0" w:type="dxa"/>
              <w:right w:w="15.0" w:type="dxa"/>
            </w:tcMar>
            <w:vAlign w:val="center"/>
          </w:tcPr>
          <w:p w:rsidR="00000000" w:rsidDel="00000000" w:rsidP="00000000" w:rsidRDefault="00000000" w:rsidRPr="00000000" w14:paraId="00000154">
            <w:pPr>
              <w:jc w:val="center"/>
              <w:rPr>
                <w:color w:val="000000"/>
              </w:rPr>
            </w:pPr>
            <w:r w:rsidDel="00000000" w:rsidR="00000000" w:rsidRPr="00000000">
              <w:rPr>
                <w:color w:val="000000"/>
                <w:rtl w:val="0"/>
              </w:rPr>
              <w:t xml:space="preserve">14</w:t>
            </w:r>
          </w:p>
        </w:tc>
        <w:tc>
          <w:tcPr>
            <w:tcBorders>
              <w:top w:color="000000" w:space="0" w:sz="4" w:val="single"/>
              <w:left w:color="000000" w:space="0" w:sz="4" w:val="single"/>
              <w:bottom w:color="000000" w:space="0" w:sz="4" w:val="single"/>
              <w:right w:color="000000" w:space="0" w:sz="4" w:val="single"/>
            </w:tcBorders>
            <w:tcMar>
              <w:top w:w="15.0" w:type="dxa"/>
              <w:left w:w="15.0" w:type="dxa"/>
              <w:right w:w="15.0" w:type="dxa"/>
            </w:tcMar>
            <w:vAlign w:val="center"/>
          </w:tcPr>
          <w:p w:rsidR="00000000" w:rsidDel="00000000" w:rsidP="00000000" w:rsidRDefault="00000000" w:rsidRPr="00000000" w14:paraId="00000155">
            <w:pPr>
              <w:jc w:val="center"/>
              <w:rPr>
                <w:color w:val="000000"/>
              </w:rPr>
            </w:pPr>
            <w:r w:rsidDel="00000000" w:rsidR="00000000" w:rsidRPr="00000000">
              <w:rPr>
                <w:color w:val="000000"/>
                <w:rtl w:val="0"/>
              </w:rPr>
              <w:t xml:space="preserve">10</w:t>
            </w:r>
          </w:p>
        </w:tc>
        <w:tc>
          <w:tcPr>
            <w:tcBorders>
              <w:top w:color="000000" w:space="0" w:sz="4" w:val="single"/>
              <w:left w:color="000000" w:space="0" w:sz="4" w:val="single"/>
              <w:bottom w:color="000000" w:space="0" w:sz="4" w:val="single"/>
              <w:right w:color="000000" w:space="0" w:sz="4" w:val="single"/>
            </w:tcBorders>
            <w:tcMar>
              <w:top w:w="15.0" w:type="dxa"/>
              <w:left w:w="15.0" w:type="dxa"/>
              <w:right w:w="15.0" w:type="dxa"/>
            </w:tcMar>
            <w:vAlign w:val="center"/>
          </w:tcPr>
          <w:p w:rsidR="00000000" w:rsidDel="00000000" w:rsidP="00000000" w:rsidRDefault="00000000" w:rsidRPr="00000000" w14:paraId="00000156">
            <w:pPr>
              <w:jc w:val="center"/>
              <w:rPr>
                <w:color w:val="000000"/>
              </w:rPr>
            </w:pPr>
            <w:r w:rsidDel="00000000" w:rsidR="00000000" w:rsidRPr="00000000">
              <w:rPr>
                <w:color w:val="000000"/>
                <w:rtl w:val="0"/>
              </w:rPr>
              <w:t xml:space="preserve">4</w:t>
            </w:r>
          </w:p>
        </w:tc>
      </w:tr>
      <w:tr>
        <w:trPr>
          <w:cantSplit w:val="0"/>
          <w:trHeight w:val="435" w:hRule="atLeast"/>
          <w:tblHeader w:val="0"/>
        </w:trPr>
        <w:tc>
          <w:tcPr>
            <w:tcBorders>
              <w:top w:color="000000" w:space="0" w:sz="4" w:val="single"/>
              <w:left w:color="000000" w:space="0" w:sz="4" w:val="single"/>
              <w:bottom w:color="000000" w:space="0" w:sz="4" w:val="single"/>
              <w:right w:color="000000" w:space="0" w:sz="4" w:val="single"/>
            </w:tcBorders>
            <w:tcMar>
              <w:top w:w="15.0" w:type="dxa"/>
              <w:left w:w="15.0" w:type="dxa"/>
              <w:right w:w="15.0" w:type="dxa"/>
            </w:tcMar>
          </w:tcPr>
          <w:p w:rsidR="00000000" w:rsidDel="00000000" w:rsidP="00000000" w:rsidRDefault="00000000" w:rsidRPr="00000000" w14:paraId="00000157">
            <w:pPr>
              <w:jc w:val="center"/>
              <w:rPr>
                <w:color w:val="000000"/>
              </w:rPr>
            </w:pPr>
            <w:r w:rsidDel="00000000" w:rsidR="00000000" w:rsidRPr="00000000">
              <w:rPr>
                <w:color w:val="000000"/>
                <w:rtl w:val="0"/>
              </w:rPr>
              <w:t xml:space="preserve">2. Selfcare, Sleep, Eating healthy, relaxation</w:t>
            </w:r>
          </w:p>
        </w:tc>
        <w:tc>
          <w:tcPr>
            <w:tcBorders>
              <w:top w:color="000000" w:space="0" w:sz="4" w:val="single"/>
              <w:left w:color="000000" w:space="0" w:sz="4" w:val="single"/>
              <w:bottom w:color="000000" w:space="0" w:sz="4" w:val="single"/>
              <w:right w:color="000000" w:space="0" w:sz="4" w:val="single"/>
            </w:tcBorders>
            <w:tcMar>
              <w:top w:w="15.0" w:type="dxa"/>
              <w:left w:w="15.0" w:type="dxa"/>
              <w:right w:w="15.0" w:type="dxa"/>
            </w:tcMar>
            <w:vAlign w:val="center"/>
          </w:tcPr>
          <w:p w:rsidR="00000000" w:rsidDel="00000000" w:rsidP="00000000" w:rsidRDefault="00000000" w:rsidRPr="00000000" w14:paraId="00000158">
            <w:pPr>
              <w:jc w:val="center"/>
              <w:rPr>
                <w:color w:val="000000"/>
              </w:rPr>
            </w:pPr>
            <w:r w:rsidDel="00000000" w:rsidR="00000000" w:rsidRPr="00000000">
              <w:rPr>
                <w:color w:val="000000"/>
                <w:rtl w:val="0"/>
              </w:rPr>
              <w:t xml:space="preserve">3</w:t>
            </w:r>
          </w:p>
        </w:tc>
        <w:tc>
          <w:tcPr>
            <w:tcBorders>
              <w:top w:color="000000" w:space="0" w:sz="4" w:val="single"/>
              <w:left w:color="000000" w:space="0" w:sz="4" w:val="single"/>
              <w:bottom w:color="000000" w:space="0" w:sz="4" w:val="single"/>
              <w:right w:color="000000" w:space="0" w:sz="4" w:val="single"/>
            </w:tcBorders>
            <w:tcMar>
              <w:top w:w="15.0" w:type="dxa"/>
              <w:left w:w="15.0" w:type="dxa"/>
              <w:right w:w="15.0" w:type="dxa"/>
            </w:tcMar>
            <w:vAlign w:val="center"/>
          </w:tcPr>
          <w:p w:rsidR="00000000" w:rsidDel="00000000" w:rsidP="00000000" w:rsidRDefault="00000000" w:rsidRPr="00000000" w14:paraId="00000159">
            <w:pPr>
              <w:jc w:val="center"/>
              <w:rPr>
                <w:color w:val="000000"/>
              </w:rPr>
            </w:pPr>
            <w:r w:rsidDel="00000000" w:rsidR="00000000" w:rsidRPr="00000000">
              <w:rPr>
                <w:color w:val="000000"/>
                <w:rtl w:val="0"/>
              </w:rPr>
              <w:t xml:space="preserve">14</w:t>
            </w:r>
          </w:p>
        </w:tc>
        <w:tc>
          <w:tcPr>
            <w:tcBorders>
              <w:top w:color="000000" w:space="0" w:sz="4" w:val="single"/>
              <w:left w:color="000000" w:space="0" w:sz="4" w:val="single"/>
              <w:bottom w:color="000000" w:space="0" w:sz="4" w:val="single"/>
              <w:right w:color="000000" w:space="0" w:sz="4" w:val="single"/>
            </w:tcBorders>
            <w:tcMar>
              <w:top w:w="15.0" w:type="dxa"/>
              <w:left w:w="15.0" w:type="dxa"/>
              <w:right w:w="15.0" w:type="dxa"/>
            </w:tcMar>
            <w:vAlign w:val="center"/>
          </w:tcPr>
          <w:p w:rsidR="00000000" w:rsidDel="00000000" w:rsidP="00000000" w:rsidRDefault="00000000" w:rsidRPr="00000000" w14:paraId="0000015A">
            <w:pPr>
              <w:jc w:val="center"/>
              <w:rPr>
                <w:color w:val="000000"/>
              </w:rPr>
            </w:pPr>
            <w:r w:rsidDel="00000000" w:rsidR="00000000" w:rsidRPr="00000000">
              <w:rPr>
                <w:color w:val="000000"/>
                <w:rtl w:val="0"/>
              </w:rPr>
              <w:t xml:space="preserve">12</w:t>
            </w:r>
          </w:p>
        </w:tc>
        <w:tc>
          <w:tcPr>
            <w:tcBorders>
              <w:top w:color="000000" w:space="0" w:sz="4" w:val="single"/>
              <w:left w:color="000000" w:space="0" w:sz="4" w:val="single"/>
              <w:bottom w:color="000000" w:space="0" w:sz="4" w:val="single"/>
              <w:right w:color="000000" w:space="0" w:sz="4" w:val="single"/>
            </w:tcBorders>
            <w:tcMar>
              <w:top w:w="15.0" w:type="dxa"/>
              <w:left w:w="15.0" w:type="dxa"/>
              <w:right w:w="15.0" w:type="dxa"/>
            </w:tcMar>
            <w:vAlign w:val="center"/>
          </w:tcPr>
          <w:p w:rsidR="00000000" w:rsidDel="00000000" w:rsidP="00000000" w:rsidRDefault="00000000" w:rsidRPr="00000000" w14:paraId="0000015B">
            <w:pPr>
              <w:jc w:val="center"/>
              <w:rPr>
                <w:color w:val="000000"/>
              </w:rPr>
            </w:pPr>
            <w:r w:rsidDel="00000000" w:rsidR="00000000" w:rsidRPr="00000000">
              <w:rPr>
                <w:color w:val="000000"/>
                <w:rtl w:val="0"/>
              </w:rPr>
              <w:t xml:space="preserve">7</w:t>
            </w:r>
          </w:p>
        </w:tc>
        <w:tc>
          <w:tcPr>
            <w:tcBorders>
              <w:top w:color="000000" w:space="0" w:sz="4" w:val="single"/>
              <w:left w:color="000000" w:space="0" w:sz="4" w:val="single"/>
              <w:bottom w:color="000000" w:space="0" w:sz="4" w:val="single"/>
              <w:right w:color="000000" w:space="0" w:sz="4" w:val="single"/>
            </w:tcBorders>
            <w:tcMar>
              <w:top w:w="15.0" w:type="dxa"/>
              <w:left w:w="15.0" w:type="dxa"/>
              <w:right w:w="15.0" w:type="dxa"/>
            </w:tcMar>
            <w:vAlign w:val="center"/>
          </w:tcPr>
          <w:p w:rsidR="00000000" w:rsidDel="00000000" w:rsidP="00000000" w:rsidRDefault="00000000" w:rsidRPr="00000000" w14:paraId="0000015C">
            <w:pPr>
              <w:jc w:val="center"/>
              <w:rPr>
                <w:color w:val="000000"/>
              </w:rPr>
            </w:pPr>
            <w:r w:rsidDel="00000000" w:rsidR="00000000" w:rsidRPr="00000000">
              <w:rPr>
                <w:color w:val="000000"/>
                <w:rtl w:val="0"/>
              </w:rPr>
              <w:t xml:space="preserve">2</w:t>
            </w:r>
          </w:p>
        </w:tc>
        <w:tc>
          <w:tcPr>
            <w:tcBorders>
              <w:top w:color="000000" w:space="0" w:sz="4" w:val="single"/>
              <w:left w:color="000000" w:space="0" w:sz="4" w:val="single"/>
              <w:bottom w:color="000000" w:space="0" w:sz="4" w:val="single"/>
              <w:right w:color="000000" w:space="0" w:sz="4" w:val="single"/>
            </w:tcBorders>
            <w:tcMar>
              <w:top w:w="15.0" w:type="dxa"/>
              <w:left w:w="15.0" w:type="dxa"/>
              <w:right w:w="15.0" w:type="dxa"/>
            </w:tcMar>
            <w:vAlign w:val="center"/>
          </w:tcPr>
          <w:p w:rsidR="00000000" w:rsidDel="00000000" w:rsidP="00000000" w:rsidRDefault="00000000" w:rsidRPr="00000000" w14:paraId="0000015D">
            <w:pPr>
              <w:jc w:val="center"/>
              <w:rPr>
                <w:color w:val="000000"/>
              </w:rPr>
            </w:pPr>
            <w:r w:rsidDel="00000000" w:rsidR="00000000" w:rsidRPr="00000000">
              <w:rPr>
                <w:color w:val="000000"/>
                <w:rtl w:val="0"/>
              </w:rPr>
              <w:t xml:space="preserve">10</w:t>
            </w:r>
          </w:p>
        </w:tc>
        <w:tc>
          <w:tcPr>
            <w:tcBorders>
              <w:top w:color="000000" w:space="0" w:sz="4" w:val="single"/>
              <w:left w:color="000000" w:space="0" w:sz="4" w:val="single"/>
              <w:bottom w:color="000000" w:space="0" w:sz="4" w:val="single"/>
              <w:right w:color="000000" w:space="0" w:sz="4" w:val="single"/>
            </w:tcBorders>
            <w:tcMar>
              <w:top w:w="15.0" w:type="dxa"/>
              <w:left w:w="15.0" w:type="dxa"/>
              <w:right w:w="15.0" w:type="dxa"/>
            </w:tcMar>
            <w:vAlign w:val="center"/>
          </w:tcPr>
          <w:p w:rsidR="00000000" w:rsidDel="00000000" w:rsidP="00000000" w:rsidRDefault="00000000" w:rsidRPr="00000000" w14:paraId="0000015E">
            <w:pPr>
              <w:jc w:val="center"/>
              <w:rPr>
                <w:color w:val="000000"/>
              </w:rPr>
            </w:pPr>
            <w:r w:rsidDel="00000000" w:rsidR="00000000" w:rsidRPr="00000000">
              <w:rPr>
                <w:color w:val="000000"/>
                <w:rtl w:val="0"/>
              </w:rPr>
              <w:t xml:space="preserve">15</w:t>
            </w:r>
          </w:p>
        </w:tc>
        <w:tc>
          <w:tcPr>
            <w:tcBorders>
              <w:top w:color="000000" w:space="0" w:sz="4" w:val="single"/>
              <w:left w:color="000000" w:space="0" w:sz="4" w:val="single"/>
              <w:bottom w:color="000000" w:space="0" w:sz="4" w:val="single"/>
              <w:right w:color="000000" w:space="0" w:sz="4" w:val="single"/>
            </w:tcBorders>
            <w:tcMar>
              <w:top w:w="15.0" w:type="dxa"/>
              <w:left w:w="15.0" w:type="dxa"/>
              <w:right w:w="15.0" w:type="dxa"/>
            </w:tcMar>
            <w:vAlign w:val="center"/>
          </w:tcPr>
          <w:p w:rsidR="00000000" w:rsidDel="00000000" w:rsidP="00000000" w:rsidRDefault="00000000" w:rsidRPr="00000000" w14:paraId="0000015F">
            <w:pPr>
              <w:jc w:val="center"/>
              <w:rPr>
                <w:color w:val="000000"/>
              </w:rPr>
            </w:pPr>
            <w:r w:rsidDel="00000000" w:rsidR="00000000" w:rsidRPr="00000000">
              <w:rPr>
                <w:color w:val="000000"/>
                <w:rtl w:val="0"/>
              </w:rPr>
              <w:t xml:space="preserve">9</w:t>
            </w:r>
          </w:p>
        </w:tc>
      </w:tr>
      <w:tr>
        <w:trPr>
          <w:cantSplit w:val="0"/>
          <w:trHeight w:val="675" w:hRule="atLeast"/>
          <w:tblHeader w:val="0"/>
        </w:trPr>
        <w:tc>
          <w:tcPr>
            <w:tcBorders>
              <w:top w:color="000000" w:space="0" w:sz="4" w:val="single"/>
              <w:left w:color="000000" w:space="0" w:sz="4" w:val="single"/>
              <w:bottom w:color="000000" w:space="0" w:sz="4" w:val="single"/>
              <w:right w:color="000000" w:space="0" w:sz="4" w:val="single"/>
            </w:tcBorders>
            <w:tcMar>
              <w:top w:w="15.0" w:type="dxa"/>
              <w:left w:w="15.0" w:type="dxa"/>
              <w:right w:w="15.0" w:type="dxa"/>
            </w:tcMar>
          </w:tcPr>
          <w:p w:rsidR="00000000" w:rsidDel="00000000" w:rsidP="00000000" w:rsidRDefault="00000000" w:rsidRPr="00000000" w14:paraId="00000160">
            <w:pPr>
              <w:jc w:val="center"/>
              <w:rPr>
                <w:color w:val="000000"/>
              </w:rPr>
            </w:pPr>
            <w:r w:rsidDel="00000000" w:rsidR="00000000" w:rsidRPr="00000000">
              <w:rPr>
                <w:color w:val="000000"/>
                <w:rtl w:val="0"/>
              </w:rPr>
              <w:t xml:space="preserve">3. Connect to purpose, list of things you are good at and good things you did today</w:t>
            </w:r>
          </w:p>
        </w:tc>
        <w:tc>
          <w:tcPr>
            <w:tcBorders>
              <w:top w:color="000000" w:space="0" w:sz="4" w:val="single"/>
              <w:left w:color="000000" w:space="0" w:sz="4" w:val="single"/>
              <w:bottom w:color="000000" w:space="0" w:sz="4" w:val="single"/>
              <w:right w:color="000000" w:space="0" w:sz="4" w:val="single"/>
            </w:tcBorders>
            <w:tcMar>
              <w:top w:w="15.0" w:type="dxa"/>
              <w:left w:w="15.0" w:type="dxa"/>
              <w:right w:w="15.0" w:type="dxa"/>
            </w:tcMar>
            <w:vAlign w:val="center"/>
          </w:tcPr>
          <w:p w:rsidR="00000000" w:rsidDel="00000000" w:rsidP="00000000" w:rsidRDefault="00000000" w:rsidRPr="00000000" w14:paraId="00000161">
            <w:pPr>
              <w:jc w:val="center"/>
              <w:rPr>
                <w:color w:val="000000"/>
              </w:rPr>
            </w:pPr>
            <w:r w:rsidDel="00000000" w:rsidR="00000000" w:rsidRPr="00000000">
              <w:rPr>
                <w:color w:val="000000"/>
                <w:rtl w:val="0"/>
              </w:rPr>
              <w:t xml:space="preserve">18</w:t>
            </w:r>
          </w:p>
        </w:tc>
        <w:tc>
          <w:tcPr>
            <w:tcBorders>
              <w:top w:color="000000" w:space="0" w:sz="4" w:val="single"/>
              <w:left w:color="000000" w:space="0" w:sz="4" w:val="single"/>
              <w:bottom w:color="000000" w:space="0" w:sz="4" w:val="single"/>
              <w:right w:color="000000" w:space="0" w:sz="4" w:val="single"/>
            </w:tcBorders>
            <w:tcMar>
              <w:top w:w="15.0" w:type="dxa"/>
              <w:left w:w="15.0" w:type="dxa"/>
              <w:right w:w="15.0" w:type="dxa"/>
            </w:tcMar>
            <w:vAlign w:val="center"/>
          </w:tcPr>
          <w:p w:rsidR="00000000" w:rsidDel="00000000" w:rsidP="00000000" w:rsidRDefault="00000000" w:rsidRPr="00000000" w14:paraId="00000162">
            <w:pPr>
              <w:jc w:val="center"/>
              <w:rPr>
                <w:color w:val="000000"/>
              </w:rPr>
            </w:pPr>
            <w:r w:rsidDel="00000000" w:rsidR="00000000" w:rsidRPr="00000000">
              <w:rPr>
                <w:color w:val="000000"/>
                <w:rtl w:val="0"/>
              </w:rPr>
              <w:t xml:space="preserve">13</w:t>
            </w:r>
          </w:p>
        </w:tc>
        <w:tc>
          <w:tcPr>
            <w:tcBorders>
              <w:top w:color="000000" w:space="0" w:sz="4" w:val="single"/>
              <w:left w:color="000000" w:space="0" w:sz="4" w:val="single"/>
              <w:bottom w:color="000000" w:space="0" w:sz="4" w:val="single"/>
              <w:right w:color="000000" w:space="0" w:sz="4" w:val="single"/>
            </w:tcBorders>
            <w:tcMar>
              <w:top w:w="15.0" w:type="dxa"/>
              <w:left w:w="15.0" w:type="dxa"/>
              <w:right w:w="15.0" w:type="dxa"/>
            </w:tcMar>
            <w:vAlign w:val="center"/>
          </w:tcPr>
          <w:p w:rsidR="00000000" w:rsidDel="00000000" w:rsidP="00000000" w:rsidRDefault="00000000" w:rsidRPr="00000000" w14:paraId="00000163">
            <w:pPr>
              <w:jc w:val="center"/>
              <w:rPr>
                <w:color w:val="000000"/>
              </w:rPr>
            </w:pPr>
            <w:r w:rsidDel="00000000" w:rsidR="00000000" w:rsidRPr="00000000">
              <w:rPr>
                <w:color w:val="000000"/>
                <w:rtl w:val="0"/>
              </w:rPr>
              <w:t xml:space="preserve">4</w:t>
            </w:r>
          </w:p>
        </w:tc>
        <w:tc>
          <w:tcPr>
            <w:tcBorders>
              <w:top w:color="000000" w:space="0" w:sz="4" w:val="single"/>
              <w:left w:color="000000" w:space="0" w:sz="4" w:val="single"/>
              <w:bottom w:color="000000" w:space="0" w:sz="4" w:val="single"/>
              <w:right w:color="000000" w:space="0" w:sz="4" w:val="single"/>
            </w:tcBorders>
            <w:tcMar>
              <w:top w:w="15.0" w:type="dxa"/>
              <w:left w:w="15.0" w:type="dxa"/>
              <w:right w:w="15.0" w:type="dxa"/>
            </w:tcMar>
            <w:vAlign w:val="center"/>
          </w:tcPr>
          <w:p w:rsidR="00000000" w:rsidDel="00000000" w:rsidP="00000000" w:rsidRDefault="00000000" w:rsidRPr="00000000" w14:paraId="00000164">
            <w:pPr>
              <w:jc w:val="center"/>
              <w:rPr>
                <w:color w:val="000000"/>
              </w:rPr>
            </w:pPr>
            <w:r w:rsidDel="00000000" w:rsidR="00000000" w:rsidRPr="00000000">
              <w:rPr>
                <w:color w:val="000000"/>
                <w:rtl w:val="0"/>
              </w:rPr>
              <w:t xml:space="preserve">1</w:t>
            </w:r>
          </w:p>
        </w:tc>
        <w:tc>
          <w:tcPr>
            <w:tcBorders>
              <w:top w:color="000000" w:space="0" w:sz="4" w:val="single"/>
              <w:left w:color="000000" w:space="0" w:sz="4" w:val="single"/>
              <w:bottom w:color="000000" w:space="0" w:sz="4" w:val="single"/>
              <w:right w:color="000000" w:space="0" w:sz="4" w:val="single"/>
            </w:tcBorders>
            <w:tcMar>
              <w:top w:w="15.0" w:type="dxa"/>
              <w:left w:w="15.0" w:type="dxa"/>
              <w:right w:w="15.0" w:type="dxa"/>
            </w:tcMar>
            <w:vAlign w:val="center"/>
          </w:tcPr>
          <w:p w:rsidR="00000000" w:rsidDel="00000000" w:rsidP="00000000" w:rsidRDefault="00000000" w:rsidRPr="00000000" w14:paraId="00000165">
            <w:pPr>
              <w:jc w:val="center"/>
              <w:rPr>
                <w:color w:val="000000"/>
              </w:rPr>
            </w:pPr>
            <w:r w:rsidDel="00000000" w:rsidR="00000000" w:rsidRPr="00000000">
              <w:rPr>
                <w:color w:val="000000"/>
                <w:rtl w:val="0"/>
              </w:rPr>
              <w:t xml:space="preserve">12</w:t>
            </w:r>
          </w:p>
        </w:tc>
        <w:tc>
          <w:tcPr>
            <w:tcBorders>
              <w:top w:color="000000" w:space="0" w:sz="4" w:val="single"/>
              <w:left w:color="000000" w:space="0" w:sz="4" w:val="single"/>
              <w:bottom w:color="000000" w:space="0" w:sz="4" w:val="single"/>
              <w:right w:color="000000" w:space="0" w:sz="4" w:val="single"/>
            </w:tcBorders>
            <w:tcMar>
              <w:top w:w="15.0" w:type="dxa"/>
              <w:left w:w="15.0" w:type="dxa"/>
              <w:right w:w="15.0" w:type="dxa"/>
            </w:tcMar>
            <w:vAlign w:val="center"/>
          </w:tcPr>
          <w:p w:rsidR="00000000" w:rsidDel="00000000" w:rsidP="00000000" w:rsidRDefault="00000000" w:rsidRPr="00000000" w14:paraId="00000166">
            <w:pPr>
              <w:jc w:val="center"/>
              <w:rPr>
                <w:color w:val="000000"/>
              </w:rPr>
            </w:pPr>
            <w:r w:rsidDel="00000000" w:rsidR="00000000" w:rsidRPr="00000000">
              <w:rPr>
                <w:color w:val="000000"/>
                <w:rtl w:val="0"/>
              </w:rPr>
              <w:t xml:space="preserve">14</w:t>
            </w:r>
          </w:p>
        </w:tc>
        <w:tc>
          <w:tcPr>
            <w:tcBorders>
              <w:top w:color="000000" w:space="0" w:sz="4" w:val="single"/>
              <w:left w:color="000000" w:space="0" w:sz="4" w:val="single"/>
              <w:bottom w:color="000000" w:space="0" w:sz="4" w:val="single"/>
              <w:right w:color="000000" w:space="0" w:sz="4" w:val="single"/>
            </w:tcBorders>
            <w:tcMar>
              <w:top w:w="15.0" w:type="dxa"/>
              <w:left w:w="15.0" w:type="dxa"/>
              <w:right w:w="15.0" w:type="dxa"/>
            </w:tcMar>
            <w:vAlign w:val="center"/>
          </w:tcPr>
          <w:p w:rsidR="00000000" w:rsidDel="00000000" w:rsidP="00000000" w:rsidRDefault="00000000" w:rsidRPr="00000000" w14:paraId="00000167">
            <w:pPr>
              <w:jc w:val="center"/>
              <w:rPr>
                <w:color w:val="000000"/>
              </w:rPr>
            </w:pPr>
            <w:r w:rsidDel="00000000" w:rsidR="00000000" w:rsidRPr="00000000">
              <w:rPr>
                <w:color w:val="000000"/>
                <w:rtl w:val="0"/>
              </w:rPr>
              <w:t xml:space="preserve">8</w:t>
            </w:r>
          </w:p>
        </w:tc>
        <w:tc>
          <w:tcPr>
            <w:tcBorders>
              <w:top w:color="000000" w:space="0" w:sz="4" w:val="single"/>
              <w:left w:color="000000" w:space="0" w:sz="4" w:val="single"/>
              <w:bottom w:color="000000" w:space="0" w:sz="4" w:val="single"/>
              <w:right w:color="000000" w:space="0" w:sz="4" w:val="single"/>
            </w:tcBorders>
            <w:tcMar>
              <w:top w:w="15.0" w:type="dxa"/>
              <w:left w:w="15.0" w:type="dxa"/>
              <w:right w:w="15.0" w:type="dxa"/>
            </w:tcMar>
            <w:vAlign w:val="center"/>
          </w:tcPr>
          <w:p w:rsidR="00000000" w:rsidDel="00000000" w:rsidP="00000000" w:rsidRDefault="00000000" w:rsidRPr="00000000" w14:paraId="00000168">
            <w:pPr>
              <w:jc w:val="center"/>
              <w:rPr>
                <w:color w:val="000000"/>
              </w:rPr>
            </w:pPr>
            <w:r w:rsidDel="00000000" w:rsidR="00000000" w:rsidRPr="00000000">
              <w:rPr>
                <w:color w:val="000000"/>
                <w:rtl w:val="0"/>
              </w:rPr>
              <w:t xml:space="preserve">2</w:t>
            </w:r>
          </w:p>
        </w:tc>
      </w:tr>
      <w:tr>
        <w:trPr>
          <w:cantSplit w:val="0"/>
          <w:trHeight w:val="675" w:hRule="atLeast"/>
          <w:tblHeader w:val="0"/>
        </w:trPr>
        <w:tc>
          <w:tcPr>
            <w:tcBorders>
              <w:top w:color="000000" w:space="0" w:sz="4" w:val="single"/>
              <w:left w:color="000000" w:space="0" w:sz="4" w:val="single"/>
              <w:bottom w:color="000000" w:space="0" w:sz="4" w:val="single"/>
              <w:right w:color="000000" w:space="0" w:sz="4" w:val="single"/>
            </w:tcBorders>
            <w:tcMar>
              <w:top w:w="15.0" w:type="dxa"/>
              <w:left w:w="15.0" w:type="dxa"/>
              <w:right w:w="15.0" w:type="dxa"/>
            </w:tcMar>
          </w:tcPr>
          <w:p w:rsidR="00000000" w:rsidDel="00000000" w:rsidP="00000000" w:rsidRDefault="00000000" w:rsidRPr="00000000" w14:paraId="00000169">
            <w:pPr>
              <w:jc w:val="center"/>
              <w:rPr>
                <w:color w:val="000000"/>
              </w:rPr>
            </w:pPr>
            <w:r w:rsidDel="00000000" w:rsidR="00000000" w:rsidRPr="00000000">
              <w:rPr>
                <w:color w:val="000000"/>
                <w:rtl w:val="0"/>
              </w:rPr>
              <w:t xml:space="preserve">4.Connect and spend time with people you like.</w:t>
            </w:r>
          </w:p>
        </w:tc>
        <w:tc>
          <w:tcPr>
            <w:tcBorders>
              <w:top w:color="000000" w:space="0" w:sz="4" w:val="single"/>
              <w:left w:color="000000" w:space="0" w:sz="4" w:val="single"/>
              <w:bottom w:color="000000" w:space="0" w:sz="4" w:val="single"/>
              <w:right w:color="000000" w:space="0" w:sz="4" w:val="single"/>
            </w:tcBorders>
            <w:tcMar>
              <w:top w:w="15.0" w:type="dxa"/>
              <w:left w:w="15.0" w:type="dxa"/>
              <w:right w:w="15.0" w:type="dxa"/>
            </w:tcMar>
            <w:vAlign w:val="center"/>
          </w:tcPr>
          <w:p w:rsidR="00000000" w:rsidDel="00000000" w:rsidP="00000000" w:rsidRDefault="00000000" w:rsidRPr="00000000" w14:paraId="0000016A">
            <w:pPr>
              <w:jc w:val="center"/>
              <w:rPr>
                <w:color w:val="000000"/>
              </w:rPr>
            </w:pPr>
            <w:r w:rsidDel="00000000" w:rsidR="00000000" w:rsidRPr="00000000">
              <w:rPr>
                <w:color w:val="000000"/>
                <w:rtl w:val="0"/>
              </w:rPr>
              <w:t xml:space="preserve">3</w:t>
            </w:r>
          </w:p>
        </w:tc>
        <w:tc>
          <w:tcPr>
            <w:tcBorders>
              <w:top w:color="000000" w:space="0" w:sz="4" w:val="single"/>
              <w:left w:color="000000" w:space="0" w:sz="4" w:val="single"/>
              <w:bottom w:color="000000" w:space="0" w:sz="4" w:val="single"/>
              <w:right w:color="000000" w:space="0" w:sz="4" w:val="single"/>
            </w:tcBorders>
            <w:tcMar>
              <w:top w:w="15.0" w:type="dxa"/>
              <w:left w:w="15.0" w:type="dxa"/>
              <w:right w:w="15.0" w:type="dxa"/>
            </w:tcMar>
            <w:vAlign w:val="center"/>
          </w:tcPr>
          <w:p w:rsidR="00000000" w:rsidDel="00000000" w:rsidP="00000000" w:rsidRDefault="00000000" w:rsidRPr="00000000" w14:paraId="0000016B">
            <w:pPr>
              <w:jc w:val="center"/>
              <w:rPr>
                <w:color w:val="000000"/>
              </w:rPr>
            </w:pPr>
            <w:r w:rsidDel="00000000" w:rsidR="00000000" w:rsidRPr="00000000">
              <w:rPr>
                <w:color w:val="000000"/>
                <w:rtl w:val="0"/>
              </w:rPr>
              <w:t xml:space="preserve">18</w:t>
            </w:r>
          </w:p>
        </w:tc>
        <w:tc>
          <w:tcPr>
            <w:tcBorders>
              <w:top w:color="000000" w:space="0" w:sz="4" w:val="single"/>
              <w:left w:color="000000" w:space="0" w:sz="4" w:val="single"/>
              <w:bottom w:color="000000" w:space="0" w:sz="4" w:val="single"/>
              <w:right w:color="000000" w:space="0" w:sz="4" w:val="single"/>
            </w:tcBorders>
            <w:tcMar>
              <w:top w:w="15.0" w:type="dxa"/>
              <w:left w:w="15.0" w:type="dxa"/>
              <w:right w:w="15.0" w:type="dxa"/>
            </w:tcMar>
            <w:vAlign w:val="center"/>
          </w:tcPr>
          <w:p w:rsidR="00000000" w:rsidDel="00000000" w:rsidP="00000000" w:rsidRDefault="00000000" w:rsidRPr="00000000" w14:paraId="0000016C">
            <w:pPr>
              <w:jc w:val="center"/>
              <w:rPr>
                <w:color w:val="000000"/>
              </w:rPr>
            </w:pPr>
            <w:r w:rsidDel="00000000" w:rsidR="00000000" w:rsidRPr="00000000">
              <w:rPr>
                <w:color w:val="000000"/>
                <w:rtl w:val="0"/>
              </w:rPr>
              <w:t xml:space="preserve">7</w:t>
            </w:r>
          </w:p>
        </w:tc>
        <w:tc>
          <w:tcPr>
            <w:tcBorders>
              <w:top w:color="000000" w:space="0" w:sz="4" w:val="single"/>
              <w:left w:color="000000" w:space="0" w:sz="4" w:val="single"/>
              <w:bottom w:color="000000" w:space="0" w:sz="4" w:val="single"/>
              <w:right w:color="000000" w:space="0" w:sz="4" w:val="single"/>
            </w:tcBorders>
            <w:tcMar>
              <w:top w:w="15.0" w:type="dxa"/>
              <w:left w:w="15.0" w:type="dxa"/>
              <w:right w:w="15.0" w:type="dxa"/>
            </w:tcMar>
            <w:vAlign w:val="center"/>
          </w:tcPr>
          <w:p w:rsidR="00000000" w:rsidDel="00000000" w:rsidP="00000000" w:rsidRDefault="00000000" w:rsidRPr="00000000" w14:paraId="0000016D">
            <w:pPr>
              <w:jc w:val="center"/>
              <w:rPr>
                <w:color w:val="000000"/>
              </w:rPr>
            </w:pPr>
            <w:r w:rsidDel="00000000" w:rsidR="00000000" w:rsidRPr="00000000">
              <w:rPr>
                <w:color w:val="000000"/>
                <w:rtl w:val="0"/>
              </w:rPr>
              <w:t xml:space="preserve">8</w:t>
            </w:r>
          </w:p>
        </w:tc>
        <w:tc>
          <w:tcPr>
            <w:tcBorders>
              <w:top w:color="000000" w:space="0" w:sz="4" w:val="single"/>
              <w:left w:color="000000" w:space="0" w:sz="4" w:val="single"/>
              <w:bottom w:color="000000" w:space="0" w:sz="4" w:val="single"/>
              <w:right w:color="000000" w:space="0" w:sz="4" w:val="single"/>
            </w:tcBorders>
            <w:tcMar>
              <w:top w:w="15.0" w:type="dxa"/>
              <w:left w:w="15.0" w:type="dxa"/>
              <w:right w:w="15.0" w:type="dxa"/>
            </w:tcMar>
            <w:vAlign w:val="center"/>
          </w:tcPr>
          <w:p w:rsidR="00000000" w:rsidDel="00000000" w:rsidP="00000000" w:rsidRDefault="00000000" w:rsidRPr="00000000" w14:paraId="0000016E">
            <w:pPr>
              <w:jc w:val="center"/>
              <w:rPr>
                <w:color w:val="000000"/>
              </w:rPr>
            </w:pPr>
            <w:r w:rsidDel="00000000" w:rsidR="00000000" w:rsidRPr="00000000">
              <w:rPr>
                <w:color w:val="000000"/>
                <w:rtl w:val="0"/>
              </w:rPr>
              <w:t xml:space="preserve">3</w:t>
            </w:r>
          </w:p>
        </w:tc>
        <w:tc>
          <w:tcPr>
            <w:tcBorders>
              <w:top w:color="000000" w:space="0" w:sz="4" w:val="single"/>
              <w:left w:color="000000" w:space="0" w:sz="4" w:val="single"/>
              <w:bottom w:color="000000" w:space="0" w:sz="4" w:val="single"/>
              <w:right w:color="000000" w:space="0" w:sz="4" w:val="single"/>
            </w:tcBorders>
            <w:tcMar>
              <w:top w:w="15.0" w:type="dxa"/>
              <w:left w:w="15.0" w:type="dxa"/>
              <w:right w:w="15.0" w:type="dxa"/>
            </w:tcMar>
            <w:vAlign w:val="center"/>
          </w:tcPr>
          <w:p w:rsidR="00000000" w:rsidDel="00000000" w:rsidP="00000000" w:rsidRDefault="00000000" w:rsidRPr="00000000" w14:paraId="0000016F">
            <w:pPr>
              <w:jc w:val="center"/>
              <w:rPr>
                <w:color w:val="000000"/>
              </w:rPr>
            </w:pPr>
            <w:r w:rsidDel="00000000" w:rsidR="00000000" w:rsidRPr="00000000">
              <w:rPr>
                <w:color w:val="000000"/>
                <w:rtl w:val="0"/>
              </w:rPr>
              <w:t xml:space="preserve">17</w:t>
            </w:r>
          </w:p>
        </w:tc>
        <w:tc>
          <w:tcPr>
            <w:tcBorders>
              <w:top w:color="000000" w:space="0" w:sz="4" w:val="single"/>
              <w:left w:color="000000" w:space="0" w:sz="4" w:val="single"/>
              <w:bottom w:color="000000" w:space="0" w:sz="4" w:val="single"/>
              <w:right w:color="000000" w:space="0" w:sz="4" w:val="single"/>
            </w:tcBorders>
            <w:tcMar>
              <w:top w:w="15.0" w:type="dxa"/>
              <w:left w:w="15.0" w:type="dxa"/>
              <w:right w:w="15.0" w:type="dxa"/>
            </w:tcMar>
            <w:vAlign w:val="center"/>
          </w:tcPr>
          <w:p w:rsidR="00000000" w:rsidDel="00000000" w:rsidP="00000000" w:rsidRDefault="00000000" w:rsidRPr="00000000" w14:paraId="00000170">
            <w:pPr>
              <w:jc w:val="center"/>
              <w:rPr>
                <w:color w:val="000000"/>
              </w:rPr>
            </w:pPr>
            <w:r w:rsidDel="00000000" w:rsidR="00000000" w:rsidRPr="00000000">
              <w:rPr>
                <w:color w:val="000000"/>
                <w:rtl w:val="0"/>
              </w:rPr>
              <w:t xml:space="preserve">12</w:t>
            </w:r>
          </w:p>
        </w:tc>
        <w:tc>
          <w:tcPr>
            <w:tcBorders>
              <w:top w:color="000000" w:space="0" w:sz="4" w:val="single"/>
              <w:left w:color="000000" w:space="0" w:sz="4" w:val="single"/>
              <w:bottom w:color="000000" w:space="0" w:sz="4" w:val="single"/>
              <w:right w:color="000000" w:space="0" w:sz="4" w:val="single"/>
            </w:tcBorders>
            <w:tcMar>
              <w:top w:w="15.0" w:type="dxa"/>
              <w:left w:w="15.0" w:type="dxa"/>
              <w:right w:w="15.0" w:type="dxa"/>
            </w:tcMar>
            <w:vAlign w:val="center"/>
          </w:tcPr>
          <w:p w:rsidR="00000000" w:rsidDel="00000000" w:rsidP="00000000" w:rsidRDefault="00000000" w:rsidRPr="00000000" w14:paraId="00000171">
            <w:pPr>
              <w:jc w:val="center"/>
              <w:rPr>
                <w:color w:val="000000"/>
              </w:rPr>
            </w:pPr>
            <w:r w:rsidDel="00000000" w:rsidR="00000000" w:rsidRPr="00000000">
              <w:rPr>
                <w:color w:val="000000"/>
                <w:rtl w:val="0"/>
              </w:rPr>
              <w:t xml:space="preserve">4</w:t>
            </w:r>
          </w:p>
        </w:tc>
      </w:tr>
      <w:tr>
        <w:trPr>
          <w:cantSplit w:val="0"/>
          <w:trHeight w:val="435" w:hRule="atLeast"/>
          <w:tblHeader w:val="0"/>
        </w:trPr>
        <w:tc>
          <w:tcPr>
            <w:tcBorders>
              <w:top w:color="000000" w:space="0" w:sz="4" w:val="single"/>
              <w:left w:color="000000" w:space="0" w:sz="4" w:val="single"/>
              <w:bottom w:color="000000" w:space="0" w:sz="4" w:val="single"/>
              <w:right w:color="000000" w:space="0" w:sz="4" w:val="single"/>
            </w:tcBorders>
            <w:tcMar>
              <w:top w:w="15.0" w:type="dxa"/>
              <w:left w:w="15.0" w:type="dxa"/>
              <w:right w:w="15.0" w:type="dxa"/>
            </w:tcMar>
          </w:tcPr>
          <w:p w:rsidR="00000000" w:rsidDel="00000000" w:rsidP="00000000" w:rsidRDefault="00000000" w:rsidRPr="00000000" w14:paraId="00000172">
            <w:pPr>
              <w:jc w:val="center"/>
              <w:rPr>
                <w:color w:val="000000"/>
              </w:rPr>
            </w:pPr>
            <w:r w:rsidDel="00000000" w:rsidR="00000000" w:rsidRPr="00000000">
              <w:rPr>
                <w:color w:val="000000"/>
                <w:rtl w:val="0"/>
              </w:rPr>
              <w:t xml:space="preserve">5. Seek help</w:t>
            </w:r>
          </w:p>
        </w:tc>
        <w:tc>
          <w:tcPr>
            <w:tcBorders>
              <w:top w:color="000000" w:space="0" w:sz="4" w:val="single"/>
              <w:left w:color="000000" w:space="0" w:sz="4" w:val="single"/>
              <w:bottom w:color="000000" w:space="0" w:sz="4" w:val="single"/>
              <w:right w:color="000000" w:space="0" w:sz="4" w:val="single"/>
            </w:tcBorders>
            <w:tcMar>
              <w:top w:w="15.0" w:type="dxa"/>
              <w:left w:w="15.0" w:type="dxa"/>
              <w:right w:w="15.0" w:type="dxa"/>
            </w:tcMar>
            <w:vAlign w:val="center"/>
          </w:tcPr>
          <w:p w:rsidR="00000000" w:rsidDel="00000000" w:rsidP="00000000" w:rsidRDefault="00000000" w:rsidRPr="00000000" w14:paraId="00000173">
            <w:pPr>
              <w:jc w:val="center"/>
              <w:rPr>
                <w:color w:val="000000"/>
              </w:rPr>
            </w:pPr>
            <w:r w:rsidDel="00000000" w:rsidR="00000000" w:rsidRPr="00000000">
              <w:rPr>
                <w:color w:val="000000"/>
                <w:rtl w:val="0"/>
              </w:rPr>
              <w:t xml:space="preserve">16</w:t>
            </w:r>
          </w:p>
        </w:tc>
        <w:tc>
          <w:tcPr>
            <w:tcBorders>
              <w:top w:color="000000" w:space="0" w:sz="4" w:val="single"/>
              <w:left w:color="000000" w:space="0" w:sz="4" w:val="single"/>
              <w:bottom w:color="000000" w:space="0" w:sz="4" w:val="single"/>
              <w:right w:color="000000" w:space="0" w:sz="4" w:val="single"/>
            </w:tcBorders>
            <w:tcMar>
              <w:top w:w="15.0" w:type="dxa"/>
              <w:left w:w="15.0" w:type="dxa"/>
              <w:right w:w="15.0" w:type="dxa"/>
            </w:tcMar>
            <w:vAlign w:val="center"/>
          </w:tcPr>
          <w:p w:rsidR="00000000" w:rsidDel="00000000" w:rsidP="00000000" w:rsidRDefault="00000000" w:rsidRPr="00000000" w14:paraId="00000174">
            <w:pPr>
              <w:jc w:val="center"/>
              <w:rPr>
                <w:color w:val="000000"/>
              </w:rPr>
            </w:pPr>
            <w:r w:rsidDel="00000000" w:rsidR="00000000" w:rsidRPr="00000000">
              <w:rPr>
                <w:color w:val="000000"/>
                <w:rtl w:val="0"/>
              </w:rPr>
              <w:t xml:space="preserve">16</w:t>
            </w:r>
          </w:p>
        </w:tc>
        <w:tc>
          <w:tcPr>
            <w:tcBorders>
              <w:top w:color="000000" w:space="0" w:sz="4" w:val="single"/>
              <w:left w:color="000000" w:space="0" w:sz="4" w:val="single"/>
              <w:bottom w:color="000000" w:space="0" w:sz="4" w:val="single"/>
              <w:right w:color="000000" w:space="0" w:sz="4" w:val="single"/>
            </w:tcBorders>
            <w:tcMar>
              <w:top w:w="15.0" w:type="dxa"/>
              <w:left w:w="15.0" w:type="dxa"/>
              <w:right w:w="15.0" w:type="dxa"/>
            </w:tcMar>
            <w:vAlign w:val="center"/>
          </w:tcPr>
          <w:p w:rsidR="00000000" w:rsidDel="00000000" w:rsidP="00000000" w:rsidRDefault="00000000" w:rsidRPr="00000000" w14:paraId="00000175">
            <w:pPr>
              <w:jc w:val="center"/>
              <w:rPr>
                <w:color w:val="000000"/>
              </w:rPr>
            </w:pPr>
            <w:r w:rsidDel="00000000" w:rsidR="00000000" w:rsidRPr="00000000">
              <w:rPr>
                <w:color w:val="000000"/>
                <w:rtl w:val="0"/>
              </w:rPr>
              <w:t xml:space="preserve">4</w:t>
            </w:r>
          </w:p>
        </w:tc>
        <w:tc>
          <w:tcPr>
            <w:tcBorders>
              <w:top w:color="000000" w:space="0" w:sz="4" w:val="single"/>
              <w:left w:color="000000" w:space="0" w:sz="4" w:val="single"/>
              <w:bottom w:color="000000" w:space="0" w:sz="4" w:val="single"/>
              <w:right w:color="000000" w:space="0" w:sz="4" w:val="single"/>
            </w:tcBorders>
            <w:tcMar>
              <w:top w:w="15.0" w:type="dxa"/>
              <w:left w:w="15.0" w:type="dxa"/>
              <w:right w:w="15.0" w:type="dxa"/>
            </w:tcMar>
            <w:vAlign w:val="center"/>
          </w:tcPr>
          <w:p w:rsidR="00000000" w:rsidDel="00000000" w:rsidP="00000000" w:rsidRDefault="00000000" w:rsidRPr="00000000" w14:paraId="00000176">
            <w:pPr>
              <w:jc w:val="center"/>
              <w:rPr>
                <w:color w:val="000000"/>
              </w:rPr>
            </w:pPr>
            <w:r w:rsidDel="00000000" w:rsidR="00000000" w:rsidRPr="00000000">
              <w:rPr>
                <w:color w:val="000000"/>
                <w:rtl w:val="0"/>
              </w:rPr>
              <w:t xml:space="preserve">0</w:t>
            </w:r>
          </w:p>
        </w:tc>
        <w:tc>
          <w:tcPr>
            <w:tcBorders>
              <w:top w:color="000000" w:space="0" w:sz="4" w:val="single"/>
              <w:left w:color="000000" w:space="0" w:sz="4" w:val="single"/>
              <w:bottom w:color="000000" w:space="0" w:sz="4" w:val="single"/>
              <w:right w:color="000000" w:space="0" w:sz="4" w:val="single"/>
            </w:tcBorders>
            <w:tcMar>
              <w:top w:w="15.0" w:type="dxa"/>
              <w:left w:w="15.0" w:type="dxa"/>
              <w:right w:w="15.0" w:type="dxa"/>
            </w:tcMar>
            <w:vAlign w:val="center"/>
          </w:tcPr>
          <w:p w:rsidR="00000000" w:rsidDel="00000000" w:rsidP="00000000" w:rsidRDefault="00000000" w:rsidRPr="00000000" w14:paraId="00000177">
            <w:pPr>
              <w:jc w:val="center"/>
              <w:rPr>
                <w:color w:val="000000"/>
              </w:rPr>
            </w:pPr>
            <w:r w:rsidDel="00000000" w:rsidR="00000000" w:rsidRPr="00000000">
              <w:rPr>
                <w:color w:val="000000"/>
                <w:rtl w:val="0"/>
              </w:rPr>
              <w:t xml:space="preserve">13</w:t>
            </w:r>
          </w:p>
        </w:tc>
        <w:tc>
          <w:tcPr>
            <w:tcBorders>
              <w:top w:color="000000" w:space="0" w:sz="4" w:val="single"/>
              <w:left w:color="000000" w:space="0" w:sz="4" w:val="single"/>
              <w:bottom w:color="000000" w:space="0" w:sz="4" w:val="single"/>
              <w:right w:color="000000" w:space="0" w:sz="4" w:val="single"/>
            </w:tcBorders>
            <w:tcMar>
              <w:top w:w="15.0" w:type="dxa"/>
              <w:left w:w="15.0" w:type="dxa"/>
              <w:right w:w="15.0" w:type="dxa"/>
            </w:tcMar>
            <w:vAlign w:val="center"/>
          </w:tcPr>
          <w:p w:rsidR="00000000" w:rsidDel="00000000" w:rsidP="00000000" w:rsidRDefault="00000000" w:rsidRPr="00000000" w14:paraId="00000178">
            <w:pPr>
              <w:jc w:val="center"/>
              <w:rPr>
                <w:color w:val="000000"/>
              </w:rPr>
            </w:pPr>
            <w:r w:rsidDel="00000000" w:rsidR="00000000" w:rsidRPr="00000000">
              <w:rPr>
                <w:color w:val="000000"/>
                <w:rtl w:val="0"/>
              </w:rPr>
              <w:t xml:space="preserve">21</w:t>
            </w:r>
          </w:p>
        </w:tc>
        <w:tc>
          <w:tcPr>
            <w:tcBorders>
              <w:top w:color="000000" w:space="0" w:sz="4" w:val="single"/>
              <w:left w:color="000000" w:space="0" w:sz="4" w:val="single"/>
              <w:bottom w:color="000000" w:space="0" w:sz="4" w:val="single"/>
              <w:right w:color="000000" w:space="0" w:sz="4" w:val="single"/>
            </w:tcBorders>
            <w:tcMar>
              <w:top w:w="15.0" w:type="dxa"/>
              <w:left w:w="15.0" w:type="dxa"/>
              <w:right w:w="15.0" w:type="dxa"/>
            </w:tcMar>
            <w:vAlign w:val="center"/>
          </w:tcPr>
          <w:p w:rsidR="00000000" w:rsidDel="00000000" w:rsidP="00000000" w:rsidRDefault="00000000" w:rsidRPr="00000000" w14:paraId="00000179">
            <w:pPr>
              <w:jc w:val="center"/>
              <w:rPr>
                <w:color w:val="000000"/>
              </w:rPr>
            </w:pPr>
            <w:r w:rsidDel="00000000" w:rsidR="00000000" w:rsidRPr="00000000">
              <w:rPr>
                <w:color w:val="000000"/>
                <w:rtl w:val="0"/>
              </w:rPr>
              <w:t xml:space="preserve">2</w:t>
            </w:r>
          </w:p>
        </w:tc>
        <w:tc>
          <w:tcPr>
            <w:tcBorders>
              <w:top w:color="000000" w:space="0" w:sz="4" w:val="single"/>
              <w:left w:color="000000" w:space="0" w:sz="4" w:val="single"/>
              <w:bottom w:color="000000" w:space="0" w:sz="4" w:val="single"/>
              <w:right w:color="000000" w:space="0" w:sz="4" w:val="single"/>
            </w:tcBorders>
            <w:tcMar>
              <w:top w:w="15.0" w:type="dxa"/>
              <w:left w:w="15.0" w:type="dxa"/>
              <w:right w:w="15.0" w:type="dxa"/>
            </w:tcMar>
            <w:vAlign w:val="center"/>
          </w:tcPr>
          <w:p w:rsidR="00000000" w:rsidDel="00000000" w:rsidP="00000000" w:rsidRDefault="00000000" w:rsidRPr="00000000" w14:paraId="0000017A">
            <w:pPr>
              <w:jc w:val="center"/>
              <w:rPr>
                <w:color w:val="000000"/>
              </w:rPr>
            </w:pPr>
            <w:r w:rsidDel="00000000" w:rsidR="00000000" w:rsidRPr="00000000">
              <w:rPr>
                <w:color w:val="000000"/>
                <w:rtl w:val="0"/>
              </w:rPr>
              <w:t xml:space="preserve">0</w:t>
            </w:r>
          </w:p>
        </w:tc>
      </w:tr>
    </w:tbl>
    <w:p w:rsidR="00000000" w:rsidDel="00000000" w:rsidP="00000000" w:rsidRDefault="00000000" w:rsidRPr="00000000" w14:paraId="0000017B">
      <w:pPr>
        <w:spacing w:after="60" w:before="240" w:line="228" w:lineRule="auto"/>
        <w:rPr>
          <w:strike w:val="1"/>
          <w:highlight w:val="yellow"/>
        </w:rPr>
      </w:pPr>
      <w:r w:rsidDel="00000000" w:rsidR="00000000" w:rsidRPr="00000000">
        <w:rPr>
          <w:rtl w:val="0"/>
        </w:rPr>
      </w:r>
    </w:p>
    <w:p w:rsidR="00000000" w:rsidDel="00000000" w:rsidP="00000000" w:rsidRDefault="00000000" w:rsidRPr="00000000" w14:paraId="0000017C">
      <w:pPr>
        <w:pBdr>
          <w:top w:space="0" w:sz="0" w:val="nil"/>
          <w:left w:space="0" w:sz="0" w:val="nil"/>
          <w:bottom w:space="0" w:sz="0" w:val="nil"/>
          <w:right w:space="0" w:sz="0" w:val="nil"/>
          <w:between w:space="0" w:sz="0" w:val="nil"/>
        </w:pBdr>
        <w:spacing w:after="60" w:before="240" w:line="228" w:lineRule="auto"/>
        <w:ind w:firstLine="720"/>
        <w:rPr>
          <w:b w:val="1"/>
        </w:rPr>
      </w:pPr>
      <w:r w:rsidDel="00000000" w:rsidR="00000000" w:rsidRPr="00000000">
        <w:rPr>
          <w:rtl w:val="0"/>
        </w:rPr>
        <w:t xml:space="preserve">               </w:t>
      </w:r>
      <w:r w:rsidDel="00000000" w:rsidR="00000000" w:rsidRPr="00000000">
        <w:rPr>
          <w:b w:val="1"/>
          <w:rtl w:val="0"/>
        </w:rPr>
        <w:t xml:space="preserve">4. Discussion</w:t>
      </w:r>
    </w:p>
    <w:p w:rsidR="00000000" w:rsidDel="00000000" w:rsidP="00000000" w:rsidRDefault="00000000" w:rsidRPr="00000000" w14:paraId="0000017D">
      <w:pPr>
        <w:pBdr>
          <w:top w:space="0" w:sz="0" w:val="nil"/>
          <w:left w:space="0" w:sz="0" w:val="nil"/>
          <w:bottom w:space="0" w:sz="0" w:val="nil"/>
          <w:right w:space="0" w:sz="0" w:val="nil"/>
          <w:between w:space="0" w:sz="0" w:val="nil"/>
        </w:pBdr>
        <w:spacing w:line="228" w:lineRule="auto"/>
        <w:ind w:firstLine="720"/>
        <w:rPr>
          <w:highlight w:val="yellow"/>
        </w:rPr>
      </w:pPr>
      <w:r w:rsidDel="00000000" w:rsidR="00000000" w:rsidRPr="00000000">
        <w:rPr>
          <w:rtl w:val="0"/>
        </w:rPr>
        <w:t xml:space="preserve">                    Findings from this single-group pilot study enhance our comprehension of resilience, well-being, and burnout among HCWs. These findings are instrumental in the creation of targeted interventions aimed at fostering a resilient healthcare workforce. The study highlights the necessity for evidence-based interventions at both individual and systems levels to mitigate burnout and foster resilience and well-being. These insights could be pivotal in addressing crucial aspects of the work environment.</w:t>
      </w:r>
      <w:r w:rsidDel="00000000" w:rsidR="00000000" w:rsidRPr="00000000">
        <w:rPr>
          <w:rtl w:val="0"/>
        </w:rPr>
      </w:r>
    </w:p>
    <w:p w:rsidR="00000000" w:rsidDel="00000000" w:rsidP="00000000" w:rsidRDefault="00000000" w:rsidRPr="00000000" w14:paraId="0000017E">
      <w:pPr>
        <w:pBdr>
          <w:top w:space="0" w:sz="0" w:val="nil"/>
          <w:left w:space="0" w:sz="0" w:val="nil"/>
          <w:bottom w:space="0" w:sz="0" w:val="nil"/>
          <w:right w:space="0" w:sz="0" w:val="nil"/>
          <w:between w:space="0" w:sz="0" w:val="nil"/>
        </w:pBdr>
        <w:spacing w:line="228" w:lineRule="auto"/>
        <w:ind w:firstLine="720"/>
        <w:rPr/>
      </w:pPr>
      <w:r w:rsidDel="00000000" w:rsidR="00000000" w:rsidRPr="00000000">
        <w:rPr>
          <w:rtl w:val="0"/>
        </w:rPr>
        <w:t xml:space="preserve">The quantitative data revealed 1% increase in resilience among healthcare workers from pre- to post-intervention. While this suggests a positive trend, further research is needed to determine the significance of this change and its implications for overall resilience and the healthcare system.</w:t>
      </w:r>
    </w:p>
    <w:p w:rsidR="00000000" w:rsidDel="00000000" w:rsidP="00000000" w:rsidRDefault="00000000" w:rsidRPr="00000000" w14:paraId="0000017F">
      <w:pPr>
        <w:pBdr>
          <w:top w:space="0" w:sz="0" w:val="nil"/>
          <w:left w:space="0" w:sz="0" w:val="nil"/>
          <w:bottom w:space="0" w:sz="0" w:val="nil"/>
          <w:right w:space="0" w:sz="0" w:val="nil"/>
          <w:between w:space="0" w:sz="0" w:val="nil"/>
        </w:pBdr>
        <w:spacing w:line="228" w:lineRule="auto"/>
        <w:rPr/>
      </w:pPr>
      <w:r w:rsidDel="00000000" w:rsidR="00000000" w:rsidRPr="00000000">
        <w:rPr>
          <w:rtl w:val="0"/>
        </w:rPr>
        <w:t xml:space="preserve">Despite positive user feedback, the app failed to significantly improve well-being or burnout among healthcare workers. This suggests that a more comprehensive approach, including organizational support in addition to the use of the app, may be necessary to address these complex issues effectively.</w:t>
      </w:r>
    </w:p>
    <w:p w:rsidR="00000000" w:rsidDel="00000000" w:rsidP="00000000" w:rsidRDefault="00000000" w:rsidRPr="00000000" w14:paraId="00000180">
      <w:pPr>
        <w:pBdr>
          <w:top w:space="0" w:sz="0" w:val="nil"/>
          <w:left w:space="0" w:sz="0" w:val="nil"/>
          <w:bottom w:space="0" w:sz="0" w:val="nil"/>
          <w:right w:space="0" w:sz="0" w:val="nil"/>
          <w:between w:space="0" w:sz="0" w:val="nil"/>
        </w:pBdr>
        <w:spacing w:line="228" w:lineRule="auto"/>
        <w:rPr>
          <w:strike w:val="1"/>
        </w:rPr>
      </w:pPr>
      <w:r w:rsidDel="00000000" w:rsidR="00000000" w:rsidRPr="00000000">
        <w:rPr>
          <w:rtl w:val="0"/>
        </w:rPr>
        <w:t xml:space="preserve">Another possible explanation is the duration of the study (6 months). A longer intervention might be necessary to observe more substantial changes in resilience, well-being, and burnout.      </w:t>
      </w:r>
      <w:r w:rsidDel="00000000" w:rsidR="00000000" w:rsidRPr="00000000">
        <w:rPr>
          <w:rtl w:val="0"/>
        </w:rPr>
      </w:r>
    </w:p>
    <w:p w:rsidR="00000000" w:rsidDel="00000000" w:rsidP="00000000" w:rsidRDefault="00000000" w:rsidRPr="00000000" w14:paraId="00000181">
      <w:pPr>
        <w:pBdr>
          <w:top w:space="0" w:sz="0" w:val="nil"/>
          <w:left w:space="0" w:sz="0" w:val="nil"/>
          <w:bottom w:space="0" w:sz="0" w:val="nil"/>
          <w:right w:space="0" w:sz="0" w:val="nil"/>
          <w:between w:space="0" w:sz="0" w:val="nil"/>
        </w:pBdr>
        <w:spacing w:line="228" w:lineRule="auto"/>
        <w:rPr/>
      </w:pPr>
      <w:r w:rsidDel="00000000" w:rsidR="00000000" w:rsidRPr="00000000">
        <w:rPr>
          <w:rtl w:val="0"/>
        </w:rPr>
        <w:t xml:space="preserve">The other fact to consider is the effectiveness of screen-based solutions especially given concerns about screen time overload.</w:t>
      </w:r>
    </w:p>
    <w:p w:rsidR="00000000" w:rsidDel="00000000" w:rsidP="00000000" w:rsidRDefault="00000000" w:rsidRPr="00000000" w14:paraId="00000182">
      <w:pPr>
        <w:pBdr>
          <w:top w:space="0" w:sz="0" w:val="nil"/>
          <w:left w:space="0" w:sz="0" w:val="nil"/>
          <w:bottom w:space="0" w:sz="0" w:val="nil"/>
          <w:right w:space="0" w:sz="0" w:val="nil"/>
          <w:between w:space="0" w:sz="0" w:val="nil"/>
        </w:pBdr>
        <w:spacing w:line="228" w:lineRule="auto"/>
        <w:rPr/>
      </w:pPr>
      <w:r w:rsidDel="00000000" w:rsidR="00000000" w:rsidRPr="00000000">
        <w:rPr>
          <w:rtl w:val="0"/>
        </w:rPr>
        <w:t xml:space="preserve">Despite a considerable number of dropouts and not being a fully empowered or randomized study, the sample analyzed is still meaningful and offers insights with respect to future direction with this line of inquiry. There was no concern about the understanding of the questions from the participants because we used validated scales and index for Brazil and all other questions of the questionnaires were culturally translated. All messages sent by the app were driven by the evidence-based messaging program. These findings, large number of dropouts, slight increase in resilience and no changes in well-being or burnout suggest that it may be worth refining the mHealth app and/or the intervention (e.g., duration, engagement) to better understand if this low-cost, evidence-based, scalable app can be effectively used to improve resilience and well-being and reduce burnout among HCWs. It remains unknown who might benefit from using the mHealth app and when, leaving us with an open door for additional research.  However, the need for more tools and knowledge for HCWs to cope with their stressful environment is certain. The overall sample mostly included HCWs with low well-being at baseline, future studies including a larger sample size with varied levels of well-being (at baseline) driven by more robust recruitment efforts may be beneficial for greater understanding of the.</w:t>
      </w:r>
    </w:p>
    <w:p w:rsidR="00000000" w:rsidDel="00000000" w:rsidP="00000000" w:rsidRDefault="00000000" w:rsidRPr="00000000" w14:paraId="00000183">
      <w:pPr>
        <w:pBdr>
          <w:top w:space="0" w:sz="0" w:val="nil"/>
          <w:left w:space="0" w:sz="0" w:val="nil"/>
          <w:bottom w:space="0" w:sz="0" w:val="nil"/>
          <w:right w:space="0" w:sz="0" w:val="nil"/>
          <w:between w:space="0" w:sz="0" w:val="nil"/>
        </w:pBdr>
        <w:spacing w:line="228" w:lineRule="auto"/>
        <w:ind w:firstLine="720"/>
        <w:rPr>
          <w:strike w:val="1"/>
        </w:rPr>
      </w:pPr>
      <w:r w:rsidDel="00000000" w:rsidR="00000000" w:rsidRPr="00000000">
        <w:rPr>
          <w:rtl w:val="0"/>
        </w:rPr>
        <w:t xml:space="preserve">It is imperative to create a supportive environment that enables HCWs to thrive and better serve patients and families. As technology continues to evolve and become more accessible, it’s tempting to believe that these advancements could assist HCWs in managing burnout, stress, and enhancing resilience. However, the current single-group pilot study did not demonstrate any improvement in well-being or reduced burnout, despite showing trends in the right direction for increased resilience.      </w:t>
      </w:r>
      <w:r w:rsidDel="00000000" w:rsidR="00000000" w:rsidRPr="00000000">
        <w:rPr>
          <w:rtl w:val="0"/>
        </w:rPr>
      </w:r>
    </w:p>
    <w:p w:rsidR="00000000" w:rsidDel="00000000" w:rsidP="00000000" w:rsidRDefault="00000000" w:rsidRPr="00000000" w14:paraId="00000184">
      <w:pPr>
        <w:pBdr>
          <w:top w:space="0" w:sz="0" w:val="nil"/>
          <w:left w:space="0" w:sz="0" w:val="nil"/>
          <w:bottom w:space="0" w:sz="0" w:val="nil"/>
          <w:right w:space="0" w:sz="0" w:val="nil"/>
          <w:between w:space="0" w:sz="0" w:val="nil"/>
        </w:pBdr>
        <w:spacing w:line="228" w:lineRule="auto"/>
        <w:rPr/>
      </w:pPr>
      <w:r w:rsidDel="00000000" w:rsidR="00000000" w:rsidRPr="00000000">
        <w:rPr>
          <w:rtl w:val="0"/>
        </w:rPr>
        <w:t xml:space="preserve">It is critical that the goals of increasing resilience and well-being, and reducing burnout, among HCWs are a shared responsibility such that HCWs are supported within and by the healthcare system to care for themselves. This multifaceted approach will best support the sustainability of improved health and well-being for HCWs, patients and the healthcare system structure. While the focus of this study was on the individual level, addressing resilience, well-being, and burnout among healthcare workers also requires a broader organizational perspective. Creating a supportive and sustainable environment is crucial CCA© for the well-being of healthcare professionals and the overall health of the healthcare system.</w:t>
      </w:r>
    </w:p>
    <w:p w:rsidR="00000000" w:rsidDel="00000000" w:rsidP="00000000" w:rsidRDefault="00000000" w:rsidRPr="00000000" w14:paraId="00000185">
      <w:pPr>
        <w:pBdr>
          <w:top w:space="0" w:sz="0" w:val="nil"/>
          <w:left w:space="0" w:sz="0" w:val="nil"/>
          <w:bottom w:space="0" w:sz="0" w:val="nil"/>
          <w:right w:space="0" w:sz="0" w:val="nil"/>
          <w:between w:space="0" w:sz="0" w:val="nil"/>
        </w:pBdr>
        <w:spacing w:line="206" w:lineRule="auto"/>
        <w:rPr/>
      </w:pPr>
      <w:r w:rsidDel="00000000" w:rsidR="00000000" w:rsidRPr="00000000">
        <w:rPr>
          <w:rtl w:val="0"/>
        </w:rPr>
      </w:r>
    </w:p>
    <w:p w:rsidR="00000000" w:rsidDel="00000000" w:rsidP="00000000" w:rsidRDefault="00000000" w:rsidRPr="00000000" w14:paraId="00000186">
      <w:pPr>
        <w:pBdr>
          <w:top w:space="0" w:sz="0" w:val="nil"/>
          <w:left w:space="0" w:sz="0" w:val="nil"/>
          <w:bottom w:space="0" w:sz="0" w:val="nil"/>
          <w:right w:space="0" w:sz="0" w:val="nil"/>
          <w:between w:space="0" w:sz="0" w:val="nil"/>
        </w:pBdr>
        <w:spacing w:line="228" w:lineRule="auto"/>
        <w:rPr/>
      </w:pPr>
      <w:r w:rsidDel="00000000" w:rsidR="00000000" w:rsidRPr="00000000">
        <w:rPr>
          <w:b w:val="1"/>
          <w:rtl w:val="0"/>
        </w:rPr>
        <w:t xml:space="preserve">Conclusion:</w:t>
      </w:r>
      <w:r w:rsidDel="00000000" w:rsidR="00000000" w:rsidRPr="00000000">
        <w:rPr>
          <w:rtl w:val="0"/>
        </w:rPr>
      </w:r>
    </w:p>
    <w:p w:rsidR="00000000" w:rsidDel="00000000" w:rsidP="00000000" w:rsidRDefault="00000000" w:rsidRPr="00000000" w14:paraId="00000187">
      <w:pPr>
        <w:pBdr>
          <w:top w:space="0" w:sz="0" w:val="nil"/>
          <w:left w:space="0" w:sz="0" w:val="nil"/>
          <w:bottom w:space="0" w:sz="0" w:val="nil"/>
          <w:right w:space="0" w:sz="0" w:val="nil"/>
          <w:between w:space="0" w:sz="0" w:val="nil"/>
        </w:pBdr>
        <w:spacing w:line="228" w:lineRule="auto"/>
        <w:ind w:firstLine="720"/>
        <w:rPr/>
      </w:pPr>
      <w:r w:rsidDel="00000000" w:rsidR="00000000" w:rsidRPr="00000000">
        <w:rPr>
          <w:rtl w:val="0"/>
        </w:rPr>
        <w:t xml:space="preserve">This single-group pilot study provides valuable insights into the potential of mHealth interventions for addressing resilience, well-being, and burnout among healthcare workers. However, further research is needed to fully understand the effectiveness of these interventions and to develop evidence-based strategies that can support the well-being of healthcare professionals.</w:t>
      </w:r>
    </w:p>
    <w:p w:rsidR="00000000" w:rsidDel="00000000" w:rsidP="00000000" w:rsidRDefault="00000000" w:rsidRPr="00000000" w14:paraId="00000188">
      <w:pPr>
        <w:pBdr>
          <w:top w:space="0" w:sz="0" w:val="nil"/>
          <w:left w:space="0" w:sz="0" w:val="nil"/>
          <w:bottom w:space="0" w:sz="0" w:val="nil"/>
          <w:right w:space="0" w:sz="0" w:val="nil"/>
          <w:between w:space="0" w:sz="0" w:val="nil"/>
        </w:pBdr>
        <w:spacing w:line="228" w:lineRule="auto"/>
        <w:rPr/>
      </w:pPr>
      <w:r w:rsidDel="00000000" w:rsidR="00000000" w:rsidRPr="00000000">
        <w:rPr>
          <w:rtl w:val="0"/>
        </w:rPr>
      </w:r>
    </w:p>
    <w:p w:rsidR="00000000" w:rsidDel="00000000" w:rsidP="00000000" w:rsidRDefault="00000000" w:rsidRPr="00000000" w14:paraId="00000189">
      <w:pPr>
        <w:pBdr>
          <w:top w:space="0" w:sz="0" w:val="nil"/>
          <w:left w:space="0" w:sz="0" w:val="nil"/>
          <w:bottom w:space="0" w:sz="0" w:val="nil"/>
          <w:right w:space="0" w:sz="0" w:val="nil"/>
          <w:between w:space="0" w:sz="0" w:val="nil"/>
        </w:pBdr>
        <w:spacing w:line="228" w:lineRule="auto"/>
        <w:rPr/>
      </w:pPr>
      <w:r w:rsidDel="00000000" w:rsidR="00000000" w:rsidRPr="00000000">
        <w:rPr>
          <w:rtl w:val="0"/>
        </w:rPr>
      </w:r>
    </w:p>
    <w:p w:rsidR="00000000" w:rsidDel="00000000" w:rsidP="00000000" w:rsidRDefault="00000000" w:rsidRPr="00000000" w14:paraId="0000018A">
      <w:pPr>
        <w:pBdr>
          <w:top w:space="0" w:sz="0" w:val="nil"/>
          <w:left w:space="0" w:sz="0" w:val="nil"/>
          <w:bottom w:space="0" w:sz="0" w:val="nil"/>
          <w:right w:space="0" w:sz="0" w:val="nil"/>
          <w:between w:space="0" w:sz="0" w:val="nil"/>
        </w:pBdr>
        <w:spacing w:line="228" w:lineRule="auto"/>
        <w:ind w:firstLine="720"/>
        <w:rPr>
          <w:i w:val="1"/>
        </w:rPr>
      </w:pPr>
      <w:r w:rsidDel="00000000" w:rsidR="00000000" w:rsidRPr="00000000">
        <w:rPr>
          <w:i w:val="1"/>
          <w:rtl w:val="0"/>
        </w:rPr>
        <w:t xml:space="preserve">Strengths and Limitations</w:t>
      </w:r>
    </w:p>
    <w:p w:rsidR="00000000" w:rsidDel="00000000" w:rsidP="00000000" w:rsidRDefault="00000000" w:rsidRPr="00000000" w14:paraId="0000018B">
      <w:pPr>
        <w:pBdr>
          <w:top w:space="0" w:sz="0" w:val="nil"/>
          <w:left w:space="0" w:sz="0" w:val="nil"/>
          <w:bottom w:space="0" w:sz="0" w:val="nil"/>
          <w:right w:space="0" w:sz="0" w:val="nil"/>
          <w:between w:space="0" w:sz="0" w:val="nil"/>
        </w:pBdr>
        <w:spacing w:line="228" w:lineRule="auto"/>
        <w:ind w:firstLine="720"/>
        <w:rPr>
          <w:b w:val="1"/>
        </w:rPr>
      </w:pPr>
      <w:r w:rsidDel="00000000" w:rsidR="00000000" w:rsidRPr="00000000">
        <w:rPr>
          <w:rtl w:val="0"/>
        </w:rPr>
        <w:t xml:space="preserve">     A key strength of this pilot study was its remote delivery, which significantly reduced participant burden and facilitated broad dissemination. The use of an mHealth app further enhanced accessibility and scalability, leveraging the widespread use of smartphones to provide a familiar and convenient platform for engagement.</w:t>
      </w:r>
      <w:r w:rsidDel="00000000" w:rsidR="00000000" w:rsidRPr="00000000">
        <w:rPr>
          <w:rtl w:val="0"/>
        </w:rPr>
      </w:r>
    </w:p>
    <w:p w:rsidR="00000000" w:rsidDel="00000000" w:rsidP="00000000" w:rsidRDefault="00000000" w:rsidRPr="00000000" w14:paraId="0000018C">
      <w:pPr>
        <w:pBdr>
          <w:top w:space="0" w:sz="0" w:val="nil"/>
          <w:left w:space="0" w:sz="0" w:val="nil"/>
          <w:bottom w:space="0" w:sz="0" w:val="nil"/>
          <w:right w:space="0" w:sz="0" w:val="nil"/>
          <w:between w:space="0" w:sz="0" w:val="nil"/>
        </w:pBdr>
        <w:spacing w:line="228" w:lineRule="auto"/>
        <w:ind w:firstLine="720"/>
        <w:rPr/>
      </w:pPr>
      <w:r w:rsidDel="00000000" w:rsidR="00000000" w:rsidRPr="00000000">
        <w:rPr>
          <w:rtl w:val="0"/>
        </w:rPr>
        <w:t xml:space="preserve">Given the nature of the current pilot study, there are inherent limitations. Firstly, this work was conducted as single-group study design which therefore lacked a control group for comparison to test the potential effectiveness of the mHealth intervention aimed to improve resiliency and well-being among HCWs in Brazil. Secondly, the limitation of only having the </w:t>
      </w:r>
      <w:r w:rsidDel="00000000" w:rsidR="00000000" w:rsidRPr="00000000">
        <w:rPr>
          <w:color w:val="3f3f3f"/>
          <w:rtl w:val="0"/>
        </w:rPr>
        <w:t xml:space="preserve">CCA©</w:t>
      </w:r>
      <w:r w:rsidDel="00000000" w:rsidR="00000000" w:rsidRPr="00000000">
        <w:rPr>
          <w:rtl w:val="0"/>
        </w:rPr>
        <w:t xml:space="preserve"> available for Android phones limited the potential reach of eligible participants to engage in the study. The limitation of only have the mHealth app available via Android, not IOS, was due to budget and time constraints.  . Thirdly, the sample size for the current study was small with only 36 participants that completed both the baseline and endline surveys and reported on use of the mHealth </w:t>
      </w:r>
      <w:r w:rsidDel="00000000" w:rsidR="00000000" w:rsidRPr="00000000">
        <w:rPr>
          <w:color w:val="3f3f3f"/>
          <w:rtl w:val="0"/>
        </w:rPr>
        <w:t xml:space="preserve">CCA©.</w:t>
      </w:r>
      <w:r w:rsidDel="00000000" w:rsidR="00000000" w:rsidRPr="00000000">
        <w:rPr>
          <w:rtl w:val="0"/>
        </w:rPr>
        <w:t xml:space="preserve"> </w:t>
      </w:r>
    </w:p>
    <w:p w:rsidR="00000000" w:rsidDel="00000000" w:rsidP="00000000" w:rsidRDefault="00000000" w:rsidRPr="00000000" w14:paraId="0000018D">
      <w:pPr>
        <w:pBdr>
          <w:top w:space="0" w:sz="0" w:val="nil"/>
          <w:left w:space="0" w:sz="0" w:val="nil"/>
          <w:bottom w:space="0" w:sz="0" w:val="nil"/>
          <w:right w:space="0" w:sz="0" w:val="nil"/>
          <w:between w:space="0" w:sz="0" w:val="nil"/>
        </w:pBdr>
        <w:spacing w:line="228" w:lineRule="auto"/>
        <w:ind w:firstLine="720"/>
        <w:rPr/>
      </w:pPr>
      <w:r w:rsidDel="00000000" w:rsidR="00000000" w:rsidRPr="00000000">
        <w:rPr>
          <w:rtl w:val="0"/>
        </w:rPr>
      </w:r>
    </w:p>
    <w:p w:rsidR="00000000" w:rsidDel="00000000" w:rsidP="00000000" w:rsidRDefault="00000000" w:rsidRPr="00000000" w14:paraId="0000018E">
      <w:pPr>
        <w:pBdr>
          <w:top w:space="0" w:sz="0" w:val="nil"/>
          <w:left w:space="0" w:sz="0" w:val="nil"/>
          <w:bottom w:space="0" w:sz="0" w:val="nil"/>
          <w:right w:space="0" w:sz="0" w:val="nil"/>
          <w:between w:space="0" w:sz="0" w:val="nil"/>
        </w:pBdr>
        <w:spacing w:line="228" w:lineRule="auto"/>
        <w:ind w:firstLine="720"/>
        <w:rPr>
          <w:i w:val="1"/>
        </w:rPr>
      </w:pPr>
      <w:r w:rsidDel="00000000" w:rsidR="00000000" w:rsidRPr="00000000">
        <w:rPr>
          <w:i w:val="1"/>
          <w:rtl w:val="0"/>
        </w:rPr>
        <w:t xml:space="preserve">Future Directions</w:t>
      </w:r>
    </w:p>
    <w:p w:rsidR="00000000" w:rsidDel="00000000" w:rsidP="00000000" w:rsidRDefault="00000000" w:rsidRPr="00000000" w14:paraId="0000018F">
      <w:pPr>
        <w:pBdr>
          <w:top w:space="0" w:sz="0" w:val="nil"/>
          <w:left w:space="0" w:sz="0" w:val="nil"/>
          <w:bottom w:space="0" w:sz="0" w:val="nil"/>
          <w:right w:space="0" w:sz="0" w:val="nil"/>
          <w:between w:space="0" w:sz="0" w:val="nil"/>
        </w:pBdr>
        <w:spacing w:line="228" w:lineRule="auto"/>
        <w:ind w:firstLine="720"/>
        <w:rPr/>
      </w:pPr>
      <w:r w:rsidDel="00000000" w:rsidR="00000000" w:rsidRPr="00000000">
        <w:rPr>
          <w:rtl w:val="0"/>
        </w:rPr>
        <w:t xml:space="preserve">The current single-group pilot study, while limited by a small sample size, holds promise to improve resiliency which may potentially, overtime contribute to reduced burnout among HCWs. Future work should aim to ensure mHealth platform(s) are more readily usable by larger populations of potential participants. Additionally, this line of work should aim to include a larger sample size with varying degrees of resilience, well-being and risk for burnout and explore the potential of a randomized controlled trial to test and better understand the effectiveness of the evidence-based </w:t>
      </w:r>
      <w:r w:rsidDel="00000000" w:rsidR="00000000" w:rsidRPr="00000000">
        <w:rPr>
          <w:color w:val="3f3f3f"/>
          <w:rtl w:val="0"/>
        </w:rPr>
        <w:t xml:space="preserve">CCA©</w:t>
      </w:r>
      <w:r w:rsidDel="00000000" w:rsidR="00000000" w:rsidRPr="00000000">
        <w:rPr>
          <w:rtl w:val="0"/>
        </w:rPr>
        <w:t xml:space="preserve"> among HCWs to improve resilience and well-being and to mitigate burnout. Continued work in this field is critical at both the individual and organizational  levels.</w:t>
      </w:r>
    </w:p>
    <w:p w:rsidR="00000000" w:rsidDel="00000000" w:rsidP="00000000" w:rsidRDefault="00000000" w:rsidRPr="00000000" w14:paraId="00000190">
      <w:pPr>
        <w:pBdr>
          <w:top w:space="0" w:sz="0" w:val="nil"/>
          <w:left w:space="0" w:sz="0" w:val="nil"/>
          <w:bottom w:space="0" w:sz="0" w:val="nil"/>
          <w:right w:space="0" w:sz="0" w:val="nil"/>
          <w:between w:space="0" w:sz="0" w:val="nil"/>
        </w:pBdr>
        <w:spacing w:after="60" w:before="240" w:line="228" w:lineRule="auto"/>
        <w:ind w:firstLine="720"/>
        <w:rPr>
          <w:b w:val="1"/>
        </w:rPr>
      </w:pPr>
      <w:r w:rsidDel="00000000" w:rsidR="00000000" w:rsidRPr="00000000">
        <w:rPr>
          <w:b w:val="1"/>
          <w:rtl w:val="0"/>
        </w:rPr>
        <w:t xml:space="preserve">5. Conclusions</w:t>
      </w:r>
    </w:p>
    <w:p w:rsidR="00000000" w:rsidDel="00000000" w:rsidP="00000000" w:rsidRDefault="00000000" w:rsidRPr="00000000" w14:paraId="00000191">
      <w:pPr>
        <w:pBdr>
          <w:top w:space="0" w:sz="0" w:val="nil"/>
          <w:left w:space="0" w:sz="0" w:val="nil"/>
          <w:bottom w:space="0" w:sz="0" w:val="nil"/>
          <w:right w:space="0" w:sz="0" w:val="nil"/>
          <w:between w:space="0" w:sz="0" w:val="nil"/>
        </w:pBdr>
        <w:spacing w:line="228" w:lineRule="auto"/>
        <w:ind w:firstLine="720"/>
        <w:jc w:val="both"/>
        <w:rPr/>
      </w:pPr>
      <w:r w:rsidDel="00000000" w:rsidR="00000000" w:rsidRPr="00000000">
        <w:rPr>
          <w:color w:val="000000"/>
          <w:rtl w:val="0"/>
        </w:rPr>
        <w:t xml:space="preserve">The study showed 1% increase in </w:t>
      </w:r>
      <w:r w:rsidDel="00000000" w:rsidR="00000000" w:rsidRPr="00000000">
        <w:rPr>
          <w:rtl w:val="0"/>
        </w:rPr>
        <w:t xml:space="preserve">w</w:t>
      </w:r>
      <w:r w:rsidDel="00000000" w:rsidR="00000000" w:rsidRPr="00000000">
        <w:rPr>
          <w:color w:val="000000"/>
          <w:rtl w:val="0"/>
        </w:rPr>
        <w:t xml:space="preserve">ell</w:t>
      </w:r>
      <w:r w:rsidDel="00000000" w:rsidR="00000000" w:rsidRPr="00000000">
        <w:rPr>
          <w:rtl w:val="0"/>
        </w:rPr>
        <w:t xml:space="preserve">-</w:t>
      </w:r>
      <w:r w:rsidDel="00000000" w:rsidR="00000000" w:rsidRPr="00000000">
        <w:rPr>
          <w:color w:val="000000"/>
          <w:rtl w:val="0"/>
        </w:rPr>
        <w:t xml:space="preserve">being and </w:t>
      </w:r>
      <w:r w:rsidDel="00000000" w:rsidR="00000000" w:rsidRPr="00000000">
        <w:rPr>
          <w:rtl w:val="0"/>
        </w:rPr>
        <w:t xml:space="preserve">r</w:t>
      </w:r>
      <w:r w:rsidDel="00000000" w:rsidR="00000000" w:rsidRPr="00000000">
        <w:rPr>
          <w:color w:val="000000"/>
          <w:rtl w:val="0"/>
        </w:rPr>
        <w:t xml:space="preserve">esilience </w:t>
      </w:r>
      <w:r w:rsidDel="00000000" w:rsidR="00000000" w:rsidRPr="00000000">
        <w:rPr>
          <w:rtl w:val="0"/>
        </w:rPr>
        <w:t xml:space="preserve">among the HCWs who participated in the </w:t>
      </w:r>
      <w:r w:rsidDel="00000000" w:rsidR="00000000" w:rsidRPr="00000000">
        <w:rPr>
          <w:color w:val="3f3f3f"/>
          <w:rtl w:val="0"/>
        </w:rPr>
        <w:t xml:space="preserve">CCA©</w:t>
      </w:r>
      <w:r w:rsidDel="00000000" w:rsidR="00000000" w:rsidRPr="00000000">
        <w:rPr>
          <w:rtl w:val="0"/>
        </w:rPr>
        <w:t xml:space="preserve"> intervention; however, </w:t>
      </w:r>
      <w:r w:rsidDel="00000000" w:rsidR="00000000" w:rsidRPr="00000000">
        <w:rPr>
          <w:color w:val="000000"/>
          <w:rtl w:val="0"/>
        </w:rPr>
        <w:t xml:space="preserve">no change was observed in the outcome of burnout scale</w:t>
      </w:r>
      <w:r w:rsidDel="00000000" w:rsidR="00000000" w:rsidRPr="00000000">
        <w:rPr>
          <w:rtl w:val="0"/>
        </w:rPr>
        <w:t xml:space="preserve">. </w:t>
      </w:r>
      <w:r w:rsidDel="00000000" w:rsidR="00000000" w:rsidRPr="00000000">
        <w:rPr>
          <w:color w:val="000000"/>
          <w:rtl w:val="0"/>
        </w:rPr>
        <w:t xml:space="preserve">There is a critical need for greater tools and strategies to help HCWs improve their resilience, well-being and reduce burnout. Th</w:t>
      </w:r>
      <w:r w:rsidDel="00000000" w:rsidR="00000000" w:rsidRPr="00000000">
        <w:rPr>
          <w:rtl w:val="0"/>
        </w:rPr>
        <w:t xml:space="preserve">is</w:t>
      </w:r>
      <w:r w:rsidDel="00000000" w:rsidR="00000000" w:rsidRPr="00000000">
        <w:rPr>
          <w:color w:val="000000"/>
          <w:rtl w:val="0"/>
        </w:rPr>
        <w:t xml:space="preserve"> pilot study indicates trends in the right direction for resilience, </w:t>
      </w:r>
      <w:r w:rsidDel="00000000" w:rsidR="00000000" w:rsidRPr="00000000">
        <w:rPr>
          <w:rtl w:val="0"/>
        </w:rPr>
        <w:t xml:space="preserve">but not for</w:t>
      </w:r>
      <w:r w:rsidDel="00000000" w:rsidR="00000000" w:rsidRPr="00000000">
        <w:rPr>
          <w:color w:val="000000"/>
          <w:rtl w:val="0"/>
        </w:rPr>
        <w:t xml:space="preserve"> outcomes of well-being or burnout. </w:t>
      </w:r>
      <w:r w:rsidDel="00000000" w:rsidR="00000000" w:rsidRPr="00000000">
        <w:rPr>
          <w:rtl w:val="0"/>
        </w:rPr>
        <w:t xml:space="preserve">Potentially</w:t>
      </w:r>
      <w:r w:rsidDel="00000000" w:rsidR="00000000" w:rsidRPr="00000000">
        <w:rPr>
          <w:color w:val="000000"/>
          <w:rtl w:val="0"/>
        </w:rPr>
        <w:t xml:space="preserve"> longer interventions</w:t>
      </w:r>
      <w:r w:rsidDel="00000000" w:rsidR="00000000" w:rsidRPr="00000000">
        <w:rPr>
          <w:rtl w:val="0"/>
        </w:rPr>
        <w:t xml:space="preserve"> or even more one-to-one support while using the mHealth </w:t>
      </w:r>
      <w:r w:rsidDel="00000000" w:rsidR="00000000" w:rsidRPr="00000000">
        <w:rPr>
          <w:color w:val="3f3f3f"/>
          <w:rtl w:val="0"/>
        </w:rPr>
        <w:t xml:space="preserve">CCA©</w:t>
      </w:r>
      <w:r w:rsidDel="00000000" w:rsidR="00000000" w:rsidRPr="00000000">
        <w:rPr>
          <w:color w:val="000000"/>
          <w:rtl w:val="0"/>
        </w:rPr>
        <w:t xml:space="preserve"> be needed to see more meaningful </w:t>
      </w:r>
      <w:r w:rsidDel="00000000" w:rsidR="00000000" w:rsidRPr="00000000">
        <w:rPr>
          <w:rtl w:val="0"/>
        </w:rPr>
        <w:t xml:space="preserve">improvement</w:t>
      </w:r>
      <w:r w:rsidDel="00000000" w:rsidR="00000000" w:rsidRPr="00000000">
        <w:rPr>
          <w:color w:val="000000"/>
          <w:rtl w:val="0"/>
        </w:rPr>
        <w:t xml:space="preserve">.</w:t>
      </w:r>
      <w:r w:rsidDel="00000000" w:rsidR="00000000" w:rsidRPr="00000000">
        <w:rPr>
          <w:rtl w:val="0"/>
        </w:rPr>
        <w:t xml:space="preserve"> </w:t>
      </w:r>
      <w:r w:rsidDel="00000000" w:rsidR="00000000" w:rsidRPr="00000000">
        <w:rPr>
          <w:color w:val="000000"/>
          <w:rtl w:val="0"/>
        </w:rPr>
        <w:t xml:space="preserve">This study emphasizes that improving resilience, well-being, and reducing burnout among HCWs should be a shared responsibility</w:t>
      </w:r>
      <w:r w:rsidDel="00000000" w:rsidR="00000000" w:rsidRPr="00000000">
        <w:rPr>
          <w:rtl w:val="0"/>
        </w:rPr>
        <w:t xml:space="preserve"> and drive changes at the individual and organizational level. Resilience and well-being may help buffer against and mitigate burnout. Continuing to determine the best ways to support psychological health through the utilization of this low-cost, highly scalable may best support HCWs who are at considerable risk for or are already experiencing burnout. </w:t>
      </w:r>
    </w:p>
    <w:p w:rsidR="00000000" w:rsidDel="00000000" w:rsidP="00000000" w:rsidRDefault="00000000" w:rsidRPr="00000000" w14:paraId="00000192">
      <w:pPr>
        <w:pBdr>
          <w:top w:space="0" w:sz="0" w:val="nil"/>
          <w:left w:space="0" w:sz="0" w:val="nil"/>
          <w:bottom w:space="0" w:sz="0" w:val="nil"/>
          <w:right w:space="0" w:sz="0" w:val="nil"/>
          <w:between w:space="0" w:sz="0" w:val="nil"/>
        </w:pBdr>
        <w:spacing w:line="228" w:lineRule="auto"/>
        <w:jc w:val="both"/>
        <w:rPr>
          <w:strike w:val="1"/>
          <w:color w:val="000000"/>
        </w:rPr>
      </w:pPr>
      <w:r w:rsidDel="00000000" w:rsidR="00000000" w:rsidRPr="00000000">
        <w:rPr>
          <w:rtl w:val="0"/>
        </w:rPr>
      </w:r>
    </w:p>
    <w:p w:rsidR="00000000" w:rsidDel="00000000" w:rsidP="00000000" w:rsidRDefault="00000000" w:rsidRPr="00000000" w14:paraId="00000193">
      <w:pPr>
        <w:pBdr>
          <w:top w:space="0" w:sz="0" w:val="nil"/>
          <w:left w:space="0" w:sz="0" w:val="nil"/>
          <w:bottom w:space="0" w:sz="0" w:val="nil"/>
          <w:right w:space="0" w:sz="0" w:val="nil"/>
          <w:between w:space="0" w:sz="0" w:val="nil"/>
        </w:pBdr>
        <w:spacing w:after="60" w:before="240" w:line="228" w:lineRule="auto"/>
        <w:ind w:firstLine="720"/>
        <w:rPr/>
      </w:pPr>
      <w:r w:rsidDel="00000000" w:rsidR="00000000" w:rsidRPr="00000000">
        <w:rPr>
          <w:b w:val="1"/>
          <w:rtl w:val="0"/>
        </w:rPr>
        <w:t xml:space="preserve">6. Patents. </w:t>
      </w:r>
      <w:r w:rsidDel="00000000" w:rsidR="00000000" w:rsidRPr="00000000">
        <w:rPr>
          <w:rtl w:val="0"/>
        </w:rPr>
        <w:t xml:space="preserve">NA</w:t>
      </w:r>
    </w:p>
    <w:p w:rsidR="00000000" w:rsidDel="00000000" w:rsidP="00000000" w:rsidRDefault="00000000" w:rsidRPr="00000000" w14:paraId="00000194">
      <w:pPr>
        <w:pBdr>
          <w:top w:space="0" w:sz="0" w:val="nil"/>
          <w:left w:space="0" w:sz="0" w:val="nil"/>
          <w:bottom w:space="0" w:sz="0" w:val="nil"/>
          <w:right w:space="0" w:sz="0" w:val="nil"/>
          <w:between w:space="0" w:sz="0" w:val="nil"/>
        </w:pBdr>
        <w:spacing w:after="120" w:before="240" w:line="228" w:lineRule="auto"/>
        <w:ind w:firstLine="720"/>
        <w:rPr/>
      </w:pPr>
      <w:r w:rsidDel="00000000" w:rsidR="00000000" w:rsidRPr="00000000">
        <w:rPr>
          <w:rtl w:val="0"/>
        </w:rPr>
        <w:t xml:space="preserve">     </w:t>
      </w:r>
      <w:r w:rsidDel="00000000" w:rsidR="00000000" w:rsidRPr="00000000">
        <w:rPr>
          <w:b w:val="1"/>
          <w:rtl w:val="0"/>
        </w:rPr>
        <w:t xml:space="preserve">Supplementary Materials: </w:t>
      </w:r>
      <w:r w:rsidDel="00000000" w:rsidR="00000000" w:rsidRPr="00000000">
        <w:rPr>
          <w:rtl w:val="0"/>
        </w:rPr>
        <w:t xml:space="preserve">The following supporting information can be downloaded at: www.mdpi.com/xxx/s1.</w:t>
        <w:br w:type="textWrapping"/>
        <w:t xml:space="preserve">Table 5. Maslach Burnout Scale in Portuguese and English</w:t>
      </w:r>
    </w:p>
    <w:p w:rsidR="00000000" w:rsidDel="00000000" w:rsidP="00000000" w:rsidRDefault="00000000" w:rsidRPr="00000000" w14:paraId="00000195">
      <w:pPr>
        <w:pBdr>
          <w:top w:space="0" w:sz="0" w:val="nil"/>
          <w:left w:space="0" w:sz="0" w:val="nil"/>
          <w:bottom w:space="0" w:sz="0" w:val="nil"/>
          <w:right w:space="0" w:sz="0" w:val="nil"/>
          <w:between w:space="0" w:sz="0" w:val="nil"/>
        </w:pBdr>
        <w:spacing w:after="120" w:before="240" w:line="228" w:lineRule="auto"/>
        <w:rPr/>
      </w:pPr>
      <w:r w:rsidDel="00000000" w:rsidR="00000000" w:rsidRPr="00000000">
        <w:rPr>
          <w:rtl w:val="0"/>
        </w:rPr>
        <w:t xml:space="preserve">Distributions behaviors baseline and endline Portuguese and English</w:t>
      </w:r>
    </w:p>
    <w:p w:rsidR="00000000" w:rsidDel="00000000" w:rsidP="00000000" w:rsidRDefault="00000000" w:rsidRPr="00000000" w14:paraId="00000196">
      <w:pPr>
        <w:pBdr>
          <w:top w:space="0" w:sz="0" w:val="nil"/>
          <w:left w:space="0" w:sz="0" w:val="nil"/>
          <w:bottom w:space="0" w:sz="0" w:val="nil"/>
          <w:right w:space="0" w:sz="0" w:val="nil"/>
          <w:between w:space="0" w:sz="0" w:val="nil"/>
        </w:pBdr>
        <w:spacing w:after="120" w:before="240" w:line="228" w:lineRule="auto"/>
        <w:ind w:firstLine="720"/>
        <w:rPr/>
      </w:pPr>
      <w:r w:rsidDel="00000000" w:rsidR="00000000" w:rsidRPr="00000000">
        <w:rPr>
          <w:rtl w:val="0"/>
        </w:rPr>
      </w:r>
    </w:p>
    <w:p w:rsidR="00000000" w:rsidDel="00000000" w:rsidP="00000000" w:rsidRDefault="00000000" w:rsidRPr="00000000" w14:paraId="00000197">
      <w:pPr>
        <w:pBdr>
          <w:top w:space="0" w:sz="0" w:val="nil"/>
          <w:left w:space="0" w:sz="0" w:val="nil"/>
          <w:bottom w:space="0" w:sz="0" w:val="nil"/>
          <w:right w:space="0" w:sz="0" w:val="nil"/>
          <w:between w:space="0" w:sz="0" w:val="nil"/>
        </w:pBdr>
        <w:spacing w:after="120" w:line="228" w:lineRule="auto"/>
        <w:ind w:firstLine="720"/>
        <w:rPr/>
      </w:pPr>
      <w:r w:rsidDel="00000000" w:rsidR="00000000" w:rsidRPr="00000000">
        <w:rPr>
          <w:b w:val="1"/>
          <w:rtl w:val="0"/>
        </w:rPr>
        <w:t xml:space="preserve">Author Contributions:</w:t>
      </w:r>
      <w:r w:rsidDel="00000000" w:rsidR="00000000" w:rsidRPr="00000000">
        <w:rPr>
          <w:rtl w:val="0"/>
        </w:rPr>
        <w:t xml:space="preserve"> For research articles with several authors, a short paragraph specifying their individual contributions must be provided. The following statements should be used “Conceptualization, PB. and DJ.; methodology, DA, MR; software, TK; validation, PB, AP; formal analysis, AP; PB; investigation, CG, MB.; resources, PB.; data curation, CG, AD; writing—original draft preparation, PB, DJ, CG writing—review and editing, PB.; DJ, SP, CG; visualization, PB, CG, DJ; supervision, PB.; project administration, PB; funding acquisition, PB. </w:t>
      </w:r>
      <w:r w:rsidDel="00000000" w:rsidR="00000000" w:rsidRPr="00000000">
        <w:rPr>
          <w:rtl w:val="0"/>
        </w:rPr>
      </w:r>
    </w:p>
    <w:p w:rsidR="00000000" w:rsidDel="00000000" w:rsidP="00000000" w:rsidRDefault="00000000" w:rsidRPr="00000000" w14:paraId="00000198">
      <w:pPr>
        <w:pBdr>
          <w:top w:space="0" w:sz="0" w:val="nil"/>
          <w:left w:space="0" w:sz="0" w:val="nil"/>
          <w:bottom w:space="0" w:sz="0" w:val="nil"/>
          <w:right w:space="0" w:sz="0" w:val="nil"/>
          <w:between w:space="0" w:sz="0" w:val="nil"/>
        </w:pBdr>
        <w:spacing w:after="120" w:line="228" w:lineRule="auto"/>
        <w:ind w:firstLine="720"/>
        <w:rPr/>
      </w:pPr>
      <w:r w:rsidDel="00000000" w:rsidR="00000000" w:rsidRPr="00000000">
        <w:rPr>
          <w:b w:val="1"/>
          <w:rtl w:val="0"/>
        </w:rPr>
        <w:t xml:space="preserve">Funding:</w:t>
      </w:r>
      <w:r w:rsidDel="00000000" w:rsidR="00000000" w:rsidRPr="00000000">
        <w:rPr>
          <w:rtl w:val="0"/>
        </w:rPr>
        <w:t xml:space="preserve"> “This research was funded by Johnson &amp; Johnson Foundation, grant number XXX” and “The APC was funded by XXX”. Check carefully that the details given are accurate and use the standard spelling of funding agency names at https://search.crossref.org/funding. Any errors may affect your future funding.</w:t>
      </w:r>
      <w:r w:rsidDel="00000000" w:rsidR="00000000" w:rsidRPr="00000000">
        <w:rPr>
          <w:rtl w:val="0"/>
        </w:rPr>
      </w:r>
    </w:p>
    <w:p w:rsidR="00000000" w:rsidDel="00000000" w:rsidP="00000000" w:rsidRDefault="00000000" w:rsidRPr="00000000" w14:paraId="00000199">
      <w:pPr>
        <w:pBdr>
          <w:top w:space="0" w:sz="0" w:val="nil"/>
          <w:left w:space="0" w:sz="0" w:val="nil"/>
          <w:bottom w:space="0" w:sz="0" w:val="nil"/>
          <w:right w:space="0" w:sz="0" w:val="nil"/>
          <w:between w:space="0" w:sz="0" w:val="nil"/>
        </w:pBdr>
        <w:spacing w:after="120" w:line="228" w:lineRule="auto"/>
        <w:ind w:firstLine="720"/>
        <w:rPr>
          <w:b w:val="1"/>
        </w:rPr>
      </w:pPr>
      <w:bookmarkStart w:colFirst="0" w:colLast="0" w:name="_heading=h.1fob9te" w:id="0"/>
      <w:bookmarkEnd w:id="0"/>
      <w:r w:rsidDel="00000000" w:rsidR="00000000" w:rsidRPr="00000000">
        <w:rPr>
          <w:b w:val="1"/>
          <w:rtl w:val="0"/>
        </w:rPr>
        <w:t xml:space="preserve">Institutional Review Board Statement: </w:t>
      </w:r>
      <w:r w:rsidDel="00000000" w:rsidR="00000000" w:rsidRPr="00000000">
        <w:rPr>
          <w:rtl w:val="0"/>
        </w:rPr>
        <w:t xml:space="preserve">The study was conducted in accordance with the Declaration of Helsinki and approved by the Institutional Review Board (or Ethics Committee) of the Research Ethics Committee in Human Beings of the </w:t>
      </w:r>
      <w:r w:rsidDel="00000000" w:rsidR="00000000" w:rsidRPr="00000000">
        <w:rPr>
          <w:i w:val="1"/>
          <w:rtl w:val="0"/>
        </w:rPr>
        <w:t xml:space="preserve">Sírio-Libanês Hospital</w:t>
      </w:r>
      <w:r w:rsidDel="00000000" w:rsidR="00000000" w:rsidRPr="00000000">
        <w:rPr>
          <w:rtl w:val="0"/>
        </w:rPr>
        <w:t xml:space="preserve">, under the opinion number, 66870723.6.0000.5461, according to Resolution No. 466/12 of the National Health Council. </w:t>
      </w:r>
      <w:r w:rsidDel="00000000" w:rsidR="00000000" w:rsidRPr="00000000">
        <w:rPr>
          <w:rtl w:val="0"/>
        </w:rPr>
      </w:r>
    </w:p>
    <w:p w:rsidR="00000000" w:rsidDel="00000000" w:rsidP="00000000" w:rsidRDefault="00000000" w:rsidRPr="00000000" w14:paraId="0000019A">
      <w:pPr>
        <w:pBdr>
          <w:top w:space="0" w:sz="0" w:val="nil"/>
          <w:left w:space="0" w:sz="0" w:val="nil"/>
          <w:bottom w:space="0" w:sz="0" w:val="nil"/>
          <w:right w:space="0" w:sz="0" w:val="nil"/>
          <w:between w:space="0" w:sz="0" w:val="nil"/>
        </w:pBdr>
        <w:spacing w:line="228" w:lineRule="auto"/>
        <w:ind w:firstLine="720"/>
        <w:rPr/>
      </w:pPr>
      <w:r w:rsidDel="00000000" w:rsidR="00000000" w:rsidRPr="00000000">
        <w:rPr>
          <w:b w:val="1"/>
          <w:rtl w:val="0"/>
        </w:rPr>
        <w:t xml:space="preserve">Informed Consent Statement: </w:t>
      </w:r>
      <w:r w:rsidDel="00000000" w:rsidR="00000000" w:rsidRPr="00000000">
        <w:rPr>
          <w:rtl w:val="0"/>
        </w:rPr>
        <w:t xml:space="preserve">Written informed consent has been obtained from the HCWs to publish this paper.</w:t>
      </w:r>
    </w:p>
    <w:p w:rsidR="00000000" w:rsidDel="00000000" w:rsidP="00000000" w:rsidRDefault="00000000" w:rsidRPr="00000000" w14:paraId="0000019B">
      <w:pPr>
        <w:pBdr>
          <w:top w:space="0" w:sz="0" w:val="nil"/>
          <w:left w:space="0" w:sz="0" w:val="nil"/>
          <w:bottom w:space="0" w:sz="0" w:val="nil"/>
          <w:right w:space="0" w:sz="0" w:val="nil"/>
          <w:between w:space="0" w:sz="0" w:val="nil"/>
        </w:pBdr>
        <w:spacing w:line="228" w:lineRule="auto"/>
        <w:ind w:firstLine="720"/>
        <w:rPr/>
      </w:pPr>
      <w:r w:rsidDel="00000000" w:rsidR="00000000" w:rsidRPr="00000000">
        <w:rPr>
          <w:rtl w:val="0"/>
        </w:rPr>
      </w:r>
    </w:p>
    <w:p w:rsidR="00000000" w:rsidDel="00000000" w:rsidP="00000000" w:rsidRDefault="00000000" w:rsidRPr="00000000" w14:paraId="0000019C">
      <w:pPr>
        <w:pBdr>
          <w:top w:space="0" w:sz="0" w:val="nil"/>
          <w:left w:space="0" w:sz="0" w:val="nil"/>
          <w:bottom w:space="0" w:sz="0" w:val="nil"/>
          <w:right w:space="0" w:sz="0" w:val="nil"/>
          <w:between w:space="0" w:sz="0" w:val="nil"/>
        </w:pBdr>
        <w:spacing w:after="120" w:line="228" w:lineRule="auto"/>
        <w:ind w:firstLine="720"/>
        <w:rPr/>
      </w:pPr>
      <w:r w:rsidDel="00000000" w:rsidR="00000000" w:rsidRPr="00000000">
        <w:rPr>
          <w:b w:val="1"/>
          <w:rtl w:val="0"/>
        </w:rPr>
        <w:t xml:space="preserve">Data Availability Statement</w:t>
      </w:r>
      <w:r w:rsidDel="00000000" w:rsidR="00000000" w:rsidRPr="00000000">
        <w:rPr>
          <w:rtl w:val="0"/>
        </w:rPr>
        <w:t xml:space="preserve">: </w:t>
      </w:r>
      <w:r w:rsidDel="00000000" w:rsidR="00000000" w:rsidRPr="00000000">
        <w:rPr>
          <w:rtl w:val="0"/>
        </w:rPr>
        <w:t xml:space="preserve">P</w:t>
      </w:r>
      <w:r w:rsidDel="00000000" w:rsidR="00000000" w:rsidRPr="00000000">
        <w:rPr>
          <w:rtl w:val="0"/>
        </w:rPr>
        <w:t xml:space="preserve">leas</w:t>
      </w:r>
      <w:r w:rsidDel="00000000" w:rsidR="00000000" w:rsidRPr="00000000">
        <w:rPr>
          <w:rtl w:val="0"/>
        </w:rPr>
        <w:t xml:space="preserve">e request the data from the correspondent author.</w:t>
      </w:r>
    </w:p>
    <w:p w:rsidR="00000000" w:rsidDel="00000000" w:rsidP="00000000" w:rsidRDefault="00000000" w:rsidRPr="00000000" w14:paraId="0000019D">
      <w:pPr>
        <w:pBdr>
          <w:top w:space="0" w:sz="0" w:val="nil"/>
          <w:left w:space="0" w:sz="0" w:val="nil"/>
          <w:bottom w:space="0" w:sz="0" w:val="nil"/>
          <w:right w:space="0" w:sz="0" w:val="nil"/>
          <w:between w:space="0" w:sz="0" w:val="nil"/>
        </w:pBdr>
        <w:spacing w:after="120" w:line="228" w:lineRule="auto"/>
        <w:ind w:firstLine="720"/>
        <w:rPr/>
      </w:pPr>
      <w:r w:rsidDel="00000000" w:rsidR="00000000" w:rsidRPr="00000000">
        <w:rPr>
          <w:b w:val="1"/>
          <w:rtl w:val="0"/>
        </w:rPr>
        <w:t xml:space="preserve">Acknowledgments:</w:t>
      </w:r>
      <w:r w:rsidDel="00000000" w:rsidR="00000000" w:rsidRPr="00000000">
        <w:rPr>
          <w:rtl w:val="0"/>
        </w:rPr>
        <w:t xml:space="preserve"> We want to express our gratitude to the leaders of the organizations involved in this research. They were the bridge between the researchers and the studied population</w:t>
      </w:r>
      <w:r w:rsidDel="00000000" w:rsidR="00000000" w:rsidRPr="00000000">
        <w:rPr>
          <w:rtl w:val="0"/>
        </w:rPr>
        <w:t xml:space="preserve">.</w:t>
      </w:r>
      <w:r w:rsidDel="00000000" w:rsidR="00000000" w:rsidRPr="00000000">
        <w:rPr>
          <w:rtl w:val="0"/>
        </w:rPr>
      </w:r>
    </w:p>
    <w:p w:rsidR="00000000" w:rsidDel="00000000" w:rsidP="00000000" w:rsidRDefault="00000000" w:rsidRPr="00000000" w14:paraId="0000019E">
      <w:pPr>
        <w:pBdr>
          <w:top w:space="0" w:sz="0" w:val="nil"/>
          <w:left w:space="0" w:sz="0" w:val="nil"/>
          <w:bottom w:space="0" w:sz="0" w:val="nil"/>
          <w:right w:space="0" w:sz="0" w:val="nil"/>
          <w:between w:space="0" w:sz="0" w:val="nil"/>
        </w:pBdr>
        <w:spacing w:after="120" w:line="228" w:lineRule="auto"/>
        <w:ind w:firstLine="720"/>
        <w:rPr/>
      </w:pPr>
      <w:r w:rsidDel="00000000" w:rsidR="00000000" w:rsidRPr="00000000">
        <w:rPr>
          <w:b w:val="1"/>
          <w:rtl w:val="0"/>
        </w:rPr>
        <w:t xml:space="preserve">Conflicts of Interest:</w:t>
      </w:r>
      <w:r w:rsidDel="00000000" w:rsidR="00000000" w:rsidRPr="00000000">
        <w:rPr>
          <w:rtl w:val="0"/>
        </w:rPr>
        <w:t xml:space="preserve"> Declare conflicts of interest or state “The authors declare no conflicts of interest.”</w:t>
      </w:r>
    </w:p>
    <w:p w:rsidR="00000000" w:rsidDel="00000000" w:rsidP="00000000" w:rsidRDefault="00000000" w:rsidRPr="00000000" w14:paraId="0000019F">
      <w:pPr>
        <w:ind w:firstLine="720"/>
        <w:rPr/>
      </w:pPr>
      <w:r w:rsidDel="00000000" w:rsidR="00000000" w:rsidRPr="00000000">
        <w:br w:type="page"/>
      </w:r>
      <w:r w:rsidDel="00000000" w:rsidR="00000000" w:rsidRPr="00000000">
        <w:rPr>
          <w:rtl w:val="0"/>
        </w:rPr>
      </w:r>
    </w:p>
    <w:p w:rsidR="00000000" w:rsidDel="00000000" w:rsidP="00000000" w:rsidRDefault="00000000" w:rsidRPr="00000000" w14:paraId="000001A0">
      <w:pPr>
        <w:pBdr>
          <w:top w:space="0" w:sz="0" w:val="nil"/>
          <w:left w:space="0" w:sz="0" w:val="nil"/>
          <w:bottom w:space="0" w:sz="0" w:val="nil"/>
          <w:right w:space="0" w:sz="0" w:val="nil"/>
          <w:between w:space="0" w:sz="0" w:val="nil"/>
        </w:pBdr>
        <w:spacing w:after="60" w:before="240" w:line="228" w:lineRule="auto"/>
        <w:ind w:firstLine="720"/>
        <w:rPr>
          <w:color w:val="000000"/>
        </w:rPr>
      </w:pPr>
      <w:r w:rsidDel="00000000" w:rsidR="00000000" w:rsidRPr="00000000">
        <w:rPr>
          <w:b w:val="1"/>
          <w:rtl w:val="0"/>
        </w:rPr>
        <w:t xml:space="preserve">References</w:t>
      </w:r>
      <w:r w:rsidDel="00000000" w:rsidR="00000000" w:rsidRPr="00000000">
        <w:rPr>
          <w:rtl w:val="0"/>
        </w:rPr>
      </w:r>
    </w:p>
    <w:p w:rsidR="00000000" w:rsidDel="00000000" w:rsidP="00000000" w:rsidRDefault="00000000" w:rsidRPr="00000000" w14:paraId="000001A1">
      <w:pPr>
        <w:shd w:fill="ffffff" w:val="clear"/>
        <w:ind w:left="0" w:firstLine="0"/>
        <w:rPr>
          <w:color w:val="212121"/>
        </w:rPr>
      </w:pPr>
      <w:r w:rsidDel="00000000" w:rsidR="00000000" w:rsidRPr="00000000">
        <w:rPr>
          <w:rtl w:val="0"/>
        </w:rPr>
      </w:r>
    </w:p>
    <w:p w:rsidR="00000000" w:rsidDel="00000000" w:rsidP="00000000" w:rsidRDefault="00000000" w:rsidRPr="00000000" w14:paraId="000001A2">
      <w:pPr>
        <w:shd w:fill="ffffff" w:val="clear"/>
        <w:ind w:firstLine="720"/>
        <w:rPr>
          <w:color w:val="212121"/>
        </w:rPr>
      </w:pPr>
      <w:r w:rsidDel="00000000" w:rsidR="00000000" w:rsidRPr="00000000">
        <w:rPr>
          <w:color w:val="212121"/>
          <w:rtl w:val="0"/>
        </w:rPr>
        <w:t xml:space="preserve">1. CommCare. Versão 2.54.0. Dimagi Inc. Android. </w:t>
      </w:r>
      <w:r w:rsidDel="00000000" w:rsidR="00000000" w:rsidRPr="00000000">
        <w:rPr>
          <w:rtl w:val="0"/>
        </w:rPr>
        <w:t xml:space="preserve">Available from:</w:t>
      </w:r>
      <w:r w:rsidDel="00000000" w:rsidR="00000000" w:rsidRPr="00000000">
        <w:rPr>
          <w:color w:val="212121"/>
          <w:rtl w:val="0"/>
        </w:rPr>
        <w:t xml:space="preserve"> </w:t>
      </w:r>
      <w:hyperlink r:id="rId10">
        <w:r w:rsidDel="00000000" w:rsidR="00000000" w:rsidRPr="00000000">
          <w:rPr>
            <w:color w:val="1155cc"/>
            <w:u w:val="single"/>
            <w:rtl w:val="0"/>
          </w:rPr>
          <w:t xml:space="preserve">https://dimagi.com/commcare/</w:t>
        </w:r>
      </w:hyperlink>
      <w:r w:rsidDel="00000000" w:rsidR="00000000" w:rsidRPr="00000000">
        <w:rPr>
          <w:color w:val="212121"/>
          <w:rtl w:val="0"/>
        </w:rPr>
        <w:t xml:space="preserve">. </w:t>
      </w:r>
      <w:r w:rsidDel="00000000" w:rsidR="00000000" w:rsidRPr="00000000">
        <w:rPr>
          <w:rtl w:val="0"/>
        </w:rPr>
        <w:t xml:space="preserve">[accessed on Oct 2024].</w:t>
      </w:r>
      <w:r w:rsidDel="00000000" w:rsidR="00000000" w:rsidRPr="00000000">
        <w:rPr>
          <w:rtl w:val="0"/>
        </w:rPr>
      </w:r>
    </w:p>
    <w:p w:rsidR="00000000" w:rsidDel="00000000" w:rsidP="00000000" w:rsidRDefault="00000000" w:rsidRPr="00000000" w14:paraId="000001A3">
      <w:pPr>
        <w:shd w:fill="ffffff" w:val="clear"/>
        <w:ind w:firstLine="720"/>
        <w:rPr>
          <w:color w:val="212121"/>
        </w:rPr>
      </w:pPr>
      <w:r w:rsidDel="00000000" w:rsidR="00000000" w:rsidRPr="00000000">
        <w:rPr>
          <w:rtl w:val="0"/>
        </w:rPr>
      </w:r>
    </w:p>
    <w:p w:rsidR="00000000" w:rsidDel="00000000" w:rsidP="00000000" w:rsidRDefault="00000000" w:rsidRPr="00000000" w14:paraId="000001A4">
      <w:pPr>
        <w:shd w:fill="ffffff" w:val="clear"/>
        <w:ind w:firstLine="720"/>
        <w:rPr/>
      </w:pPr>
      <w:r w:rsidDel="00000000" w:rsidR="00000000" w:rsidRPr="00000000">
        <w:rPr>
          <w:color w:val="212121"/>
          <w:rtl w:val="0"/>
        </w:rPr>
        <w:t xml:space="preserve">2. Rink, LC; Oyesanya, TO; Adair, KC; Humphreys, JC; Silva, SG; Sexton, JB. Stressors Among Healthcare Workers: A Summative Content Analysis. Glob Qual Nurs Res. 2023, 10:23333936231161127. DOI: 10.1177/23333936231161127. PMID: 37020708; PMCID: PMC10068501</w:t>
      </w:r>
      <w:r w:rsidDel="00000000" w:rsidR="00000000" w:rsidRPr="00000000">
        <w:rPr>
          <w:rtl w:val="0"/>
        </w:rPr>
      </w:r>
    </w:p>
    <w:p w:rsidR="00000000" w:rsidDel="00000000" w:rsidP="00000000" w:rsidRDefault="00000000" w:rsidRPr="00000000" w14:paraId="000001A5">
      <w:pPr>
        <w:shd w:fill="ffffff" w:val="clear"/>
        <w:ind w:firstLine="720"/>
        <w:rPr>
          <w:color w:val="212121"/>
        </w:rPr>
      </w:pPr>
      <w:r w:rsidDel="00000000" w:rsidR="00000000" w:rsidRPr="00000000">
        <w:rPr>
          <w:rtl w:val="0"/>
        </w:rPr>
      </w:r>
    </w:p>
    <w:p w:rsidR="00000000" w:rsidDel="00000000" w:rsidP="00000000" w:rsidRDefault="00000000" w:rsidRPr="00000000" w14:paraId="000001A6">
      <w:pPr>
        <w:shd w:fill="ffffff" w:val="clear"/>
        <w:ind w:firstLine="720"/>
        <w:rPr>
          <w:color w:val="212121"/>
        </w:rPr>
      </w:pPr>
      <w:r w:rsidDel="00000000" w:rsidR="00000000" w:rsidRPr="00000000">
        <w:rPr>
          <w:color w:val="212121"/>
          <w:rtl w:val="0"/>
        </w:rPr>
        <w:t xml:space="preserve">3. Maslach, C; Leiter, MP. Understanding the burnout experience: recent research and its implications for psychiatry. World Psychiatry. 2016, 2, 103-11. DOI: 10.1002/wps.20311. PMID:27265691; PMCID: PMC4911781.</w:t>
      </w:r>
    </w:p>
    <w:p w:rsidR="00000000" w:rsidDel="00000000" w:rsidP="00000000" w:rsidRDefault="00000000" w:rsidRPr="00000000" w14:paraId="000001A7">
      <w:pPr>
        <w:spacing w:line="228" w:lineRule="auto"/>
        <w:ind w:left="425" w:firstLine="720"/>
        <w:rPr>
          <w:color w:val="212121"/>
        </w:rPr>
      </w:pPr>
      <w:r w:rsidDel="00000000" w:rsidR="00000000" w:rsidRPr="00000000">
        <w:rPr>
          <w:rtl w:val="0"/>
        </w:rPr>
      </w:r>
    </w:p>
    <w:p w:rsidR="00000000" w:rsidDel="00000000" w:rsidP="00000000" w:rsidRDefault="00000000" w:rsidRPr="00000000" w14:paraId="000001A8">
      <w:pPr>
        <w:shd w:fill="ffffff" w:val="clear"/>
        <w:ind w:firstLine="720"/>
        <w:rPr>
          <w:color w:val="212121"/>
        </w:rPr>
      </w:pPr>
      <w:r w:rsidDel="00000000" w:rsidR="00000000" w:rsidRPr="00000000">
        <w:rPr>
          <w:color w:val="212121"/>
          <w:rtl w:val="0"/>
        </w:rPr>
        <w:t xml:space="preserve">4. De Hert, S. Burnout in Healthcare Workers: Prevalence, Impact and Preventative Strategies. Local Reg. Anesth. 2020, 13, 171–183. DOI: </w:t>
      </w:r>
      <w:hyperlink r:id="rId11">
        <w:r w:rsidDel="00000000" w:rsidR="00000000" w:rsidRPr="00000000">
          <w:rPr>
            <w:color w:val="1155cc"/>
            <w:u w:val="single"/>
            <w:rtl w:val="0"/>
          </w:rPr>
          <w:t xml:space="preserve">https://doi.org/10.2147/LRA.S240564</w:t>
        </w:r>
      </w:hyperlink>
      <w:r w:rsidDel="00000000" w:rsidR="00000000" w:rsidRPr="00000000">
        <w:rPr>
          <w:color w:val="212121"/>
          <w:rtl w:val="0"/>
        </w:rPr>
        <w:t xml:space="preserve">.</w:t>
      </w:r>
    </w:p>
    <w:p w:rsidR="00000000" w:rsidDel="00000000" w:rsidP="00000000" w:rsidRDefault="00000000" w:rsidRPr="00000000" w14:paraId="000001A9">
      <w:pPr>
        <w:shd w:fill="ffffff" w:val="clear"/>
        <w:ind w:firstLine="720"/>
        <w:rPr/>
      </w:pPr>
      <w:r w:rsidDel="00000000" w:rsidR="00000000" w:rsidRPr="00000000">
        <w:rPr>
          <w:rtl w:val="0"/>
        </w:rPr>
      </w:r>
    </w:p>
    <w:p w:rsidR="00000000" w:rsidDel="00000000" w:rsidP="00000000" w:rsidRDefault="00000000" w:rsidRPr="00000000" w14:paraId="000001AA">
      <w:pPr>
        <w:shd w:fill="ffffff" w:val="clear"/>
        <w:ind w:firstLine="720"/>
        <w:rPr>
          <w:color w:val="1155cc"/>
        </w:rPr>
      </w:pPr>
      <w:r w:rsidDel="00000000" w:rsidR="00000000" w:rsidRPr="00000000">
        <w:rPr>
          <w:rtl w:val="0"/>
        </w:rPr>
        <w:t xml:space="preserve">5. Sovold, LE; Naslund, JA; Kousoulis, AA; Saxena, S; Qoronfleh, MW; Grobler, C; Münter, L. Prioritizing the Mental Health and Well-Being of Healthcare Workers: An Urgent Global Public Health Priority. Front Public Health. 2021; 9 : 679397. DOI:</w:t>
      </w:r>
      <w:r w:rsidDel="00000000" w:rsidR="00000000" w:rsidRPr="00000000">
        <w:rPr>
          <w:color w:val="1155cc"/>
          <w:rtl w:val="0"/>
        </w:rPr>
        <w:t xml:space="preserve"> </w:t>
      </w:r>
      <w:hyperlink r:id="rId12">
        <w:r w:rsidDel="00000000" w:rsidR="00000000" w:rsidRPr="00000000">
          <w:rPr>
            <w:color w:val="1155cc"/>
            <w:rtl w:val="0"/>
          </w:rPr>
          <w:t xml:space="preserve">10.3389/fpubh.2021.679397</w:t>
        </w:r>
      </w:hyperlink>
      <w:r w:rsidDel="00000000" w:rsidR="00000000" w:rsidRPr="00000000">
        <w:rPr>
          <w:color w:val="1155cc"/>
          <w:rtl w:val="0"/>
        </w:rPr>
        <w:t xml:space="preserve"> </w:t>
      </w:r>
    </w:p>
    <w:p w:rsidR="00000000" w:rsidDel="00000000" w:rsidP="00000000" w:rsidRDefault="00000000" w:rsidRPr="00000000" w14:paraId="000001AB">
      <w:pPr>
        <w:shd w:fill="ffffff" w:val="clear"/>
        <w:ind w:firstLine="720"/>
        <w:rPr/>
      </w:pPr>
      <w:r w:rsidDel="00000000" w:rsidR="00000000" w:rsidRPr="00000000">
        <w:rPr>
          <w:rtl w:val="0"/>
        </w:rPr>
      </w:r>
    </w:p>
    <w:p w:rsidR="00000000" w:rsidDel="00000000" w:rsidP="00000000" w:rsidRDefault="00000000" w:rsidRPr="00000000" w14:paraId="000001AC">
      <w:pPr>
        <w:spacing w:line="228" w:lineRule="auto"/>
        <w:ind w:firstLine="720"/>
        <w:rPr/>
      </w:pPr>
      <w:r w:rsidDel="00000000" w:rsidR="00000000" w:rsidRPr="00000000">
        <w:rPr>
          <w:rtl w:val="0"/>
        </w:rPr>
        <w:t xml:space="preserve">6. Durate, I; Teixeira, A; Castro, L. et al</w:t>
      </w:r>
      <w:r w:rsidDel="00000000" w:rsidR="00000000" w:rsidRPr="00000000">
        <w:rPr>
          <w:i w:val="1"/>
          <w:rtl w:val="0"/>
        </w:rPr>
        <w:t xml:space="preserve">.</w:t>
      </w:r>
      <w:r w:rsidDel="00000000" w:rsidR="00000000" w:rsidRPr="00000000">
        <w:rPr>
          <w:rtl w:val="0"/>
        </w:rPr>
        <w:t xml:space="preserve"> Burnout among Portuguese healthcare workers during the COVID-19 pandemic. BMC Public Health 20. 2020, 1885. DOI: </w:t>
      </w:r>
      <w:hyperlink r:id="rId13">
        <w:r w:rsidDel="00000000" w:rsidR="00000000" w:rsidRPr="00000000">
          <w:rPr>
            <w:color w:val="1155cc"/>
            <w:u w:val="single"/>
            <w:rtl w:val="0"/>
          </w:rPr>
          <w:t xml:space="preserve">https://doi.org/10.1186/s12889-020-09980-z</w:t>
        </w:r>
      </w:hyperlink>
      <w:r w:rsidDel="00000000" w:rsidR="00000000" w:rsidRPr="00000000">
        <w:rPr>
          <w:rtl w:val="0"/>
        </w:rPr>
      </w:r>
    </w:p>
    <w:p w:rsidR="00000000" w:rsidDel="00000000" w:rsidP="00000000" w:rsidRDefault="00000000" w:rsidRPr="00000000" w14:paraId="000001AD">
      <w:pPr>
        <w:spacing w:line="228" w:lineRule="auto"/>
        <w:ind w:firstLine="720"/>
        <w:rPr/>
      </w:pPr>
      <w:r w:rsidDel="00000000" w:rsidR="00000000" w:rsidRPr="00000000">
        <w:rPr>
          <w:rtl w:val="0"/>
        </w:rPr>
      </w:r>
    </w:p>
    <w:p w:rsidR="00000000" w:rsidDel="00000000" w:rsidP="00000000" w:rsidRDefault="00000000" w:rsidRPr="00000000" w14:paraId="000001AE">
      <w:pPr>
        <w:shd w:fill="ffffff" w:val="clear"/>
        <w:ind w:firstLine="720"/>
        <w:rPr/>
      </w:pPr>
      <w:r w:rsidDel="00000000" w:rsidR="00000000" w:rsidRPr="00000000">
        <w:rPr>
          <w:highlight w:val="white"/>
          <w:rtl w:val="0"/>
        </w:rPr>
        <w:t xml:space="preserve">7. </w:t>
      </w:r>
      <w:r w:rsidDel="00000000" w:rsidR="00000000" w:rsidRPr="00000000">
        <w:rPr>
          <w:highlight w:val="white"/>
          <w:rtl w:val="0"/>
        </w:rPr>
        <w:t xml:space="preserve">Morgantini, LA; Naha, U; Wang, H; Francavilla, S; Acar, Ö; Flores, JM; et al. Factors contributing to healthcare professional burnout during the COVID-19 pandemic: A rapid turnaround global survey. PLoS ONE. 2020, 15: e0238217. DOI:</w:t>
      </w:r>
      <w:r w:rsidDel="00000000" w:rsidR="00000000" w:rsidRPr="00000000">
        <w:rPr>
          <w:color w:val="202020"/>
          <w:highlight w:val="white"/>
          <w:rtl w:val="0"/>
        </w:rPr>
        <w:t xml:space="preserve"> </w:t>
      </w:r>
      <w:hyperlink r:id="rId14">
        <w:r w:rsidDel="00000000" w:rsidR="00000000" w:rsidRPr="00000000">
          <w:rPr>
            <w:color w:val="1155cc"/>
            <w:highlight w:val="white"/>
            <w:u w:val="single"/>
            <w:rtl w:val="0"/>
          </w:rPr>
          <w:t xml:space="preserve">https://doi.org/10.1371/journal.pone.0238217</w:t>
        </w:r>
      </w:hyperlink>
      <w:r w:rsidDel="00000000" w:rsidR="00000000" w:rsidRPr="00000000">
        <w:rPr>
          <w:color w:val="202020"/>
          <w:highlight w:val="white"/>
          <w:rtl w:val="0"/>
        </w:rPr>
        <w:t xml:space="preserve"> </w:t>
      </w:r>
      <w:r w:rsidDel="00000000" w:rsidR="00000000" w:rsidRPr="00000000">
        <w:rPr>
          <w:rtl w:val="0"/>
        </w:rPr>
      </w:r>
    </w:p>
    <w:p w:rsidR="00000000" w:rsidDel="00000000" w:rsidP="00000000" w:rsidRDefault="00000000" w:rsidRPr="00000000" w14:paraId="000001AF">
      <w:pPr>
        <w:shd w:fill="ffffff" w:val="clear"/>
        <w:rPr/>
      </w:pPr>
      <w:r w:rsidDel="00000000" w:rsidR="00000000" w:rsidRPr="00000000">
        <w:rPr>
          <w:rtl w:val="0"/>
        </w:rPr>
      </w:r>
    </w:p>
    <w:p w:rsidR="00000000" w:rsidDel="00000000" w:rsidP="00000000" w:rsidRDefault="00000000" w:rsidRPr="00000000" w14:paraId="000001B0">
      <w:pPr>
        <w:shd w:fill="ffffff" w:val="clear"/>
        <w:ind w:firstLine="720"/>
        <w:rPr/>
      </w:pPr>
      <w:r w:rsidDel="00000000" w:rsidR="00000000" w:rsidRPr="00000000">
        <w:rPr>
          <w:rtl w:val="0"/>
        </w:rPr>
        <w:t xml:space="preserve">8. Razai, MS; Kooner, P; Majeed, A. Strategies and Interventions to Improve Healthcare Professionals' Well-Being and Reduce Burnout. J Prim Care Community Health. 2023, 14. DOI: 10.1177/21501319231178641. PMID: 37246649; PMCID: PMC10233581.</w:t>
      </w:r>
    </w:p>
    <w:p w:rsidR="00000000" w:rsidDel="00000000" w:rsidP="00000000" w:rsidRDefault="00000000" w:rsidRPr="00000000" w14:paraId="000001B1">
      <w:pPr>
        <w:shd w:fill="ffffff" w:val="clear"/>
        <w:ind w:firstLine="720"/>
        <w:rPr/>
      </w:pPr>
      <w:r w:rsidDel="00000000" w:rsidR="00000000" w:rsidRPr="00000000">
        <w:rPr>
          <w:rtl w:val="0"/>
        </w:rPr>
      </w:r>
    </w:p>
    <w:p w:rsidR="00000000" w:rsidDel="00000000" w:rsidP="00000000" w:rsidRDefault="00000000" w:rsidRPr="00000000" w14:paraId="000001B2">
      <w:pPr>
        <w:shd w:fill="ffffff" w:val="clear"/>
        <w:ind w:firstLine="720"/>
        <w:rPr/>
      </w:pPr>
      <w:r w:rsidDel="00000000" w:rsidR="00000000" w:rsidRPr="00000000">
        <w:rPr>
          <w:rtl w:val="0"/>
        </w:rPr>
        <w:t xml:space="preserve">9. Center for Health Worker Innovation. Building Health Worker Resilience: Um Kit de Ferramentas para Proteger Contra o Esgotamento Profissional nas Linhas de Frente; New Brunswick, NJ, USA, 2021. Available from:</w:t>
      </w:r>
      <w:hyperlink r:id="rId15">
        <w:r w:rsidDel="00000000" w:rsidR="00000000" w:rsidRPr="00000000">
          <w:rPr>
            <w:rtl w:val="0"/>
          </w:rPr>
          <w:t xml:space="preserve"> </w:t>
        </w:r>
      </w:hyperlink>
      <w:hyperlink r:id="rId16">
        <w:r w:rsidDel="00000000" w:rsidR="00000000" w:rsidRPr="00000000">
          <w:rPr>
            <w:color w:val="1155cc"/>
            <w:u w:val="single"/>
            <w:rtl w:val="0"/>
          </w:rPr>
          <w:t xml:space="preserve">https://chwi.jnj.com/about/global-interventions/the-resilience-collaborative/resources</w:t>
        </w:r>
      </w:hyperlink>
      <w:r w:rsidDel="00000000" w:rsidR="00000000" w:rsidRPr="00000000">
        <w:rPr>
          <w:rtl w:val="0"/>
        </w:rPr>
        <w:t xml:space="preserve"> [accessed on Oct 2024].</w:t>
      </w:r>
    </w:p>
    <w:p w:rsidR="00000000" w:rsidDel="00000000" w:rsidP="00000000" w:rsidRDefault="00000000" w:rsidRPr="00000000" w14:paraId="000001B3">
      <w:pPr>
        <w:shd w:fill="ffffff" w:val="clear"/>
        <w:ind w:firstLine="720"/>
        <w:rPr/>
      </w:pPr>
      <w:r w:rsidDel="00000000" w:rsidR="00000000" w:rsidRPr="00000000">
        <w:rPr>
          <w:rtl w:val="0"/>
        </w:rPr>
      </w:r>
    </w:p>
    <w:p w:rsidR="00000000" w:rsidDel="00000000" w:rsidP="00000000" w:rsidRDefault="00000000" w:rsidRPr="00000000" w14:paraId="000001B4">
      <w:pPr>
        <w:shd w:fill="ffffff" w:val="clear"/>
        <w:ind w:firstLine="720"/>
        <w:rPr/>
      </w:pPr>
      <w:r w:rsidDel="00000000" w:rsidR="00000000" w:rsidRPr="00000000">
        <w:rPr>
          <w:color w:val="212121"/>
          <w:rtl w:val="0"/>
        </w:rPr>
        <w:t xml:space="preserve">10. </w:t>
      </w:r>
      <w:r w:rsidDel="00000000" w:rsidR="00000000" w:rsidRPr="00000000">
        <w:rPr>
          <w:color w:val="212121"/>
          <w:rtl w:val="0"/>
        </w:rPr>
        <w:t xml:space="preserve">Aburn</w:t>
      </w:r>
      <w:r w:rsidDel="00000000" w:rsidR="00000000" w:rsidRPr="00000000">
        <w:rPr>
          <w:color w:val="212121"/>
          <w:rtl w:val="0"/>
        </w:rPr>
        <w:t xml:space="preserve">, G; Gott, M; Hoare, K. What is resilience? An Integrative Review of the empirical literature. J Adv Nurs. 2016, 72(5), 980-1000. DOI: 10.1111/jan.12888. Epub 2016 Jan 7. PMID: 26748456.</w:t>
      </w:r>
      <w:r w:rsidDel="00000000" w:rsidR="00000000" w:rsidRPr="00000000">
        <w:rPr>
          <w:rtl w:val="0"/>
        </w:rPr>
      </w:r>
    </w:p>
    <w:p w:rsidR="00000000" w:rsidDel="00000000" w:rsidP="00000000" w:rsidRDefault="00000000" w:rsidRPr="00000000" w14:paraId="000001B5">
      <w:pPr>
        <w:shd w:fill="ffffff" w:val="clear"/>
        <w:ind w:left="0" w:firstLine="0"/>
        <w:rPr/>
      </w:pPr>
      <w:r w:rsidDel="00000000" w:rsidR="00000000" w:rsidRPr="00000000">
        <w:rPr>
          <w:rtl w:val="0"/>
        </w:rPr>
      </w:r>
    </w:p>
    <w:p w:rsidR="00000000" w:rsidDel="00000000" w:rsidP="00000000" w:rsidRDefault="00000000" w:rsidRPr="00000000" w14:paraId="000001B6">
      <w:pPr>
        <w:shd w:fill="ffffff" w:val="clear"/>
        <w:ind w:firstLine="720"/>
        <w:rPr/>
      </w:pPr>
      <w:r w:rsidDel="00000000" w:rsidR="00000000" w:rsidRPr="00000000">
        <w:rPr>
          <w:rtl w:val="0"/>
        </w:rPr>
        <w:t xml:space="preserve">11. Shanafelt, TD; Noseworthy, JH. Executive leadership and physician well-being: nine organizational strategies to promote engagement and reduce sensação de esgotamento e exaustão física e mental. In: Mayo Clinic Proceedings. Elsevier. 2016, 129-146. DOI:</w:t>
      </w:r>
      <w:r w:rsidDel="00000000" w:rsidR="00000000" w:rsidRPr="00000000">
        <w:rPr>
          <w:color w:val="212121"/>
          <w:rtl w:val="0"/>
        </w:rPr>
        <w:t xml:space="preserve"> </w:t>
      </w:r>
      <w:hyperlink r:id="rId17">
        <w:r w:rsidDel="00000000" w:rsidR="00000000" w:rsidRPr="00000000">
          <w:rPr>
            <w:color w:val="0071bc"/>
            <w:rtl w:val="0"/>
          </w:rPr>
          <w:t xml:space="preserve">10.1016/j.mayocp.2016.10.004</w:t>
        </w:r>
      </w:hyperlink>
      <w:r w:rsidDel="00000000" w:rsidR="00000000" w:rsidRPr="00000000">
        <w:rPr>
          <w:rtl w:val="0"/>
        </w:rPr>
      </w:r>
    </w:p>
    <w:p w:rsidR="00000000" w:rsidDel="00000000" w:rsidP="00000000" w:rsidRDefault="00000000" w:rsidRPr="00000000" w14:paraId="000001B7">
      <w:pPr>
        <w:spacing w:after="280" w:before="280" w:lineRule="auto"/>
        <w:ind w:firstLine="720"/>
        <w:rPr/>
      </w:pPr>
      <w:r w:rsidDel="00000000" w:rsidR="00000000" w:rsidRPr="00000000">
        <w:rPr>
          <w:rtl w:val="0"/>
        </w:rPr>
        <w:t xml:space="preserve">12. The Resilience Collaborative (TRC). Johnson &amp; Johnson. 2021. Available from:</w:t>
      </w:r>
      <w:hyperlink r:id="rId18">
        <w:r w:rsidDel="00000000" w:rsidR="00000000" w:rsidRPr="00000000">
          <w:rPr>
            <w:color w:val="1155cc"/>
            <w:u w:val="single"/>
            <w:rtl w:val="0"/>
          </w:rPr>
          <w:t xml:space="preserve">https://trc.community/</w:t>
        </w:r>
      </w:hyperlink>
      <w:r w:rsidDel="00000000" w:rsidR="00000000" w:rsidRPr="00000000">
        <w:rPr>
          <w:rtl w:val="0"/>
        </w:rPr>
        <w:t xml:space="preserve">. [accessed on Oct 2024].</w:t>
      </w:r>
    </w:p>
    <w:p w:rsidR="00000000" w:rsidDel="00000000" w:rsidP="00000000" w:rsidRDefault="00000000" w:rsidRPr="00000000" w14:paraId="000001B8">
      <w:pPr>
        <w:spacing w:after="280" w:before="280" w:lineRule="auto"/>
        <w:ind w:left="0" w:firstLine="0"/>
        <w:rPr/>
      </w:pPr>
      <w:r w:rsidDel="00000000" w:rsidR="00000000" w:rsidRPr="00000000">
        <w:rPr>
          <w:rtl w:val="0"/>
        </w:rPr>
      </w:r>
    </w:p>
    <w:p w:rsidR="00000000" w:rsidDel="00000000" w:rsidP="00000000" w:rsidRDefault="00000000" w:rsidRPr="00000000" w14:paraId="000001B9">
      <w:pPr>
        <w:spacing w:after="280" w:before="280" w:lineRule="auto"/>
        <w:ind w:firstLine="720"/>
        <w:rPr/>
      </w:pPr>
      <w:r w:rsidDel="00000000" w:rsidR="00000000" w:rsidRPr="00000000">
        <w:rPr>
          <w:rtl w:val="0"/>
        </w:rPr>
        <w:t xml:space="preserve">13. Johnson &amp; Johnson. Driving an evidence-rich strategy to strengthen the resilience and well-being of frontline health workers in East Africa [Internet]. [cited 2024 May 27]. Available from: </w:t>
      </w:r>
      <w:hyperlink r:id="rId19">
        <w:r w:rsidDel="00000000" w:rsidR="00000000" w:rsidRPr="00000000">
          <w:rPr>
            <w:color w:val="1155cc"/>
            <w:u w:val="single"/>
            <w:rtl w:val="0"/>
          </w:rPr>
          <w:t xml:space="preserve">https://www.jnj.com/global-health-equity/driving-an-evidence-rich-strategy-to-strengthen-the-resilience-and-well-being-of-frontline-health-workers-in-east-africa</w:t>
        </w:r>
      </w:hyperlink>
      <w:r w:rsidDel="00000000" w:rsidR="00000000" w:rsidRPr="00000000">
        <w:rPr>
          <w:color w:val="333333"/>
          <w:highlight w:val="white"/>
          <w:rtl w:val="0"/>
        </w:rPr>
        <w:t xml:space="preserve"> </w:t>
      </w:r>
      <w:r w:rsidDel="00000000" w:rsidR="00000000" w:rsidRPr="00000000">
        <w:rPr>
          <w:rtl w:val="0"/>
        </w:rPr>
      </w:r>
    </w:p>
    <w:p w:rsidR="00000000" w:rsidDel="00000000" w:rsidP="00000000" w:rsidRDefault="00000000" w:rsidRPr="00000000" w14:paraId="000001BA">
      <w:pPr>
        <w:shd w:fill="ffffff" w:val="clear"/>
        <w:ind w:firstLine="720"/>
        <w:rPr/>
      </w:pPr>
      <w:r w:rsidDel="00000000" w:rsidR="00000000" w:rsidRPr="00000000">
        <w:rPr>
          <w:rtl w:val="0"/>
        </w:rPr>
        <w:t xml:space="preserve">14. Serrano, R; Maria, J. Effect of a Mobile-Based Intervention on Mental Health in Frontline Healthcare Workers Against COVID-19: Protocol for a Randomized Controlled Trial. J. Adv. Nurs. 2021, </w:t>
      </w:r>
      <w:r w:rsidDel="00000000" w:rsidR="00000000" w:rsidRPr="00000000">
        <w:rPr>
          <w:i w:val="1"/>
          <w:rtl w:val="0"/>
        </w:rPr>
        <w:t xml:space="preserve">77</w:t>
      </w:r>
      <w:r w:rsidDel="00000000" w:rsidR="00000000" w:rsidRPr="00000000">
        <w:rPr>
          <w:rtl w:val="0"/>
        </w:rPr>
        <w:t xml:space="preserve">, 2898–2907. DOI: </w:t>
      </w:r>
      <w:hyperlink r:id="rId20">
        <w:r w:rsidDel="00000000" w:rsidR="00000000" w:rsidRPr="00000000">
          <w:rPr>
            <w:color w:val="1155cc"/>
            <w:u w:val="single"/>
            <w:rtl w:val="0"/>
          </w:rPr>
          <w:t xml:space="preserve">https://doi.org/10.1111/jan.14813</w:t>
        </w:r>
      </w:hyperlink>
      <w:r w:rsidDel="00000000" w:rsidR="00000000" w:rsidRPr="00000000">
        <w:rPr>
          <w:rtl w:val="0"/>
        </w:rPr>
        <w:t xml:space="preserve">. </w:t>
      </w:r>
    </w:p>
    <w:p w:rsidR="00000000" w:rsidDel="00000000" w:rsidP="00000000" w:rsidRDefault="00000000" w:rsidRPr="00000000" w14:paraId="000001BB">
      <w:pPr>
        <w:shd w:fill="ffffff" w:val="clear"/>
        <w:ind w:firstLine="720"/>
        <w:rPr/>
      </w:pPr>
      <w:r w:rsidDel="00000000" w:rsidR="00000000" w:rsidRPr="00000000">
        <w:rPr>
          <w:rtl w:val="0"/>
        </w:rPr>
      </w:r>
    </w:p>
    <w:p w:rsidR="00000000" w:rsidDel="00000000" w:rsidP="00000000" w:rsidRDefault="00000000" w:rsidRPr="00000000" w14:paraId="000001BC">
      <w:pPr>
        <w:shd w:fill="ffffff" w:val="clear"/>
        <w:ind w:firstLine="720"/>
        <w:rPr/>
      </w:pPr>
      <w:r w:rsidDel="00000000" w:rsidR="00000000" w:rsidRPr="00000000">
        <w:rPr>
          <w:rtl w:val="0"/>
        </w:rPr>
        <w:t xml:space="preserve">15. Schueller, SM; Torous, J. Scaling Evidence-Based Treatments Through Digital Mental Health. Am. Psychol. 2020, 75, 1093–1104. DOI:</w:t>
      </w:r>
      <w:hyperlink r:id="rId21">
        <w:r w:rsidDel="00000000" w:rsidR="00000000" w:rsidRPr="00000000">
          <w:rPr>
            <w:rtl w:val="0"/>
          </w:rPr>
          <w:t xml:space="preserve"> </w:t>
        </w:r>
      </w:hyperlink>
      <w:hyperlink r:id="rId22">
        <w:r w:rsidDel="00000000" w:rsidR="00000000" w:rsidRPr="00000000">
          <w:rPr>
            <w:color w:val="1155cc"/>
            <w:u w:val="single"/>
            <w:rtl w:val="0"/>
          </w:rPr>
          <w:t xml:space="preserve">https://doi.org/10.1037/amp0000654</w:t>
        </w:r>
      </w:hyperlink>
      <w:r w:rsidDel="00000000" w:rsidR="00000000" w:rsidRPr="00000000">
        <w:rPr>
          <w:rtl w:val="0"/>
        </w:rPr>
        <w:t xml:space="preserve">.</w:t>
      </w:r>
    </w:p>
    <w:p w:rsidR="00000000" w:rsidDel="00000000" w:rsidP="00000000" w:rsidRDefault="00000000" w:rsidRPr="00000000" w14:paraId="000001BD">
      <w:pPr>
        <w:shd w:fill="ffffff" w:val="clear"/>
        <w:ind w:firstLine="720"/>
        <w:rPr/>
      </w:pPr>
      <w:r w:rsidDel="00000000" w:rsidR="00000000" w:rsidRPr="00000000">
        <w:rPr>
          <w:rtl w:val="0"/>
        </w:rPr>
      </w:r>
    </w:p>
    <w:p w:rsidR="00000000" w:rsidDel="00000000" w:rsidP="00000000" w:rsidRDefault="00000000" w:rsidRPr="00000000" w14:paraId="000001BE">
      <w:pPr>
        <w:shd w:fill="ffffff" w:val="clear"/>
        <w:ind w:firstLine="720"/>
        <w:rPr>
          <w:color w:val="1155cc"/>
        </w:rPr>
      </w:pPr>
      <w:r w:rsidDel="00000000" w:rsidR="00000000" w:rsidRPr="00000000">
        <w:rPr>
          <w:rtl w:val="0"/>
        </w:rPr>
        <w:t xml:space="preserve">16. Golden, EA; Zweig, M; Danieletto, M; Landell, K; Nadkarni, G; Bottinger, E; Katz, L; Somarriba, R; Sharma, V; Katz, CL; Marin, BM; DePierro, J; Charney, DS. A resilience-building app to support the mental health of health care workers in the COVID-19 era: Design process, distribution, and evaluation. JMIR Formative Research. 2021, 5: e26590. DOI:</w:t>
      </w:r>
      <w:r w:rsidDel="00000000" w:rsidR="00000000" w:rsidRPr="00000000">
        <w:rPr>
          <w:color w:val="212121"/>
          <w:rtl w:val="0"/>
        </w:rPr>
        <w:t xml:space="preserve"> </w:t>
      </w:r>
      <w:hyperlink r:id="rId23">
        <w:r w:rsidDel="00000000" w:rsidR="00000000" w:rsidRPr="00000000">
          <w:rPr>
            <w:color w:val="1155cc"/>
            <w:rtl w:val="0"/>
          </w:rPr>
          <w:t xml:space="preserve">10.2196/26590</w:t>
        </w:r>
      </w:hyperlink>
      <w:r w:rsidDel="00000000" w:rsidR="00000000" w:rsidRPr="00000000">
        <w:rPr>
          <w:rtl w:val="0"/>
        </w:rPr>
      </w:r>
    </w:p>
    <w:p w:rsidR="00000000" w:rsidDel="00000000" w:rsidP="00000000" w:rsidRDefault="00000000" w:rsidRPr="00000000" w14:paraId="000001BF">
      <w:pPr>
        <w:shd w:fill="ffffff" w:val="clear"/>
        <w:ind w:firstLine="720"/>
        <w:rPr/>
      </w:pPr>
      <w:r w:rsidDel="00000000" w:rsidR="00000000" w:rsidRPr="00000000">
        <w:rPr>
          <w:rtl w:val="0"/>
        </w:rPr>
      </w:r>
    </w:p>
    <w:p w:rsidR="00000000" w:rsidDel="00000000" w:rsidP="00000000" w:rsidRDefault="00000000" w:rsidRPr="00000000" w14:paraId="000001C0">
      <w:pPr>
        <w:shd w:fill="ffffff" w:val="clear"/>
        <w:ind w:firstLine="720"/>
        <w:rPr>
          <w:color w:val="1155cc"/>
        </w:rPr>
      </w:pPr>
      <w:r w:rsidDel="00000000" w:rsidR="00000000" w:rsidRPr="00000000">
        <w:rPr>
          <w:rtl w:val="0"/>
        </w:rPr>
        <w:t xml:space="preserve">17. Fiol-DeRoque, MA; Serrano-Ripoll, MJ; Jiménez, R; Zamanillo-Campos, R; Yánez-Juan, AM; et al. A Mobile phone–based intervention to reduce mental health problems in health care workers during the COVID-19 pandemic (PsyCovidApp): randomized controlled trial. JMIR mHealth and uHealth. 2021, 9, 5, e27039. DOI</w:t>
      </w:r>
      <w:r w:rsidDel="00000000" w:rsidR="00000000" w:rsidRPr="00000000">
        <w:rPr>
          <w:color w:val="212121"/>
          <w:rtl w:val="0"/>
        </w:rPr>
        <w:t xml:space="preserve">: </w:t>
      </w:r>
      <w:hyperlink r:id="rId24">
        <w:r w:rsidDel="00000000" w:rsidR="00000000" w:rsidRPr="00000000">
          <w:rPr>
            <w:color w:val="1155cc"/>
            <w:rtl w:val="0"/>
          </w:rPr>
          <w:t xml:space="preserve">10.2196/27039</w:t>
        </w:r>
      </w:hyperlink>
      <w:r w:rsidDel="00000000" w:rsidR="00000000" w:rsidRPr="00000000">
        <w:rPr>
          <w:rtl w:val="0"/>
        </w:rPr>
      </w:r>
    </w:p>
    <w:p w:rsidR="00000000" w:rsidDel="00000000" w:rsidP="00000000" w:rsidRDefault="00000000" w:rsidRPr="00000000" w14:paraId="000001C1">
      <w:pPr>
        <w:shd w:fill="ffffff" w:val="clear"/>
        <w:ind w:firstLine="720"/>
        <w:rPr>
          <w:color w:val="212121"/>
        </w:rPr>
      </w:pPr>
      <w:r w:rsidDel="00000000" w:rsidR="00000000" w:rsidRPr="00000000">
        <w:rPr>
          <w:rtl w:val="0"/>
        </w:rPr>
      </w:r>
    </w:p>
    <w:p w:rsidR="00000000" w:rsidDel="00000000" w:rsidP="00000000" w:rsidRDefault="00000000" w:rsidRPr="00000000" w14:paraId="000001C2">
      <w:pPr>
        <w:shd w:fill="ffffff" w:val="clear"/>
        <w:ind w:firstLine="720"/>
        <w:rPr>
          <w:color w:val="212121"/>
        </w:rPr>
      </w:pPr>
      <w:r w:rsidDel="00000000" w:rsidR="00000000" w:rsidRPr="00000000">
        <w:rPr>
          <w:color w:val="212121"/>
          <w:rtl w:val="0"/>
        </w:rPr>
        <w:t xml:space="preserve">18. Michie, S.; Richardson, M.; Johnston, M.; Abraham, C.; Francis, J.; Hardeman, W.; Eccles, M.P.; Cane, J.; Wood, C.E. The Behavior Change Technique Taxonomy (v1) of 93 Hierarchically Clustered Techniques: Building an International Consensus for the Reporting of Behavior Change Interventions. Ann. Behav. Med. 2013, </w:t>
      </w:r>
      <w:r w:rsidDel="00000000" w:rsidR="00000000" w:rsidRPr="00000000">
        <w:rPr>
          <w:i w:val="1"/>
          <w:color w:val="212121"/>
          <w:rtl w:val="0"/>
        </w:rPr>
        <w:t xml:space="preserve">46</w:t>
      </w:r>
      <w:r w:rsidDel="00000000" w:rsidR="00000000" w:rsidRPr="00000000">
        <w:rPr>
          <w:color w:val="212121"/>
          <w:rtl w:val="0"/>
        </w:rPr>
        <w:t xml:space="preserve">(1), 81–95, </w:t>
      </w:r>
      <w:hyperlink r:id="rId25">
        <w:r w:rsidDel="00000000" w:rsidR="00000000" w:rsidRPr="00000000">
          <w:rPr>
            <w:color w:val="1155cc"/>
            <w:u w:val="single"/>
            <w:rtl w:val="0"/>
          </w:rPr>
          <w:t xml:space="preserve">https://doi.org/10.1007/s12160-013-9486-6</w:t>
        </w:r>
      </w:hyperlink>
      <w:r w:rsidDel="00000000" w:rsidR="00000000" w:rsidRPr="00000000">
        <w:rPr>
          <w:color w:val="212121"/>
          <w:rtl w:val="0"/>
        </w:rPr>
        <w:t xml:space="preserve">.</w:t>
      </w:r>
    </w:p>
    <w:p w:rsidR="00000000" w:rsidDel="00000000" w:rsidP="00000000" w:rsidRDefault="00000000" w:rsidRPr="00000000" w14:paraId="000001C3">
      <w:pPr>
        <w:tabs>
          <w:tab w:val="left" w:leader="none" w:pos="560"/>
          <w:tab w:val="left" w:leader="none" w:pos="1120"/>
          <w:tab w:val="left" w:leader="none" w:pos="1680"/>
          <w:tab w:val="left" w:leader="none" w:pos="2240"/>
          <w:tab w:val="left" w:leader="none" w:pos="2800"/>
          <w:tab w:val="left" w:leader="none" w:pos="3360"/>
          <w:tab w:val="left" w:leader="none" w:pos="3920"/>
          <w:tab w:val="left" w:leader="none" w:pos="4480"/>
          <w:tab w:val="left" w:leader="none" w:pos="5040"/>
          <w:tab w:val="left" w:leader="none" w:pos="5600"/>
          <w:tab w:val="left" w:leader="none" w:pos="6160"/>
          <w:tab w:val="left" w:leader="none" w:pos="6720"/>
        </w:tabs>
        <w:ind w:firstLine="720.0000000000001"/>
        <w:rPr/>
      </w:pPr>
      <w:r w:rsidDel="00000000" w:rsidR="00000000" w:rsidRPr="00000000">
        <w:rPr>
          <w:rtl w:val="0"/>
        </w:rPr>
      </w:r>
    </w:p>
    <w:p w:rsidR="00000000" w:rsidDel="00000000" w:rsidP="00000000" w:rsidRDefault="00000000" w:rsidRPr="00000000" w14:paraId="000001C4">
      <w:pPr>
        <w:tabs>
          <w:tab w:val="left" w:leader="none" w:pos="560"/>
          <w:tab w:val="left" w:leader="none" w:pos="1120"/>
          <w:tab w:val="left" w:leader="none" w:pos="1680"/>
          <w:tab w:val="left" w:leader="none" w:pos="2240"/>
          <w:tab w:val="left" w:leader="none" w:pos="2800"/>
          <w:tab w:val="left" w:leader="none" w:pos="3360"/>
          <w:tab w:val="left" w:leader="none" w:pos="3920"/>
          <w:tab w:val="left" w:leader="none" w:pos="4480"/>
          <w:tab w:val="left" w:leader="none" w:pos="5040"/>
          <w:tab w:val="left" w:leader="none" w:pos="5600"/>
          <w:tab w:val="left" w:leader="none" w:pos="6160"/>
          <w:tab w:val="left" w:leader="none" w:pos="6720"/>
        </w:tabs>
        <w:ind w:firstLine="720.0000000000001"/>
        <w:rPr>
          <w:color w:val="212121"/>
        </w:rPr>
      </w:pPr>
      <w:r w:rsidDel="00000000" w:rsidR="00000000" w:rsidRPr="00000000">
        <w:rPr>
          <w:rtl w:val="0"/>
        </w:rPr>
        <w:t xml:space="preserve">19. Perlo, J.; Balik, B.; Swensen, S.; Kabcenell, A.; Landsman, J.; Feeley, D. *IHI Framework for Improving Joy in Work*; Institute for Healthcare Improvement: Cambridge, MA, USA, 2017. Available online: </w:t>
      </w:r>
      <w:hyperlink r:id="rId26">
        <w:r w:rsidDel="00000000" w:rsidR="00000000" w:rsidRPr="00000000">
          <w:rPr>
            <w:color w:val="1155cc"/>
            <w:u w:val="single"/>
            <w:rtl w:val="0"/>
          </w:rPr>
          <w:t xml:space="preserve">https://www.ihi.org</w:t>
        </w:r>
      </w:hyperlink>
      <w:r w:rsidDel="00000000" w:rsidR="00000000" w:rsidRPr="00000000">
        <w:rPr>
          <w:rtl w:val="0"/>
        </w:rPr>
        <w:t xml:space="preserve"> [accessed on Oct 2024].</w:t>
      </w:r>
      <w:r w:rsidDel="00000000" w:rsidR="00000000" w:rsidRPr="00000000">
        <w:rPr>
          <w:rtl w:val="0"/>
        </w:rPr>
      </w:r>
    </w:p>
    <w:p w:rsidR="00000000" w:rsidDel="00000000" w:rsidP="00000000" w:rsidRDefault="00000000" w:rsidRPr="00000000" w14:paraId="000001C5">
      <w:pPr>
        <w:shd w:fill="ffffff" w:val="clear"/>
        <w:ind w:firstLine="720"/>
        <w:rPr/>
      </w:pPr>
      <w:r w:rsidDel="00000000" w:rsidR="00000000" w:rsidRPr="00000000">
        <w:rPr>
          <w:rtl w:val="0"/>
        </w:rPr>
      </w:r>
    </w:p>
    <w:p w:rsidR="00000000" w:rsidDel="00000000" w:rsidP="00000000" w:rsidRDefault="00000000" w:rsidRPr="00000000" w14:paraId="000001C6">
      <w:pPr>
        <w:shd w:fill="ffffff" w:val="clear"/>
        <w:ind w:firstLine="720"/>
        <w:rPr/>
      </w:pPr>
      <w:r w:rsidDel="00000000" w:rsidR="00000000" w:rsidRPr="00000000">
        <w:rPr>
          <w:rtl w:val="0"/>
        </w:rPr>
        <w:t xml:space="preserve">20. Smith, BW; Dalen, J; Wiggins, K; Tooley, E; Christopher, P; Bernard, J. The Brief Resilience Scale: Assessing the Ability to Bounce Back. Int. J. Behav. Med. 2008, 15(3), 194–200. DOI: </w:t>
      </w:r>
      <w:hyperlink r:id="rId27">
        <w:r w:rsidDel="00000000" w:rsidR="00000000" w:rsidRPr="00000000">
          <w:rPr>
            <w:color w:val="1155cc"/>
            <w:u w:val="single"/>
            <w:rtl w:val="0"/>
          </w:rPr>
          <w:t xml:space="preserve">https://doi.org/10.1080/10705500802222972</w:t>
        </w:r>
      </w:hyperlink>
      <w:r w:rsidDel="00000000" w:rsidR="00000000" w:rsidRPr="00000000">
        <w:rPr>
          <w:rtl w:val="0"/>
        </w:rPr>
        <w:t xml:space="preserve">.</w:t>
      </w:r>
    </w:p>
    <w:p w:rsidR="00000000" w:rsidDel="00000000" w:rsidP="00000000" w:rsidRDefault="00000000" w:rsidRPr="00000000" w14:paraId="000001C7">
      <w:pPr>
        <w:shd w:fill="ffffff" w:val="clear"/>
        <w:ind w:firstLine="720"/>
        <w:rPr/>
      </w:pPr>
      <w:r w:rsidDel="00000000" w:rsidR="00000000" w:rsidRPr="00000000">
        <w:rPr>
          <w:rtl w:val="0"/>
        </w:rPr>
      </w:r>
    </w:p>
    <w:p w:rsidR="00000000" w:rsidDel="00000000" w:rsidP="00000000" w:rsidRDefault="00000000" w:rsidRPr="00000000" w14:paraId="000001C8">
      <w:pPr>
        <w:shd w:fill="ffffff" w:val="clear"/>
        <w:ind w:firstLine="720"/>
        <w:rPr>
          <w:color w:val="333333"/>
          <w:highlight w:val="white"/>
        </w:rPr>
      </w:pPr>
      <w:r w:rsidDel="00000000" w:rsidR="00000000" w:rsidRPr="00000000">
        <w:rPr>
          <w:rtl w:val="0"/>
        </w:rPr>
        <w:t xml:space="preserve">21. Da Silva-Sauer, L; Torre-Luque, A; Smith, BW; Lins, MCMC; Andrade, S; Fernández-Calvo, B. Brief Resilience Scale (BRS) Portuguese Version: validity and metrics for the older adult population. Aging &amp; Mental Health. 2020, 25, 8, 1554-1563. DOI</w:t>
      </w:r>
      <w:r w:rsidDel="00000000" w:rsidR="00000000" w:rsidRPr="00000000">
        <w:rPr>
          <w:color w:val="212121"/>
          <w:rtl w:val="0"/>
        </w:rPr>
        <w:t xml:space="preserve">: </w:t>
      </w:r>
      <w:hyperlink r:id="rId28">
        <w:r w:rsidDel="00000000" w:rsidR="00000000" w:rsidRPr="00000000">
          <w:rPr>
            <w:color w:val="0071bc"/>
            <w:rtl w:val="0"/>
          </w:rPr>
          <w:t xml:space="preserve">10.1080/13607863.2020.1753015</w:t>
        </w:r>
      </w:hyperlink>
      <w:r w:rsidDel="00000000" w:rsidR="00000000" w:rsidRPr="00000000">
        <w:rPr>
          <w:rtl w:val="0"/>
        </w:rPr>
      </w:r>
    </w:p>
    <w:p w:rsidR="00000000" w:rsidDel="00000000" w:rsidP="00000000" w:rsidRDefault="00000000" w:rsidRPr="00000000" w14:paraId="000001C9">
      <w:pPr>
        <w:shd w:fill="ffffff" w:val="clear"/>
        <w:ind w:firstLine="720"/>
        <w:rPr/>
      </w:pPr>
      <w:r w:rsidDel="00000000" w:rsidR="00000000" w:rsidRPr="00000000">
        <w:rPr>
          <w:rtl w:val="0"/>
        </w:rPr>
      </w:r>
    </w:p>
    <w:p w:rsidR="00000000" w:rsidDel="00000000" w:rsidP="00000000" w:rsidRDefault="00000000" w:rsidRPr="00000000" w14:paraId="000001CA">
      <w:pPr>
        <w:shd w:fill="ffffff" w:val="clear"/>
        <w:ind w:firstLine="720"/>
        <w:rPr/>
      </w:pPr>
      <w:r w:rsidDel="00000000" w:rsidR="00000000" w:rsidRPr="00000000">
        <w:rPr>
          <w:rtl w:val="0"/>
        </w:rPr>
        <w:t xml:space="preserve">22. De Souza, CM; Hidalgo, MPL. World Health Organization 5-item well-being index: validation of the Brazilian Portuguese version. European archives of psychiatry and clinical neuroscience. 2012, 262, 3, 239-244. </w:t>
      </w:r>
      <w:r w:rsidDel="00000000" w:rsidR="00000000" w:rsidRPr="00000000">
        <w:rPr>
          <w:color w:val="212121"/>
          <w:rtl w:val="0"/>
        </w:rPr>
        <w:t xml:space="preserve"> </w:t>
      </w:r>
      <w:r w:rsidDel="00000000" w:rsidR="00000000" w:rsidRPr="00000000">
        <w:rPr>
          <w:rtl w:val="0"/>
        </w:rPr>
        <w:t xml:space="preserve">DOI:</w:t>
      </w:r>
      <w:r w:rsidDel="00000000" w:rsidR="00000000" w:rsidRPr="00000000">
        <w:rPr>
          <w:color w:val="212121"/>
          <w:rtl w:val="0"/>
        </w:rPr>
        <w:t xml:space="preserve"> </w:t>
      </w:r>
      <w:hyperlink r:id="rId29">
        <w:r w:rsidDel="00000000" w:rsidR="00000000" w:rsidRPr="00000000">
          <w:rPr>
            <w:color w:val="0071bc"/>
            <w:rtl w:val="0"/>
          </w:rPr>
          <w:t xml:space="preserve">10.1007/s00406-011-0255-x</w:t>
        </w:r>
      </w:hyperlink>
      <w:r w:rsidDel="00000000" w:rsidR="00000000" w:rsidRPr="00000000">
        <w:rPr>
          <w:rtl w:val="0"/>
        </w:rPr>
      </w:r>
    </w:p>
    <w:p w:rsidR="00000000" w:rsidDel="00000000" w:rsidP="00000000" w:rsidRDefault="00000000" w:rsidRPr="00000000" w14:paraId="000001CB">
      <w:pPr>
        <w:shd w:fill="ffffff" w:val="clear"/>
        <w:ind w:left="0" w:firstLine="0"/>
        <w:rPr/>
      </w:pPr>
      <w:r w:rsidDel="00000000" w:rsidR="00000000" w:rsidRPr="00000000">
        <w:rPr>
          <w:rtl w:val="0"/>
        </w:rPr>
      </w:r>
    </w:p>
    <w:p w:rsidR="00000000" w:rsidDel="00000000" w:rsidP="00000000" w:rsidRDefault="00000000" w:rsidRPr="00000000" w14:paraId="000001CC">
      <w:pPr>
        <w:shd w:fill="ffffff" w:val="clear"/>
        <w:ind w:firstLine="720"/>
        <w:rPr>
          <w:highlight w:val="white"/>
        </w:rPr>
      </w:pPr>
      <w:r w:rsidDel="00000000" w:rsidR="00000000" w:rsidRPr="00000000">
        <w:rPr>
          <w:highlight w:val="white"/>
          <w:rtl w:val="0"/>
        </w:rPr>
        <w:t xml:space="preserve">23. </w:t>
      </w:r>
      <w:r w:rsidDel="00000000" w:rsidR="00000000" w:rsidRPr="00000000">
        <w:rPr>
          <w:highlight w:val="white"/>
          <w:rtl w:val="0"/>
        </w:rPr>
        <w:t xml:space="preserve">Maslach, C; Jackson, SE.; Leiter, MP. Maslach Burnout Inventory: Third Edition. In Evaluating Stress: A Book of Resources; Zalaquett, CP., Wood, RJ., Eds.; Scarecrow Education: Lanham, MD, USA, 1997, 191–218.</w:t>
      </w:r>
    </w:p>
    <w:p w:rsidR="00000000" w:rsidDel="00000000" w:rsidP="00000000" w:rsidRDefault="00000000" w:rsidRPr="00000000" w14:paraId="000001CD">
      <w:pPr>
        <w:shd w:fill="ffffff" w:val="clear"/>
        <w:ind w:left="0" w:firstLine="0"/>
        <w:rPr/>
      </w:pPr>
      <w:r w:rsidDel="00000000" w:rsidR="00000000" w:rsidRPr="00000000">
        <w:rPr>
          <w:rtl w:val="0"/>
        </w:rPr>
      </w:r>
    </w:p>
    <w:p w:rsidR="00000000" w:rsidDel="00000000" w:rsidP="00000000" w:rsidRDefault="00000000" w:rsidRPr="00000000" w14:paraId="000001CE">
      <w:pPr>
        <w:shd w:fill="ffffff" w:val="clear"/>
        <w:ind w:firstLine="720"/>
        <w:rPr/>
      </w:pPr>
      <w:r w:rsidDel="00000000" w:rsidR="00000000" w:rsidRPr="00000000">
        <w:rPr>
          <w:color w:val="212121"/>
          <w:highlight w:val="white"/>
          <w:rtl w:val="0"/>
        </w:rPr>
        <w:t xml:space="preserve">24. Cubero, D I; Fumis, R R; de Sá, TH; Dettino, A; Costa, FO. et a</w:t>
      </w:r>
      <w:r w:rsidDel="00000000" w:rsidR="00000000" w:rsidRPr="00000000">
        <w:rPr>
          <w:color w:val="212121"/>
          <w:rtl w:val="0"/>
        </w:rPr>
        <w:t xml:space="preserve">l</w:t>
      </w:r>
      <w:r w:rsidDel="00000000" w:rsidR="00000000" w:rsidRPr="00000000">
        <w:rPr>
          <w:rtl w:val="0"/>
        </w:rPr>
        <w:t xml:space="preserve">. Burnout in Medical Oncology Fellows: A Prospective Multicenter Cohort Study in Brazilian Institutions. J. Cancer Educ. 2016, </w:t>
      </w:r>
      <w:r w:rsidDel="00000000" w:rsidR="00000000" w:rsidRPr="00000000">
        <w:rPr>
          <w:i w:val="1"/>
          <w:rtl w:val="0"/>
        </w:rPr>
        <w:t xml:space="preserve">31</w:t>
      </w:r>
      <w:r w:rsidDel="00000000" w:rsidR="00000000" w:rsidRPr="00000000">
        <w:rPr>
          <w:rtl w:val="0"/>
        </w:rPr>
        <w:t xml:space="preserve">(3), 582–587. DOI: </w:t>
      </w:r>
      <w:hyperlink r:id="rId30">
        <w:r w:rsidDel="00000000" w:rsidR="00000000" w:rsidRPr="00000000">
          <w:rPr>
            <w:color w:val="205493"/>
            <w:u w:val="single"/>
            <w:rtl w:val="0"/>
          </w:rPr>
          <w:t xml:space="preserve">10.1007/s13187-015-0850-z</w:t>
        </w:r>
      </w:hyperlink>
      <w:r w:rsidDel="00000000" w:rsidR="00000000" w:rsidRPr="00000000">
        <w:rPr>
          <w:rtl w:val="0"/>
        </w:rPr>
      </w:r>
    </w:p>
    <w:p w:rsidR="00000000" w:rsidDel="00000000" w:rsidP="00000000" w:rsidRDefault="00000000" w:rsidRPr="00000000" w14:paraId="000001CF">
      <w:pPr>
        <w:ind w:left="0" w:firstLine="0"/>
        <w:rPr>
          <w:b w:val="1"/>
        </w:rPr>
      </w:pPr>
      <w:r w:rsidDel="00000000" w:rsidR="00000000" w:rsidRPr="00000000">
        <w:rPr>
          <w:rtl w:val="0"/>
        </w:rPr>
      </w:r>
    </w:p>
    <w:p w:rsidR="00000000" w:rsidDel="00000000" w:rsidP="00000000" w:rsidRDefault="00000000" w:rsidRPr="00000000" w14:paraId="000001D0">
      <w:pPr>
        <w:ind w:firstLine="720"/>
        <w:rPr/>
      </w:pPr>
      <w:r w:rsidDel="00000000" w:rsidR="00000000" w:rsidRPr="00000000">
        <w:rPr>
          <w:b w:val="1"/>
          <w:rtl w:val="0"/>
        </w:rPr>
        <w:t xml:space="preserve">Disclaimer/Publisher’s Note:</w:t>
      </w:r>
      <w:r w:rsidDel="00000000" w:rsidR="00000000" w:rsidRPr="00000000">
        <w:rPr>
          <w:rtl w:val="0"/>
        </w:rPr>
        <w:t xml:space="preserve"> The statements, opinions and data contained in all publications are solely those of the individual author(s) and contributor(s) and not of MDPI and/or the editor(s). MDPI and/or the editor(s) disclaim responsibility for any injury to people or property resulting from any ideas, methods, instructions or products referred to in the content.</w:t>
      </w:r>
    </w:p>
    <w:p w:rsidR="00000000" w:rsidDel="00000000" w:rsidP="00000000" w:rsidRDefault="00000000" w:rsidRPr="00000000" w14:paraId="000001D1">
      <w:pPr>
        <w:jc w:val="both"/>
        <w:rPr/>
      </w:pPr>
      <w:r w:rsidDel="00000000" w:rsidR="00000000" w:rsidRPr="00000000">
        <w:br w:type="page"/>
      </w:r>
      <w:r w:rsidDel="00000000" w:rsidR="00000000" w:rsidRPr="00000000">
        <w:rPr>
          <w:rtl w:val="0"/>
        </w:rPr>
      </w:r>
    </w:p>
    <w:p w:rsidR="00000000" w:rsidDel="00000000" w:rsidP="00000000" w:rsidRDefault="00000000" w:rsidRPr="00000000" w14:paraId="000001D2">
      <w:pPr>
        <w:ind w:firstLine="720"/>
        <w:rPr/>
      </w:pPr>
      <w:r w:rsidDel="00000000" w:rsidR="00000000" w:rsidRPr="00000000">
        <w:rPr>
          <w:rtl w:val="0"/>
        </w:rPr>
        <w:t xml:space="preserve">Supplementary materials</w:t>
      </w:r>
      <w:r w:rsidDel="00000000" w:rsidR="00000000" w:rsidRPr="00000000">
        <w:rPr>
          <w:rtl w:val="0"/>
        </w:rPr>
      </w:r>
    </w:p>
    <w:p w:rsidR="00000000" w:rsidDel="00000000" w:rsidP="00000000" w:rsidRDefault="00000000" w:rsidRPr="00000000" w14:paraId="000001D3">
      <w:pPr>
        <w:pBdr>
          <w:top w:space="0" w:sz="0" w:val="nil"/>
          <w:left w:space="0" w:sz="0" w:val="nil"/>
          <w:bottom w:space="0" w:sz="0" w:val="nil"/>
          <w:right w:space="0" w:sz="0" w:val="nil"/>
          <w:between w:space="0" w:sz="0" w:val="nil"/>
        </w:pBdr>
        <w:ind w:firstLine="720"/>
        <w:rPr/>
      </w:pPr>
      <w:r w:rsidDel="00000000" w:rsidR="00000000" w:rsidRPr="00000000">
        <w:rPr/>
        <w:drawing>
          <wp:inline distB="0" distT="0" distL="0" distR="0">
            <wp:extent cx="5325906" cy="6912767"/>
            <wp:effectExtent b="0" l="0" r="0" t="0"/>
            <wp:docPr descr="A diagram of a flowchart&#10;&#10;Description automatically generated" id="1982121174" name="image4.png"/>
            <a:graphic>
              <a:graphicData uri="http://schemas.openxmlformats.org/drawingml/2006/picture">
                <pic:pic>
                  <pic:nvPicPr>
                    <pic:cNvPr descr="A diagram of a flowchart&#10;&#10;Description automatically generated" id="0" name="image4.png"/>
                    <pic:cNvPicPr preferRelativeResize="0"/>
                  </pic:nvPicPr>
                  <pic:blipFill>
                    <a:blip r:embed="rId31"/>
                    <a:srcRect b="0" l="0" r="0" t="0"/>
                    <a:stretch>
                      <a:fillRect/>
                    </a:stretch>
                  </pic:blipFill>
                  <pic:spPr>
                    <a:xfrm>
                      <a:off x="0" y="0"/>
                      <a:ext cx="5325906" cy="6912767"/>
                    </a:xfrm>
                    <a:prstGeom prst="rect"/>
                    <a:ln/>
                  </pic:spPr>
                </pic:pic>
              </a:graphicData>
            </a:graphic>
          </wp:inline>
        </w:drawing>
      </w:r>
      <w:r w:rsidDel="00000000" w:rsidR="00000000" w:rsidRPr="00000000">
        <w:rPr>
          <w:rtl w:val="0"/>
        </w:rPr>
      </w:r>
    </w:p>
    <w:sectPr>
      <w:headerReference r:id="rId32" w:type="default"/>
      <w:headerReference r:id="rId33" w:type="first"/>
      <w:headerReference r:id="rId34" w:type="even"/>
      <w:footerReference r:id="rId35" w:type="default"/>
      <w:footerReference r:id="rId36" w:type="first"/>
      <w:pgSz w:h="16838" w:w="11906" w:orient="portrait"/>
      <w:pgMar w:bottom="720" w:top="720" w:left="720" w:right="720" w:header="1020" w:footer="340"/>
      <w:lnNumType w:countBy="1" w:start="0" w:restart="continuous"/>
      <w:pgNumType w:start="1"/>
      <w:titlePg w:val="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Georgia"/>
  <w:font w:name="Calibri"/>
  <w:font w:name="Times New Roman"/>
  <w:font w:name="Palatino Linotype">
    <w:embedRegular w:fontKey="{00000000-0000-0000-0000-000000000000}" r:id="rId1" w:subsetted="0"/>
    <w:embedBold w:fontKey="{00000000-0000-0000-0000-000000000000}" r:id="rId2" w:subsetted="0"/>
    <w:embedItalic w:fontKey="{00000000-0000-0000-0000-000000000000}" r:id="rId3" w:subsetted="0"/>
    <w:embedBoldItalic w:fontKey="{00000000-0000-0000-0000-000000000000}" r:id="rId4" w:subsetted="0"/>
  </w:font>
</w:fonts>
</file>

<file path=word/footer1.xml><?xml version="1.0" encoding="utf-8"?>
<w:ft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1DC">
    <w:pPr>
      <w:pBdr>
        <w:top w:space="0" w:sz="0" w:val="nil"/>
        <w:left w:space="0" w:sz="0" w:val="nil"/>
        <w:bottom w:space="0" w:sz="0" w:val="nil"/>
        <w:right w:space="0" w:sz="0" w:val="nil"/>
        <w:between w:space="0" w:sz="0" w:val="nil"/>
      </w:pBdr>
      <w:tabs>
        <w:tab w:val="center" w:leader="none" w:pos="4153"/>
        <w:tab w:val="right" w:leader="none" w:pos="8306"/>
      </w:tabs>
      <w:rPr/>
    </w:pPr>
    <w:r w:rsidDel="00000000" w:rsidR="00000000" w:rsidRPr="00000000">
      <w:rPr>
        <w:rtl w:val="0"/>
      </w:rPr>
    </w:r>
  </w:p>
</w:ftr>
</file>

<file path=word/footer2.xml><?xml version="1.0" encoding="utf-8"?>
<w:ft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1DD">
    <w:pPr>
      <w:keepNext w:val="0"/>
      <w:keepLines w:val="0"/>
      <w:pageBreakBefore w:val="0"/>
      <w:widowControl w:val="1"/>
      <w:pBdr>
        <w:top w:space="0" w:sz="0" w:val="nil"/>
        <w:left w:space="0" w:sz="0" w:val="nil"/>
        <w:bottom w:space="0" w:sz="0" w:val="nil"/>
        <w:right w:space="0" w:sz="0" w:val="nil"/>
        <w:between w:space="0" w:sz="0" w:val="nil"/>
      </w:pBdr>
      <w:shd w:fill="auto" w:val="clear"/>
      <w:tabs>
        <w:tab w:val="center" w:leader="none" w:pos="4153"/>
        <w:tab w:val="right" w:leader="none" w:pos="8306"/>
      </w:tabs>
      <w:spacing w:after="0" w:before="0" w:line="240" w:lineRule="auto"/>
      <w:ind w:left="0" w:right="0" w:firstLine="0"/>
      <w:jc w:val="right"/>
      <w:rPr>
        <w:rFonts w:ascii="Palatino Linotype" w:cs="Palatino Linotype" w:eastAsia="Palatino Linotype" w:hAnsi="Palatino Linotype"/>
        <w:b w:val="0"/>
        <w:i w:val="0"/>
        <w:smallCaps w:val="0"/>
        <w:strike w:val="0"/>
        <w:color w:val="000000"/>
        <w:sz w:val="20"/>
        <w:szCs w:val="20"/>
        <w:u w:val="none"/>
        <w:shd w:fill="auto" w:val="clear"/>
        <w:vertAlign w:val="baseline"/>
      </w:rPr>
    </w:pPr>
    <w:r w:rsidDel="00000000" w:rsidR="00000000" w:rsidRPr="00000000">
      <w:rPr>
        <w:rFonts w:ascii="Palatino Linotype" w:cs="Palatino Linotype" w:eastAsia="Palatino Linotype" w:hAnsi="Palatino Linotype"/>
        <w:b w:val="0"/>
        <w:i w:val="0"/>
        <w:smallCaps w:val="0"/>
        <w:strike w:val="0"/>
        <w:color w:val="000000"/>
        <w:sz w:val="20"/>
        <w:szCs w:val="20"/>
        <w:u w:val="none"/>
        <w:shd w:fill="auto" w:val="clear"/>
        <w:vertAlign w:val="baseline"/>
      </w:rPr>
      <w:fldChar w:fldCharType="begin"/>
      <w:instrText xml:space="preserve">PAGE</w:instrText>
      <w:fldChar w:fldCharType="separate"/>
      <w:fldChar w:fldCharType="end"/>
    </w:r>
    <w:r w:rsidDel="00000000" w:rsidR="00000000" w:rsidRPr="00000000">
      <w:rPr>
        <w:rtl w:val="0"/>
      </w:rPr>
    </w:r>
  </w:p>
  <w:p w:rsidR="00000000" w:rsidDel="00000000" w:rsidP="00000000" w:rsidRDefault="00000000" w:rsidRPr="00000000" w14:paraId="000001DE">
    <w:pPr>
      <w:pBdr>
        <w:top w:space="0" w:sz="0" w:val="nil"/>
        <w:left w:space="0" w:sz="0" w:val="nil"/>
        <w:bottom w:space="0" w:sz="0" w:val="nil"/>
        <w:right w:space="0" w:sz="0" w:val="nil"/>
        <w:between w:space="0" w:sz="0" w:val="nil"/>
      </w:pBdr>
      <w:tabs>
        <w:tab w:val="right" w:leader="none" w:pos="8845"/>
        <w:tab w:val="right" w:leader="none" w:pos="10466"/>
      </w:tabs>
      <w:rPr>
        <w:sz w:val="16"/>
        <w:szCs w:val="16"/>
      </w:rPr>
    </w:pPr>
    <w:r w:rsidDel="00000000" w:rsidR="00000000" w:rsidRPr="00000000">
      <w:rPr>
        <w:rtl w:val="0"/>
      </w:rPr>
    </w:r>
  </w:p>
</w:ftr>
</file>

<file path=word/header1.xml><?xml version="1.0" encoding="utf-8"?>
<w:hd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1D4">
    <w:pPr>
      <w:pBdr>
        <w:top w:space="0" w:sz="0" w:val="nil"/>
        <w:left w:space="0" w:sz="0" w:val="nil"/>
        <w:bottom w:color="000000" w:space="0" w:sz="0" w:val="none"/>
        <w:right w:space="0" w:sz="0" w:val="nil"/>
        <w:between w:space="0" w:sz="0" w:val="nil"/>
      </w:pBdr>
      <w:tabs>
        <w:tab w:val="center" w:leader="none" w:pos="4153"/>
        <w:tab w:val="right" w:leader="none" w:pos="8306"/>
      </w:tabs>
      <w:jc w:val="center"/>
      <w:rPr/>
    </w:pPr>
    <w:r w:rsidDel="00000000" w:rsidR="00000000" w:rsidRPr="00000000">
      <w:rPr>
        <w:rtl w:val="0"/>
      </w:rPr>
    </w:r>
  </w:p>
</w:hdr>
</file>

<file path=word/header2.xml><?xml version="1.0" encoding="utf-8"?>
<w:hd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1D5">
    <w:pPr>
      <w:tabs>
        <w:tab w:val="right" w:leader="none" w:pos="10466"/>
      </w:tabs>
      <w:rPr>
        <w:sz w:val="16"/>
        <w:szCs w:val="16"/>
      </w:rPr>
    </w:pPr>
    <w:r w:rsidDel="00000000" w:rsidR="00000000" w:rsidRPr="00000000">
      <w:rPr>
        <w:i w:val="1"/>
        <w:sz w:val="16"/>
        <w:szCs w:val="16"/>
        <w:rtl w:val="0"/>
      </w:rPr>
      <w:t xml:space="preserve">Int. J. Environ. Res. Public Health </w:t>
    </w:r>
    <w:r w:rsidDel="00000000" w:rsidR="00000000" w:rsidRPr="00000000">
      <w:rPr>
        <w:b w:val="1"/>
        <w:sz w:val="16"/>
        <w:szCs w:val="16"/>
        <w:rtl w:val="0"/>
      </w:rPr>
      <w:t xml:space="preserve">2024</w:t>
    </w:r>
    <w:r w:rsidDel="00000000" w:rsidR="00000000" w:rsidRPr="00000000">
      <w:rPr>
        <w:sz w:val="16"/>
        <w:szCs w:val="16"/>
        <w:rtl w:val="0"/>
      </w:rPr>
      <w:t xml:space="preserve">,</w:t>
    </w:r>
    <w:r w:rsidDel="00000000" w:rsidR="00000000" w:rsidRPr="00000000">
      <w:rPr>
        <w:i w:val="1"/>
        <w:sz w:val="16"/>
        <w:szCs w:val="16"/>
        <w:rtl w:val="0"/>
      </w:rPr>
      <w:t xml:space="preserve"> 21</w:t>
    </w:r>
    <w:r w:rsidDel="00000000" w:rsidR="00000000" w:rsidRPr="00000000">
      <w:rPr>
        <w:sz w:val="16"/>
        <w:szCs w:val="16"/>
        <w:rtl w:val="0"/>
      </w:rPr>
      <w:t xml:space="preserve">, x FOR PEER REVIEW</w:t>
      <w:tab/>
    </w:r>
    <w:r w:rsidDel="00000000" w:rsidR="00000000" w:rsidRPr="00000000">
      <w:rPr>
        <w:sz w:val="16"/>
        <w:szCs w:val="16"/>
      </w:rPr>
      <w:fldChar w:fldCharType="begin"/>
      <w:instrText xml:space="preserve">PAGE</w:instrText>
      <w:fldChar w:fldCharType="separate"/>
      <w:fldChar w:fldCharType="end"/>
    </w:r>
    <w:r w:rsidDel="00000000" w:rsidR="00000000" w:rsidRPr="00000000">
      <w:rPr>
        <w:sz w:val="16"/>
        <w:szCs w:val="16"/>
        <w:rtl w:val="0"/>
      </w:rPr>
      <w:t xml:space="preserve"> of </w:t>
    </w:r>
    <w:r w:rsidDel="00000000" w:rsidR="00000000" w:rsidRPr="00000000">
      <w:rPr>
        <w:sz w:val="16"/>
        <w:szCs w:val="16"/>
      </w:rPr>
      <w:fldChar w:fldCharType="begin"/>
      <w:instrText xml:space="preserve">NUMPAGES</w:instrText>
      <w:fldChar w:fldCharType="separate"/>
      <w:fldChar w:fldCharType="end"/>
    </w:r>
    <w:r w:rsidDel="00000000" w:rsidR="00000000" w:rsidRPr="00000000">
      <w:rPr>
        <w:rtl w:val="0"/>
      </w:rPr>
    </w:r>
  </w:p>
  <w:p w:rsidR="00000000" w:rsidDel="00000000" w:rsidP="00000000" w:rsidRDefault="00000000" w:rsidRPr="00000000" w14:paraId="000001D6">
    <w:pPr>
      <w:pBdr>
        <w:bottom w:color="000000" w:space="1" w:sz="4" w:val="single"/>
      </w:pBdr>
      <w:tabs>
        <w:tab w:val="right" w:leader="none" w:pos="8844"/>
      </w:tabs>
      <w:spacing w:after="480" w:line="100" w:lineRule="auto"/>
      <w:rPr>
        <w:sz w:val="16"/>
        <w:szCs w:val="16"/>
      </w:rPr>
    </w:pPr>
    <w:r w:rsidDel="00000000" w:rsidR="00000000" w:rsidRPr="00000000">
      <w:rPr>
        <w:rtl w:val="0"/>
      </w:rPr>
    </w:r>
  </w:p>
</w:hdr>
</file>

<file path=word/header3.xml><?xml version="1.0" encoding="utf-8"?>
<w:hd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1D7">
    <w:pPr>
      <w:widowControl w:val="0"/>
      <w:pBdr>
        <w:top w:space="0" w:sz="0" w:val="nil"/>
        <w:left w:space="0" w:sz="0" w:val="nil"/>
        <w:bottom w:space="0" w:sz="0" w:val="nil"/>
        <w:right w:space="0" w:sz="0" w:val="nil"/>
        <w:between w:space="0" w:sz="0" w:val="nil"/>
      </w:pBdr>
      <w:spacing w:line="276" w:lineRule="auto"/>
      <w:rPr/>
    </w:pPr>
    <w:r w:rsidDel="00000000" w:rsidR="00000000" w:rsidRPr="00000000">
      <w:rPr>
        <w:rtl w:val="0"/>
      </w:rPr>
    </w:r>
  </w:p>
  <w:tbl>
    <w:tblPr>
      <w:tblStyle w:val="Table9"/>
      <w:tblW w:w="10487.0" w:type="dxa"/>
      <w:jc w:val="center"/>
      <w:tblBorders>
        <w:top w:color="000000" w:space="0" w:sz="8" w:val="single"/>
        <w:left w:color="000000" w:space="0" w:sz="4" w:val="single"/>
        <w:bottom w:color="000000" w:space="0" w:sz="8" w:val="single"/>
        <w:right w:color="000000" w:space="0" w:sz="4" w:val="single"/>
        <w:insideH w:color="000000" w:space="0" w:sz="4" w:val="single"/>
        <w:insideV w:color="000000" w:space="0" w:sz="4" w:val="single"/>
      </w:tblBorders>
      <w:tblLayout w:type="fixed"/>
      <w:tblLook w:val="0400"/>
    </w:tblPr>
    <w:tblGrid>
      <w:gridCol w:w="3679"/>
      <w:gridCol w:w="4535"/>
      <w:gridCol w:w="2273"/>
      <w:tblGridChange w:id="0">
        <w:tblGrid>
          <w:gridCol w:w="3679"/>
          <w:gridCol w:w="4535"/>
          <w:gridCol w:w="2273"/>
        </w:tblGrid>
      </w:tblGridChange>
    </w:tblGrid>
    <w:tr>
      <w:trPr>
        <w:cantSplit w:val="0"/>
        <w:trHeight w:val="686" w:hRule="atLeast"/>
        <w:tblHeader w:val="0"/>
      </w:trPr>
      <w:tc>
        <w:tcPr>
          <w:shd w:fill="auto" w:val="clear"/>
          <w:vAlign w:val="center"/>
        </w:tcPr>
        <w:p w:rsidR="00000000" w:rsidDel="00000000" w:rsidP="00000000" w:rsidRDefault="00000000" w:rsidRPr="00000000" w14:paraId="000001D8">
          <w:pPr>
            <w:pBdr>
              <w:top w:space="0" w:sz="0" w:val="nil"/>
              <w:left w:space="0" w:sz="0" w:val="nil"/>
              <w:bottom w:color="000000" w:space="0" w:sz="0" w:val="none"/>
              <w:right w:space="0" w:sz="0" w:val="nil"/>
              <w:between w:space="0" w:sz="0" w:val="nil"/>
            </w:pBdr>
            <w:tabs>
              <w:tab w:val="center" w:leader="none" w:pos="4153"/>
              <w:tab w:val="right" w:leader="none" w:pos="8306"/>
            </w:tabs>
            <w:rPr>
              <w:b w:val="1"/>
            </w:rPr>
          </w:pPr>
          <w:r w:rsidDel="00000000" w:rsidR="00000000" w:rsidRPr="00000000">
            <w:rPr>
              <w:b w:val="1"/>
            </w:rPr>
            <w:drawing>
              <wp:inline distB="0" distT="0" distL="0" distR="0">
                <wp:extent cx="1828800" cy="429260"/>
                <wp:effectExtent b="0" l="0" r="0" t="0"/>
                <wp:docPr descr="C:\Users\home\Desktop\logos\png\ijerph-logo.png" id="1982121173" name="image1.png"/>
                <a:graphic>
                  <a:graphicData uri="http://schemas.openxmlformats.org/drawingml/2006/picture">
                    <pic:pic>
                      <pic:nvPicPr>
                        <pic:cNvPr descr="C:\Users\home\Desktop\logos\png\ijerph-logo.png" id="0" name="image1.png"/>
                        <pic:cNvPicPr preferRelativeResize="0"/>
                      </pic:nvPicPr>
                      <pic:blipFill>
                        <a:blip r:embed="rId1"/>
                        <a:srcRect b="0" l="0" r="0" t="0"/>
                        <a:stretch>
                          <a:fillRect/>
                        </a:stretch>
                      </pic:blipFill>
                      <pic:spPr>
                        <a:xfrm>
                          <a:off x="0" y="0"/>
                          <a:ext cx="1828800" cy="429260"/>
                        </a:xfrm>
                        <a:prstGeom prst="rect"/>
                        <a:ln/>
                      </pic:spPr>
                    </pic:pic>
                  </a:graphicData>
                </a:graphic>
              </wp:inline>
            </w:drawing>
          </w:r>
          <w:r w:rsidDel="00000000" w:rsidR="00000000" w:rsidRPr="00000000">
            <w:rPr>
              <w:rtl w:val="0"/>
            </w:rPr>
          </w:r>
        </w:p>
      </w:tc>
      <w:tc>
        <w:tcPr>
          <w:shd w:fill="auto" w:val="clear"/>
          <w:vAlign w:val="center"/>
        </w:tcPr>
        <w:p w:rsidR="00000000" w:rsidDel="00000000" w:rsidP="00000000" w:rsidRDefault="00000000" w:rsidRPr="00000000" w14:paraId="000001D9">
          <w:pPr>
            <w:pBdr>
              <w:top w:space="0" w:sz="0" w:val="nil"/>
              <w:left w:space="0" w:sz="0" w:val="nil"/>
              <w:bottom w:color="000000" w:space="0" w:sz="0" w:val="none"/>
              <w:right w:space="0" w:sz="0" w:val="nil"/>
              <w:between w:space="0" w:sz="0" w:val="nil"/>
            </w:pBdr>
            <w:tabs>
              <w:tab w:val="center" w:leader="none" w:pos="4153"/>
              <w:tab w:val="right" w:leader="none" w:pos="8306"/>
            </w:tabs>
            <w:rPr>
              <w:b w:val="1"/>
            </w:rPr>
          </w:pPr>
          <w:r w:rsidDel="00000000" w:rsidR="00000000" w:rsidRPr="00000000">
            <w:rPr>
              <w:rtl w:val="0"/>
            </w:rPr>
          </w:r>
        </w:p>
      </w:tc>
      <w:tc>
        <w:tcPr>
          <w:shd w:fill="auto" w:val="clear"/>
          <w:vAlign w:val="center"/>
        </w:tcPr>
        <w:p w:rsidR="00000000" w:rsidDel="00000000" w:rsidP="00000000" w:rsidRDefault="00000000" w:rsidRPr="00000000" w14:paraId="000001DA">
          <w:pPr>
            <w:pBdr>
              <w:top w:space="0" w:sz="0" w:val="nil"/>
              <w:left w:space="0" w:sz="0" w:val="nil"/>
              <w:bottom w:color="000000" w:space="0" w:sz="0" w:val="none"/>
              <w:right w:space="0" w:sz="0" w:val="nil"/>
              <w:between w:space="0" w:sz="0" w:val="nil"/>
            </w:pBdr>
            <w:tabs>
              <w:tab w:val="center" w:leader="none" w:pos="4153"/>
              <w:tab w:val="right" w:leader="none" w:pos="8306"/>
            </w:tabs>
            <w:jc w:val="right"/>
            <w:rPr>
              <w:b w:val="1"/>
            </w:rPr>
          </w:pPr>
          <w:r w:rsidDel="00000000" w:rsidR="00000000" w:rsidRPr="00000000">
            <w:rPr>
              <w:b w:val="1"/>
            </w:rPr>
            <w:drawing>
              <wp:inline distB="0" distT="0" distL="0" distR="0">
                <wp:extent cx="540000" cy="360000"/>
                <wp:effectExtent b="0" l="0" r="0" t="0"/>
                <wp:docPr id="1982121175" name="image2.png"/>
                <a:graphic>
                  <a:graphicData uri="http://schemas.openxmlformats.org/drawingml/2006/picture">
                    <pic:pic>
                      <pic:nvPicPr>
                        <pic:cNvPr id="0" name="image2.png"/>
                        <pic:cNvPicPr preferRelativeResize="0"/>
                      </pic:nvPicPr>
                      <pic:blipFill>
                        <a:blip r:embed="rId2"/>
                        <a:srcRect b="0" l="0" r="0" t="0"/>
                        <a:stretch>
                          <a:fillRect/>
                        </a:stretch>
                      </pic:blipFill>
                      <pic:spPr>
                        <a:xfrm>
                          <a:off x="0" y="0"/>
                          <a:ext cx="540000" cy="360000"/>
                        </a:xfrm>
                        <a:prstGeom prst="rect"/>
                        <a:ln/>
                      </pic:spPr>
                    </pic:pic>
                  </a:graphicData>
                </a:graphic>
              </wp:inline>
            </w:drawing>
          </w:r>
          <w:r w:rsidDel="00000000" w:rsidR="00000000" w:rsidRPr="00000000">
            <w:rPr>
              <w:rtl w:val="0"/>
            </w:rPr>
          </w:r>
        </w:p>
      </w:tc>
    </w:tr>
  </w:tbl>
  <w:p w:rsidR="00000000" w:rsidDel="00000000" w:rsidP="00000000" w:rsidRDefault="00000000" w:rsidRPr="00000000" w14:paraId="000001DB">
    <w:pPr>
      <w:pBdr>
        <w:bottom w:color="000000" w:space="1" w:sz="4" w:val="single"/>
      </w:pBdr>
      <w:spacing w:line="100" w:lineRule="auto"/>
      <w:rPr/>
    </w:pPr>
    <w:r w:rsidDel="00000000" w:rsidR="00000000" w:rsidRPr="00000000">
      <w:rPr>
        <w:rtl w:val="0"/>
      </w:rPr>
    </w:r>
  </w:p>
</w:hdr>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abstractNum w:abstractNumId="1">
    <w:lvl w:ilvl="0">
      <w:start w:val="1"/>
      <w:numFmt w:val="decimal"/>
      <w:lvlText w:val="%1."/>
      <w:lvlJc w:val="left"/>
      <w:pPr>
        <w:ind w:left="720" w:hanging="360"/>
      </w:pPr>
      <w:rPr/>
    </w:lvl>
    <w:lvl w:ilvl="1">
      <w:start w:val="1"/>
      <w:numFmt w:val="decimal"/>
      <w:lvlText w:val="%2."/>
      <w:lvlJc w:val="left"/>
      <w:pPr>
        <w:ind w:left="1440" w:hanging="360"/>
      </w:pPr>
      <w:rPr/>
    </w:lvl>
    <w:lvl w:ilvl="2">
      <w:start w:val="1"/>
      <w:numFmt w:val="decimal"/>
      <w:lvlText w:val="%3."/>
      <w:lvlJc w:val="left"/>
      <w:pPr>
        <w:ind w:left="2160" w:hanging="360"/>
      </w:pPr>
      <w:rPr/>
    </w:lvl>
    <w:lvl w:ilvl="3">
      <w:start w:val="1"/>
      <w:numFmt w:val="decimal"/>
      <w:lvlText w:val="%4."/>
      <w:lvlJc w:val="left"/>
      <w:pPr>
        <w:ind w:left="2880" w:hanging="360"/>
      </w:pPr>
      <w:rPr/>
    </w:lvl>
    <w:lvl w:ilvl="4">
      <w:start w:val="1"/>
      <w:numFmt w:val="decimal"/>
      <w:lvlText w:val="%5."/>
      <w:lvlJc w:val="left"/>
      <w:pPr>
        <w:ind w:left="3600" w:hanging="360"/>
      </w:pPr>
      <w:rPr/>
    </w:lvl>
    <w:lvl w:ilvl="5">
      <w:start w:val="1"/>
      <w:numFmt w:val="decimal"/>
      <w:lvlText w:val="%6."/>
      <w:lvlJc w:val="left"/>
      <w:pPr>
        <w:ind w:left="4320" w:hanging="360"/>
      </w:pPr>
      <w:rPr/>
    </w:lvl>
    <w:lvl w:ilvl="6">
      <w:start w:val="1"/>
      <w:numFmt w:val="decimal"/>
      <w:lvlText w:val="%7."/>
      <w:lvlJc w:val="left"/>
      <w:pPr>
        <w:ind w:left="5040" w:hanging="360"/>
      </w:pPr>
      <w:rPr/>
    </w:lvl>
    <w:lvl w:ilvl="7">
      <w:start w:val="1"/>
      <w:numFmt w:val="decimal"/>
      <w:lvlText w:val="%8."/>
      <w:lvlJc w:val="left"/>
      <w:pPr>
        <w:ind w:left="5760" w:hanging="360"/>
      </w:pPr>
      <w:rPr/>
    </w:lvl>
    <w:lvl w:ilvl="8">
      <w:start w:val="1"/>
      <w:numFmt w:val="decimal"/>
      <w:lvlText w:val="%9."/>
      <w:lvlJc w:val="left"/>
      <w:pPr>
        <w:ind w:left="6480" w:hanging="360"/>
      </w:pPr>
      <w:rPr/>
    </w:lvl>
  </w:abstractNum>
  <w:num w:numId="1">
    <w:abstractNumId w:val="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sz w:val="24"/>
        <w:szCs w:val="24"/>
        <w:lang w:val="en-US"/>
      </w:rPr>
    </w:rPrDefault>
    <w:pPrDefault>
      <w:pPr/>
    </w:pPrDefault>
  </w:docDefaults>
  <w:style w:type="paragraph" w:styleId="Normal" w:default="1">
    <w:name w:val="normal"/>
  </w:style>
  <w:style w:type="table" w:styleId="TableNormal" w:default="1">
    <w:name w:val="Table Normal"/>
  </w:style>
  <w:style w:type="paragraph" w:styleId="Heading1">
    <w:name w:val="heading 1"/>
    <w:basedOn w:val="Normal"/>
    <w:next w:val="Normal"/>
    <w:pPr>
      <w:keepNext w:val="1"/>
      <w:keepLines w:val="1"/>
      <w:spacing w:after="120" w:before="480" w:lineRule="auto"/>
      <w:jc w:val="both"/>
    </w:pPr>
    <w:rPr>
      <w:rFonts w:ascii="Palatino Linotype" w:cs="Palatino Linotype" w:eastAsia="Palatino Linotype" w:hAnsi="Palatino Linotype"/>
      <w:b w:val="1"/>
      <w:color w:val="000000"/>
      <w:sz w:val="48"/>
      <w:szCs w:val="48"/>
    </w:rPr>
  </w:style>
  <w:style w:type="paragraph" w:styleId="Heading2">
    <w:name w:val="heading 2"/>
    <w:basedOn w:val="Normal"/>
    <w:next w:val="Normal"/>
    <w:pPr>
      <w:keepNext w:val="1"/>
      <w:keepLines w:val="1"/>
      <w:spacing w:after="80" w:before="360" w:lineRule="auto"/>
      <w:jc w:val="both"/>
    </w:pPr>
    <w:rPr>
      <w:rFonts w:ascii="Palatino Linotype" w:cs="Palatino Linotype" w:eastAsia="Palatino Linotype" w:hAnsi="Palatino Linotype"/>
      <w:b w:val="1"/>
      <w:color w:val="000000"/>
      <w:sz w:val="36"/>
      <w:szCs w:val="36"/>
    </w:rPr>
  </w:style>
  <w:style w:type="paragraph" w:styleId="Heading3">
    <w:name w:val="heading 3"/>
    <w:basedOn w:val="Normal"/>
    <w:next w:val="Normal"/>
    <w:pPr>
      <w:keepNext w:val="1"/>
      <w:keepLines w:val="1"/>
      <w:spacing w:after="80" w:before="280" w:lineRule="auto"/>
      <w:jc w:val="both"/>
    </w:pPr>
    <w:rPr>
      <w:rFonts w:ascii="Palatino Linotype" w:cs="Palatino Linotype" w:eastAsia="Palatino Linotype" w:hAnsi="Palatino Linotype"/>
      <w:b w:val="1"/>
      <w:color w:val="000000"/>
      <w:sz w:val="28"/>
      <w:szCs w:val="28"/>
    </w:rPr>
  </w:style>
  <w:style w:type="paragraph" w:styleId="Heading4">
    <w:name w:val="heading 4"/>
    <w:basedOn w:val="Normal"/>
    <w:next w:val="Normal"/>
    <w:pPr>
      <w:keepNext w:val="1"/>
      <w:keepLines w:val="1"/>
      <w:spacing w:after="40" w:before="240" w:lineRule="auto"/>
      <w:jc w:val="both"/>
    </w:pPr>
    <w:rPr>
      <w:rFonts w:ascii="Palatino Linotype" w:cs="Palatino Linotype" w:eastAsia="Palatino Linotype" w:hAnsi="Palatino Linotype"/>
      <w:b w:val="1"/>
      <w:color w:val="000000"/>
    </w:rPr>
  </w:style>
  <w:style w:type="paragraph" w:styleId="Heading5">
    <w:name w:val="heading 5"/>
    <w:basedOn w:val="Normal"/>
    <w:next w:val="Normal"/>
    <w:pPr>
      <w:keepNext w:val="1"/>
      <w:keepLines w:val="1"/>
      <w:spacing w:after="40" w:before="220" w:lineRule="auto"/>
      <w:jc w:val="both"/>
    </w:pPr>
    <w:rPr>
      <w:rFonts w:ascii="Palatino Linotype" w:cs="Palatino Linotype" w:eastAsia="Palatino Linotype" w:hAnsi="Palatino Linotype"/>
      <w:b w:val="1"/>
      <w:color w:val="000000"/>
      <w:sz w:val="22"/>
      <w:szCs w:val="22"/>
    </w:rPr>
  </w:style>
  <w:style w:type="paragraph" w:styleId="Heading6">
    <w:name w:val="heading 6"/>
    <w:basedOn w:val="Normal"/>
    <w:next w:val="Normal"/>
    <w:pPr>
      <w:keepNext w:val="1"/>
      <w:keepLines w:val="1"/>
      <w:spacing w:after="40" w:before="200" w:lineRule="auto"/>
      <w:jc w:val="both"/>
    </w:pPr>
    <w:rPr>
      <w:rFonts w:ascii="Palatino Linotype" w:cs="Palatino Linotype" w:eastAsia="Palatino Linotype" w:hAnsi="Palatino Linotype"/>
      <w:b w:val="1"/>
      <w:color w:val="000000"/>
      <w:sz w:val="20"/>
      <w:szCs w:val="20"/>
    </w:rPr>
  </w:style>
  <w:style w:type="paragraph" w:styleId="Title">
    <w:name w:val="Title"/>
    <w:basedOn w:val="Normal"/>
    <w:next w:val="Normal"/>
    <w:pPr>
      <w:keepNext w:val="1"/>
      <w:keepLines w:val="1"/>
      <w:spacing w:after="120" w:before="480" w:lineRule="auto"/>
      <w:jc w:val="both"/>
    </w:pPr>
    <w:rPr>
      <w:rFonts w:ascii="Palatino Linotype" w:cs="Palatino Linotype" w:eastAsia="Palatino Linotype" w:hAnsi="Palatino Linotype"/>
      <w:b w:val="1"/>
      <w:color w:val="000000"/>
      <w:sz w:val="72"/>
      <w:szCs w:val="72"/>
    </w:rPr>
  </w:style>
  <w:style w:type="paragraph" w:styleId="Normal" w:default="1">
    <w:name w:val="Normal"/>
    <w:qFormat w:val="1"/>
    <w:rsid w:val="006326BD"/>
    <w:rPr>
      <w:lang w:eastAsia="pt-BR"/>
    </w:rPr>
  </w:style>
  <w:style w:type="paragraph" w:styleId="Heading1">
    <w:name w:val="heading 1"/>
    <w:basedOn w:val="Normal"/>
    <w:next w:val="Normal"/>
    <w:uiPriority w:val="9"/>
    <w:qFormat w:val="1"/>
    <w:pPr>
      <w:keepNext w:val="1"/>
      <w:keepLines w:val="1"/>
      <w:spacing w:after="120" w:before="480" w:line="260" w:lineRule="atLeast"/>
      <w:jc w:val="both"/>
      <w:outlineLvl w:val="0"/>
    </w:pPr>
    <w:rPr>
      <w:rFonts w:ascii="Palatino Linotype" w:cs="Palatino Linotype" w:eastAsia="Palatino Linotype" w:hAnsi="Palatino Linotype"/>
      <w:b w:val="1"/>
      <w:noProof w:val="1"/>
      <w:color w:val="000000"/>
      <w:sz w:val="48"/>
      <w:szCs w:val="48"/>
      <w:lang w:eastAsia="en-US"/>
    </w:rPr>
  </w:style>
  <w:style w:type="paragraph" w:styleId="Heading2">
    <w:name w:val="heading 2"/>
    <w:basedOn w:val="Normal"/>
    <w:next w:val="Normal"/>
    <w:uiPriority w:val="9"/>
    <w:semiHidden w:val="1"/>
    <w:unhideWhenUsed w:val="1"/>
    <w:qFormat w:val="1"/>
    <w:pPr>
      <w:keepNext w:val="1"/>
      <w:keepLines w:val="1"/>
      <w:spacing w:after="80" w:before="360" w:line="260" w:lineRule="atLeast"/>
      <w:jc w:val="both"/>
      <w:outlineLvl w:val="1"/>
    </w:pPr>
    <w:rPr>
      <w:rFonts w:ascii="Palatino Linotype" w:cs="Palatino Linotype" w:eastAsia="Palatino Linotype" w:hAnsi="Palatino Linotype"/>
      <w:b w:val="1"/>
      <w:noProof w:val="1"/>
      <w:color w:val="000000"/>
      <w:sz w:val="36"/>
      <w:szCs w:val="36"/>
      <w:lang w:eastAsia="en-US"/>
    </w:rPr>
  </w:style>
  <w:style w:type="paragraph" w:styleId="Heading3">
    <w:name w:val="heading 3"/>
    <w:basedOn w:val="Normal"/>
    <w:next w:val="Normal"/>
    <w:uiPriority w:val="9"/>
    <w:semiHidden w:val="1"/>
    <w:unhideWhenUsed w:val="1"/>
    <w:qFormat w:val="1"/>
    <w:pPr>
      <w:keepNext w:val="1"/>
      <w:keepLines w:val="1"/>
      <w:spacing w:after="80" w:before="280" w:line="260" w:lineRule="atLeast"/>
      <w:jc w:val="both"/>
      <w:outlineLvl w:val="2"/>
    </w:pPr>
    <w:rPr>
      <w:rFonts w:ascii="Palatino Linotype" w:cs="Palatino Linotype" w:eastAsia="Palatino Linotype" w:hAnsi="Palatino Linotype"/>
      <w:b w:val="1"/>
      <w:noProof w:val="1"/>
      <w:color w:val="000000"/>
      <w:sz w:val="28"/>
      <w:szCs w:val="28"/>
      <w:lang w:eastAsia="en-US"/>
    </w:rPr>
  </w:style>
  <w:style w:type="paragraph" w:styleId="Heading4">
    <w:name w:val="heading 4"/>
    <w:basedOn w:val="Normal"/>
    <w:next w:val="Normal"/>
    <w:uiPriority w:val="9"/>
    <w:semiHidden w:val="1"/>
    <w:unhideWhenUsed w:val="1"/>
    <w:qFormat w:val="1"/>
    <w:pPr>
      <w:keepNext w:val="1"/>
      <w:keepLines w:val="1"/>
      <w:spacing w:after="40" w:before="240" w:line="260" w:lineRule="atLeast"/>
      <w:jc w:val="both"/>
      <w:outlineLvl w:val="3"/>
    </w:pPr>
    <w:rPr>
      <w:rFonts w:ascii="Palatino Linotype" w:cs="Palatino Linotype" w:eastAsia="Palatino Linotype" w:hAnsi="Palatino Linotype"/>
      <w:b w:val="1"/>
      <w:noProof w:val="1"/>
      <w:color w:val="000000"/>
      <w:lang w:eastAsia="en-US"/>
    </w:rPr>
  </w:style>
  <w:style w:type="paragraph" w:styleId="Heading5">
    <w:name w:val="heading 5"/>
    <w:basedOn w:val="Normal"/>
    <w:next w:val="Normal"/>
    <w:uiPriority w:val="9"/>
    <w:semiHidden w:val="1"/>
    <w:unhideWhenUsed w:val="1"/>
    <w:qFormat w:val="1"/>
    <w:pPr>
      <w:keepNext w:val="1"/>
      <w:keepLines w:val="1"/>
      <w:spacing w:after="40" w:before="220" w:line="260" w:lineRule="atLeast"/>
      <w:jc w:val="both"/>
      <w:outlineLvl w:val="4"/>
    </w:pPr>
    <w:rPr>
      <w:rFonts w:ascii="Palatino Linotype" w:cs="Palatino Linotype" w:eastAsia="Palatino Linotype" w:hAnsi="Palatino Linotype"/>
      <w:b w:val="1"/>
      <w:noProof w:val="1"/>
      <w:color w:val="000000"/>
      <w:sz w:val="22"/>
      <w:szCs w:val="22"/>
      <w:lang w:eastAsia="en-US"/>
    </w:rPr>
  </w:style>
  <w:style w:type="paragraph" w:styleId="Heading6">
    <w:name w:val="heading 6"/>
    <w:basedOn w:val="Normal"/>
    <w:next w:val="Normal"/>
    <w:uiPriority w:val="9"/>
    <w:semiHidden w:val="1"/>
    <w:unhideWhenUsed w:val="1"/>
    <w:qFormat w:val="1"/>
    <w:pPr>
      <w:keepNext w:val="1"/>
      <w:keepLines w:val="1"/>
      <w:spacing w:after="40" w:before="200" w:line="260" w:lineRule="atLeast"/>
      <w:jc w:val="both"/>
      <w:outlineLvl w:val="5"/>
    </w:pPr>
    <w:rPr>
      <w:rFonts w:ascii="Palatino Linotype" w:cs="Palatino Linotype" w:eastAsia="Palatino Linotype" w:hAnsi="Palatino Linotype"/>
      <w:b w:val="1"/>
      <w:noProof w:val="1"/>
      <w:color w:val="000000"/>
      <w:sz w:val="20"/>
      <w:szCs w:val="20"/>
      <w:lang w:eastAsia="en-US"/>
    </w:rPr>
  </w:style>
  <w:style w:type="character" w:styleId="DefaultParagraphFont" w:default="1">
    <w:name w:val="Default Paragraph Font"/>
    <w:uiPriority w:val="1"/>
    <w:semiHidden w:val="1"/>
    <w:unhideWhenUsed w:val="1"/>
  </w:style>
  <w:style w:type="table" w:styleId="TableNormal" w:default="1">
    <w:name w:val="Normal Table"/>
    <w:uiPriority w:val="99"/>
    <w:semiHidden w:val="1"/>
    <w:unhideWhenUsed w:val="1"/>
    <w:tblPr>
      <w:tblInd w:w="0.0" w:type="dxa"/>
      <w:tblCellMar>
        <w:top w:w="0.0" w:type="dxa"/>
        <w:left w:w="108.0" w:type="dxa"/>
        <w:bottom w:w="0.0" w:type="dxa"/>
        <w:right w:w="108.0" w:type="dxa"/>
      </w:tblCellMar>
    </w:tblPr>
  </w:style>
  <w:style w:type="numbering" w:styleId="NoList" w:default="1">
    <w:name w:val="No List"/>
    <w:uiPriority w:val="99"/>
    <w:semiHidden w:val="1"/>
    <w:unhideWhenUsed w:val="1"/>
  </w:style>
  <w:style w:type="paragraph" w:styleId="Title">
    <w:name w:val="Title"/>
    <w:basedOn w:val="Normal"/>
    <w:next w:val="Normal"/>
    <w:uiPriority w:val="10"/>
    <w:qFormat w:val="1"/>
    <w:pPr>
      <w:keepNext w:val="1"/>
      <w:keepLines w:val="1"/>
      <w:spacing w:after="120" w:before="480" w:line="260" w:lineRule="atLeast"/>
      <w:jc w:val="both"/>
    </w:pPr>
    <w:rPr>
      <w:rFonts w:ascii="Palatino Linotype" w:cs="Palatino Linotype" w:eastAsia="Palatino Linotype" w:hAnsi="Palatino Linotype"/>
      <w:b w:val="1"/>
      <w:noProof w:val="1"/>
      <w:color w:val="000000"/>
      <w:sz w:val="72"/>
      <w:szCs w:val="72"/>
      <w:lang w:eastAsia="en-US"/>
    </w:rPr>
  </w:style>
  <w:style w:type="paragraph" w:styleId="MDPI11articletype" w:customStyle="1">
    <w:name w:val="MDPI_1.1_article_type"/>
    <w:next w:val="Normal"/>
    <w:qFormat w:val="1"/>
    <w:rsid w:val="00522304"/>
    <w:pPr>
      <w:adjustRightInd w:val="0"/>
      <w:snapToGrid w:val="0"/>
      <w:spacing w:before="240"/>
    </w:pPr>
    <w:rPr>
      <w:i w:val="1"/>
      <w:snapToGrid w:val="0"/>
      <w:color w:val="000000"/>
      <w:szCs w:val="22"/>
      <w:lang w:bidi="en-US" w:eastAsia="de-DE"/>
    </w:rPr>
  </w:style>
  <w:style w:type="paragraph" w:styleId="MDPI12title" w:customStyle="1">
    <w:name w:val="MDPI_1.2_title"/>
    <w:next w:val="Normal"/>
    <w:qFormat w:val="1"/>
    <w:rsid w:val="00522304"/>
    <w:pPr>
      <w:adjustRightInd w:val="0"/>
      <w:snapToGrid w:val="0"/>
      <w:spacing w:after="240" w:line="240" w:lineRule="atLeast"/>
    </w:pPr>
    <w:rPr>
      <w:b w:val="1"/>
      <w:snapToGrid w:val="0"/>
      <w:color w:val="000000"/>
      <w:sz w:val="36"/>
      <w:lang w:bidi="en-US" w:eastAsia="de-DE"/>
    </w:rPr>
  </w:style>
  <w:style w:type="paragraph" w:styleId="MDPI13authornames" w:customStyle="1">
    <w:name w:val="MDPI_1.3_authornames"/>
    <w:next w:val="Normal"/>
    <w:qFormat w:val="1"/>
    <w:rsid w:val="00522304"/>
    <w:pPr>
      <w:adjustRightInd w:val="0"/>
      <w:snapToGrid w:val="0"/>
      <w:spacing w:after="360" w:line="260" w:lineRule="atLeast"/>
    </w:pPr>
    <w:rPr>
      <w:b w:val="1"/>
      <w:color w:val="000000"/>
      <w:szCs w:val="22"/>
      <w:lang w:bidi="en-US" w:eastAsia="de-DE"/>
    </w:rPr>
  </w:style>
  <w:style w:type="paragraph" w:styleId="MDPI14history" w:customStyle="1">
    <w:name w:val="MDPI_1.4_history"/>
    <w:basedOn w:val="Normal"/>
    <w:next w:val="Normal"/>
    <w:qFormat w:val="1"/>
    <w:rsid w:val="00522304"/>
    <w:pPr>
      <w:adjustRightInd w:val="0"/>
      <w:snapToGrid w:val="0"/>
      <w:spacing w:line="240" w:lineRule="atLeast"/>
      <w:ind w:right="113"/>
    </w:pPr>
    <w:rPr>
      <w:rFonts w:ascii="Palatino Linotype" w:cs="Palatino Linotype" w:hAnsi="Palatino Linotype"/>
      <w:color w:val="000000"/>
      <w:sz w:val="14"/>
      <w:szCs w:val="20"/>
      <w:lang w:bidi="en-US" w:eastAsia="de-DE"/>
    </w:rPr>
  </w:style>
  <w:style w:type="paragraph" w:styleId="MDPI16affiliation" w:customStyle="1">
    <w:name w:val="MDPI_1.6_affiliation"/>
    <w:qFormat w:val="1"/>
    <w:rsid w:val="00522304"/>
    <w:pPr>
      <w:adjustRightInd w:val="0"/>
      <w:snapToGrid w:val="0"/>
      <w:spacing w:line="200" w:lineRule="atLeast"/>
      <w:ind w:left="2806" w:hanging="198"/>
    </w:pPr>
    <w:rPr>
      <w:color w:val="000000"/>
      <w:sz w:val="16"/>
      <w:szCs w:val="18"/>
      <w:lang w:bidi="en-US" w:eastAsia="de-DE"/>
    </w:rPr>
  </w:style>
  <w:style w:type="paragraph" w:styleId="MDPI17abstract" w:customStyle="1">
    <w:name w:val="MDPI_1.7_abstract"/>
    <w:next w:val="Normal"/>
    <w:qFormat w:val="1"/>
    <w:rsid w:val="00522304"/>
    <w:pPr>
      <w:adjustRightInd w:val="0"/>
      <w:snapToGrid w:val="0"/>
      <w:spacing w:before="240" w:line="260" w:lineRule="atLeast"/>
      <w:ind w:left="2608"/>
    </w:pPr>
    <w:rPr>
      <w:color w:val="000000"/>
      <w:sz w:val="18"/>
      <w:szCs w:val="22"/>
      <w:lang w:bidi="en-US" w:eastAsia="de-DE"/>
    </w:rPr>
  </w:style>
  <w:style w:type="paragraph" w:styleId="MDPI18keywords" w:customStyle="1">
    <w:name w:val="MDPI_1.8_keywords"/>
    <w:next w:val="Normal"/>
    <w:qFormat w:val="1"/>
    <w:rsid w:val="00522304"/>
    <w:pPr>
      <w:adjustRightInd w:val="0"/>
      <w:snapToGrid w:val="0"/>
      <w:spacing w:before="240" w:line="260" w:lineRule="atLeast"/>
      <w:ind w:left="2608"/>
    </w:pPr>
    <w:rPr>
      <w:snapToGrid w:val="0"/>
      <w:color w:val="000000"/>
      <w:sz w:val="18"/>
      <w:szCs w:val="22"/>
      <w:lang w:bidi="en-US" w:eastAsia="de-DE"/>
    </w:rPr>
  </w:style>
  <w:style w:type="paragraph" w:styleId="MDPI19line" w:customStyle="1">
    <w:name w:val="MDPI_1.9_line"/>
    <w:qFormat w:val="1"/>
    <w:rsid w:val="00522304"/>
    <w:pPr>
      <w:pBdr>
        <w:bottom w:color="auto" w:space="1" w:sz="6" w:val="single"/>
      </w:pBdr>
      <w:adjustRightInd w:val="0"/>
      <w:snapToGrid w:val="0"/>
      <w:spacing w:after="480" w:line="260" w:lineRule="atLeast"/>
      <w:ind w:left="2608"/>
    </w:pPr>
    <w:rPr>
      <w:rFonts w:cs="Cordia New"/>
      <w:color w:val="000000"/>
      <w:lang w:bidi="en-US" w:eastAsia="de-DE"/>
    </w:rPr>
  </w:style>
  <w:style w:type="table" w:styleId="Mdeck5tablebodythreelines" w:customStyle="1">
    <w:name w:val="M_deck_5_table_body_three_lines"/>
    <w:basedOn w:val="TableNormal"/>
    <w:uiPriority w:val="99"/>
    <w:rsid w:val="0046726B"/>
    <w:pPr>
      <w:adjustRightInd w:val="0"/>
      <w:snapToGrid w:val="0"/>
      <w:spacing w:line="300" w:lineRule="exact"/>
      <w:jc w:val="center"/>
    </w:pPr>
    <w:rPr>
      <w:lang w:eastAsia="de-DE" w:val="de-DE"/>
    </w:rPr>
    <w:tblPr>
      <w:jc w:val="center"/>
      <w:tblBorders>
        <w:bottom w:color="auto" w:space="0" w:sz="8" w:val="single"/>
      </w:tblBorders>
    </w:tblPr>
    <w:trPr>
      <w:jc w:val="center"/>
    </w:trPr>
    <w:tcPr>
      <w:vAlign w:val="center"/>
    </w:tcPr>
    <w:tblStylePr w:type="firstRow">
      <w:pPr>
        <w:wordWrap w:val="1"/>
        <w:adjustRightInd w:val="0"/>
        <w:snapToGrid w:val="0"/>
        <w:spacing w:afterAutospacing="0" w:afterLines="0" w:beforeAutospacing="0" w:beforeLines="0" w:line="300" w:lineRule="exact"/>
        <w:ind w:left="0" w:right="0" w:leftChars="0" w:rightChars="0" w:firstLine="0" w:firstLineChars="0"/>
        <w:contextualSpacing w:val="0"/>
        <w:mirrorIndents w:val="0"/>
        <w:jc w:val="center"/>
        <w:outlineLvl w:val="9"/>
      </w:pPr>
      <w:rPr>
        <w:rFonts w:ascii="Times New Roman" w:eastAsia="Times New Roman" w:hAnsi="Times New Roman"/>
        <w:b w:val="0"/>
        <w:i w:val="0"/>
        <w:snapToGrid w:val="0"/>
        <w:sz w:val="22"/>
      </w:rPr>
      <w:tblPr/>
      <w:tcPr>
        <w:tcBorders>
          <w:top w:color="auto" w:space="0" w:sz="8" w:val="single"/>
          <w:left w:space="0" w:sz="0" w:val="nil"/>
          <w:bottom w:color="auto" w:space="0" w:sz="4" w:val="single"/>
          <w:right w:space="0" w:sz="0" w:val="nil"/>
          <w:insideH w:space="0" w:sz="0" w:val="nil"/>
          <w:insideV w:space="0" w:sz="0" w:val="nil"/>
          <w:tl2br w:space="0" w:sz="0" w:val="nil"/>
          <w:tr2bl w:space="0" w:sz="0" w:val="nil"/>
        </w:tcBorders>
      </w:tcPr>
    </w:tblStylePr>
  </w:style>
  <w:style w:type="table" w:styleId="TableGrid">
    <w:name w:val="Table Grid"/>
    <w:basedOn w:val="TableNormal"/>
    <w:uiPriority w:val="59"/>
    <w:rsid w:val="00522304"/>
    <w:pPr>
      <w:spacing w:line="260" w:lineRule="atLeast"/>
    </w:pPr>
    <w:rPr>
      <w:color w:val="000000"/>
    </w:rPr>
    <w:tblPr>
      <w:tblBorders>
        <w:top w:color="auto" w:space="0" w:sz="4" w:val="single"/>
        <w:left w:color="auto" w:space="0" w:sz="4" w:val="single"/>
        <w:bottom w:color="auto" w:space="0" w:sz="4" w:val="single"/>
        <w:right w:color="auto" w:space="0" w:sz="4" w:val="single"/>
        <w:insideH w:color="auto" w:space="0" w:sz="4" w:val="single"/>
        <w:insideV w:color="auto" w:space="0" w:sz="4" w:val="single"/>
      </w:tblBorders>
    </w:tblPr>
  </w:style>
  <w:style w:type="paragraph" w:styleId="Footer">
    <w:name w:val="footer"/>
    <w:basedOn w:val="Normal"/>
    <w:link w:val="FooterChar"/>
    <w:uiPriority w:val="99"/>
    <w:rsid w:val="00522304"/>
    <w:pPr>
      <w:tabs>
        <w:tab w:val="center" w:pos="4153"/>
        <w:tab w:val="right" w:pos="8306"/>
      </w:tabs>
      <w:snapToGrid w:val="0"/>
      <w:spacing w:line="240" w:lineRule="atLeast"/>
      <w:jc w:val="both"/>
    </w:pPr>
    <w:rPr>
      <w:rFonts w:ascii="Palatino Linotype" w:cs="Palatino Linotype" w:eastAsia="Palatino Linotype" w:hAnsi="Palatino Linotype"/>
      <w:noProof w:val="1"/>
      <w:color w:val="000000"/>
      <w:sz w:val="20"/>
      <w:szCs w:val="18"/>
      <w:lang w:eastAsia="en-US"/>
    </w:rPr>
  </w:style>
  <w:style w:type="character" w:styleId="FooterChar" w:customStyle="1">
    <w:name w:val="Footer Char"/>
    <w:link w:val="Footer"/>
    <w:uiPriority w:val="99"/>
    <w:rsid w:val="00522304"/>
    <w:rPr>
      <w:rFonts w:ascii="Palatino Linotype" w:hAnsi="Palatino Linotype"/>
      <w:noProof w:val="1"/>
      <w:color w:val="000000"/>
      <w:szCs w:val="18"/>
    </w:rPr>
  </w:style>
  <w:style w:type="paragraph" w:styleId="Header">
    <w:name w:val="header"/>
    <w:basedOn w:val="Normal"/>
    <w:link w:val="HeaderChar"/>
    <w:uiPriority w:val="99"/>
    <w:rsid w:val="00522304"/>
    <w:pPr>
      <w:pBdr>
        <w:bottom w:color="auto" w:space="1" w:sz="6" w:val="single"/>
      </w:pBdr>
      <w:tabs>
        <w:tab w:val="center" w:pos="4153"/>
        <w:tab w:val="right" w:pos="8306"/>
      </w:tabs>
      <w:snapToGrid w:val="0"/>
      <w:spacing w:line="240" w:lineRule="atLeast"/>
      <w:jc w:val="center"/>
    </w:pPr>
    <w:rPr>
      <w:rFonts w:ascii="Palatino Linotype" w:cs="Palatino Linotype" w:eastAsia="Palatino Linotype" w:hAnsi="Palatino Linotype"/>
      <w:noProof w:val="1"/>
      <w:color w:val="000000"/>
      <w:sz w:val="20"/>
      <w:szCs w:val="18"/>
      <w:lang w:eastAsia="en-US"/>
    </w:rPr>
  </w:style>
  <w:style w:type="character" w:styleId="HeaderChar" w:customStyle="1">
    <w:name w:val="Header Char"/>
    <w:link w:val="Header"/>
    <w:uiPriority w:val="99"/>
    <w:rsid w:val="00522304"/>
    <w:rPr>
      <w:rFonts w:ascii="Palatino Linotype" w:hAnsi="Palatino Linotype"/>
      <w:noProof w:val="1"/>
      <w:color w:val="000000"/>
      <w:szCs w:val="18"/>
    </w:rPr>
  </w:style>
  <w:style w:type="paragraph" w:styleId="MDPIheaderjournallogo" w:customStyle="1">
    <w:name w:val="MDPI_header_journal_logo"/>
    <w:qFormat w:val="1"/>
    <w:rsid w:val="00522304"/>
    <w:pPr>
      <w:adjustRightInd w:val="0"/>
      <w:snapToGrid w:val="0"/>
      <w:spacing w:line="260" w:lineRule="atLeast"/>
    </w:pPr>
    <w:rPr>
      <w:i w:val="1"/>
      <w:color w:val="000000"/>
      <w:szCs w:val="22"/>
      <w:lang w:eastAsia="de-CH"/>
    </w:rPr>
  </w:style>
  <w:style w:type="paragraph" w:styleId="MDPI32textnoindent" w:customStyle="1">
    <w:name w:val="MDPI_3.2_text_no_indent"/>
    <w:basedOn w:val="MDPI31text"/>
    <w:qFormat w:val="1"/>
    <w:rsid w:val="00522304"/>
    <w:pPr>
      <w:ind w:firstLine="0"/>
    </w:pPr>
  </w:style>
  <w:style w:type="paragraph" w:styleId="MDPI31text" w:customStyle="1">
    <w:name w:val="MDPI_3.1_text"/>
    <w:qFormat w:val="1"/>
    <w:rsid w:val="00322BD2"/>
    <w:pPr>
      <w:adjustRightInd w:val="0"/>
      <w:snapToGrid w:val="0"/>
      <w:spacing w:line="228" w:lineRule="auto"/>
      <w:ind w:left="2608" w:firstLine="425"/>
    </w:pPr>
    <w:rPr>
      <w:snapToGrid w:val="0"/>
      <w:color w:val="000000"/>
      <w:szCs w:val="22"/>
      <w:lang w:bidi="en-US" w:eastAsia="de-DE"/>
    </w:rPr>
  </w:style>
  <w:style w:type="paragraph" w:styleId="MDPI33textspaceafter" w:customStyle="1">
    <w:name w:val="MDPI_3.3_text_space_after"/>
    <w:qFormat w:val="1"/>
    <w:rsid w:val="00522304"/>
    <w:pPr>
      <w:adjustRightInd w:val="0"/>
      <w:snapToGrid w:val="0"/>
      <w:spacing w:after="240" w:line="228" w:lineRule="auto"/>
      <w:ind w:left="2608"/>
    </w:pPr>
    <w:rPr>
      <w:snapToGrid w:val="0"/>
      <w:color w:val="000000"/>
      <w:szCs w:val="22"/>
      <w:lang w:bidi="en-US" w:eastAsia="de-DE"/>
    </w:rPr>
  </w:style>
  <w:style w:type="paragraph" w:styleId="MDPI34textspacebefore" w:customStyle="1">
    <w:name w:val="MDPI_3.4_text_space_before"/>
    <w:qFormat w:val="1"/>
    <w:rsid w:val="00522304"/>
    <w:pPr>
      <w:adjustRightInd w:val="0"/>
      <w:snapToGrid w:val="0"/>
      <w:spacing w:before="240" w:line="228" w:lineRule="auto"/>
      <w:ind w:left="2608"/>
    </w:pPr>
    <w:rPr>
      <w:snapToGrid w:val="0"/>
      <w:color w:val="000000"/>
      <w:szCs w:val="22"/>
      <w:lang w:bidi="en-US" w:eastAsia="de-DE"/>
    </w:rPr>
  </w:style>
  <w:style w:type="paragraph" w:styleId="MDPI35textbeforelist" w:customStyle="1">
    <w:name w:val="MDPI_3.5_text_before_list"/>
    <w:qFormat w:val="1"/>
    <w:rsid w:val="00522304"/>
    <w:pPr>
      <w:adjustRightInd w:val="0"/>
      <w:snapToGrid w:val="0"/>
      <w:spacing w:line="228" w:lineRule="auto"/>
      <w:ind w:left="2608" w:firstLine="425"/>
    </w:pPr>
    <w:rPr>
      <w:snapToGrid w:val="0"/>
      <w:color w:val="000000"/>
      <w:szCs w:val="22"/>
      <w:lang w:bidi="en-US" w:eastAsia="de-DE"/>
    </w:rPr>
  </w:style>
  <w:style w:type="paragraph" w:styleId="MDPI36textafterlist" w:customStyle="1">
    <w:name w:val="MDPI_3.6_text_after_list"/>
    <w:qFormat w:val="1"/>
    <w:rsid w:val="00522304"/>
    <w:pPr>
      <w:adjustRightInd w:val="0"/>
      <w:snapToGrid w:val="0"/>
      <w:spacing w:before="120" w:line="228" w:lineRule="auto"/>
      <w:ind w:left="2608"/>
    </w:pPr>
    <w:rPr>
      <w:snapToGrid w:val="0"/>
      <w:color w:val="000000"/>
      <w:szCs w:val="22"/>
      <w:lang w:bidi="en-US" w:eastAsia="de-DE"/>
    </w:rPr>
  </w:style>
  <w:style w:type="paragraph" w:styleId="MDPI37itemize" w:customStyle="1">
    <w:name w:val="MDPI_3.7_itemize"/>
    <w:qFormat w:val="1"/>
    <w:rsid w:val="00510707"/>
    <w:pPr>
      <w:numPr>
        <w:numId w:val="2"/>
      </w:numPr>
      <w:adjustRightInd w:val="0"/>
      <w:snapToGrid w:val="0"/>
      <w:spacing w:line="228" w:lineRule="auto"/>
    </w:pPr>
    <w:rPr>
      <w:color w:val="000000"/>
      <w:szCs w:val="22"/>
      <w:lang w:bidi="en-US" w:eastAsia="de-DE"/>
    </w:rPr>
  </w:style>
  <w:style w:type="paragraph" w:styleId="MDPI38bullet" w:customStyle="1">
    <w:name w:val="MDPI_3.8_bullet"/>
    <w:qFormat w:val="1"/>
    <w:rsid w:val="00510707"/>
    <w:pPr>
      <w:tabs>
        <w:tab w:val="num" w:pos="720"/>
      </w:tabs>
      <w:adjustRightInd w:val="0"/>
      <w:snapToGrid w:val="0"/>
      <w:spacing w:line="228" w:lineRule="auto"/>
      <w:ind w:left="720" w:hanging="720"/>
    </w:pPr>
    <w:rPr>
      <w:color w:val="000000"/>
      <w:szCs w:val="22"/>
      <w:lang w:bidi="en-US" w:eastAsia="de-DE"/>
    </w:rPr>
  </w:style>
  <w:style w:type="paragraph" w:styleId="MDPI39equation" w:customStyle="1">
    <w:name w:val="MDPI_3.9_equation"/>
    <w:qFormat w:val="1"/>
    <w:rsid w:val="00522304"/>
    <w:pPr>
      <w:adjustRightInd w:val="0"/>
      <w:snapToGrid w:val="0"/>
      <w:spacing w:after="120" w:before="120" w:line="260" w:lineRule="atLeast"/>
      <w:ind w:left="709"/>
      <w:jc w:val="center"/>
    </w:pPr>
    <w:rPr>
      <w:snapToGrid w:val="0"/>
      <w:color w:val="000000"/>
      <w:szCs w:val="22"/>
      <w:lang w:bidi="en-US" w:eastAsia="de-DE"/>
    </w:rPr>
  </w:style>
  <w:style w:type="paragraph" w:styleId="MDPI3aequationnumber" w:customStyle="1">
    <w:name w:val="MDPI_3.a_equation_number"/>
    <w:qFormat w:val="1"/>
    <w:rsid w:val="00522304"/>
    <w:pPr>
      <w:spacing w:after="120" w:before="120"/>
      <w:jc w:val="right"/>
    </w:pPr>
    <w:rPr>
      <w:snapToGrid w:val="0"/>
      <w:color w:val="000000"/>
      <w:szCs w:val="22"/>
      <w:lang w:bidi="en-US" w:eastAsia="de-DE"/>
    </w:rPr>
  </w:style>
  <w:style w:type="paragraph" w:styleId="MDPI41tablecaption" w:customStyle="1">
    <w:name w:val="MDPI_4.1_table_caption"/>
    <w:qFormat w:val="1"/>
    <w:rsid w:val="00522304"/>
    <w:pPr>
      <w:adjustRightInd w:val="0"/>
      <w:snapToGrid w:val="0"/>
      <w:spacing w:after="120" w:before="240" w:line="228" w:lineRule="auto"/>
      <w:ind w:left="2608"/>
    </w:pPr>
    <w:rPr>
      <w:rFonts w:cs="Cordia New"/>
      <w:color w:val="000000"/>
      <w:sz w:val="18"/>
      <w:szCs w:val="22"/>
      <w:lang w:bidi="en-US" w:eastAsia="de-DE"/>
    </w:rPr>
  </w:style>
  <w:style w:type="paragraph" w:styleId="MDPI42tablebody" w:customStyle="1">
    <w:name w:val="MDPI_4.2_table_body"/>
    <w:qFormat w:val="1"/>
    <w:rsid w:val="007D1435"/>
    <w:pPr>
      <w:adjustRightInd w:val="0"/>
      <w:snapToGrid w:val="0"/>
      <w:spacing w:line="260" w:lineRule="atLeast"/>
      <w:jc w:val="center"/>
    </w:pPr>
    <w:rPr>
      <w:snapToGrid w:val="0"/>
      <w:color w:val="000000"/>
      <w:lang w:bidi="en-US" w:eastAsia="de-DE"/>
    </w:rPr>
  </w:style>
  <w:style w:type="paragraph" w:styleId="MDPI43tablefooter" w:customStyle="1">
    <w:name w:val="MDPI_4.3_table_footer"/>
    <w:next w:val="MDPI31text"/>
    <w:qFormat w:val="1"/>
    <w:rsid w:val="00522304"/>
    <w:pPr>
      <w:adjustRightInd w:val="0"/>
      <w:snapToGrid w:val="0"/>
      <w:spacing w:line="228" w:lineRule="auto"/>
      <w:ind w:left="2608"/>
    </w:pPr>
    <w:rPr>
      <w:rFonts w:cs="Cordia New"/>
      <w:color w:val="000000"/>
      <w:sz w:val="18"/>
      <w:szCs w:val="22"/>
      <w:lang w:bidi="en-US" w:eastAsia="de-DE"/>
    </w:rPr>
  </w:style>
  <w:style w:type="paragraph" w:styleId="MDPI51figurecaption" w:customStyle="1">
    <w:name w:val="MDPI_5.1_figure_caption"/>
    <w:qFormat w:val="1"/>
    <w:rsid w:val="00522304"/>
    <w:pPr>
      <w:adjustRightInd w:val="0"/>
      <w:snapToGrid w:val="0"/>
      <w:spacing w:after="240" w:before="120" w:line="228" w:lineRule="auto"/>
      <w:ind w:left="2608"/>
    </w:pPr>
    <w:rPr>
      <w:color w:val="000000"/>
      <w:sz w:val="18"/>
      <w:lang w:bidi="en-US" w:eastAsia="de-DE"/>
    </w:rPr>
  </w:style>
  <w:style w:type="paragraph" w:styleId="MDPI52figure" w:customStyle="1">
    <w:name w:val="MDPI_5.2_figure"/>
    <w:qFormat w:val="1"/>
    <w:rsid w:val="00522304"/>
    <w:pPr>
      <w:adjustRightInd w:val="0"/>
      <w:snapToGrid w:val="0"/>
      <w:spacing w:after="120" w:before="240"/>
      <w:jc w:val="center"/>
    </w:pPr>
    <w:rPr>
      <w:snapToGrid w:val="0"/>
      <w:color w:val="000000"/>
      <w:lang w:bidi="en-US" w:eastAsia="de-DE"/>
    </w:rPr>
  </w:style>
  <w:style w:type="paragraph" w:styleId="MDPI81theorem" w:customStyle="1">
    <w:name w:val="MDPI_8.1_theorem"/>
    <w:qFormat w:val="1"/>
    <w:rsid w:val="00522304"/>
    <w:pPr>
      <w:adjustRightInd w:val="0"/>
      <w:snapToGrid w:val="0"/>
      <w:spacing w:line="228" w:lineRule="auto"/>
      <w:ind w:left="2608"/>
    </w:pPr>
    <w:rPr>
      <w:i w:val="1"/>
      <w:snapToGrid w:val="0"/>
      <w:color w:val="000000"/>
      <w:szCs w:val="22"/>
      <w:lang w:bidi="en-US" w:eastAsia="de-DE"/>
    </w:rPr>
  </w:style>
  <w:style w:type="paragraph" w:styleId="MDPI82proof" w:customStyle="1">
    <w:name w:val="MDPI_8.2_proof"/>
    <w:qFormat w:val="1"/>
    <w:rsid w:val="00522304"/>
    <w:pPr>
      <w:adjustRightInd w:val="0"/>
      <w:snapToGrid w:val="0"/>
      <w:spacing w:line="228" w:lineRule="auto"/>
      <w:ind w:left="2608"/>
    </w:pPr>
    <w:rPr>
      <w:snapToGrid w:val="0"/>
      <w:color w:val="000000"/>
      <w:szCs w:val="22"/>
      <w:lang w:bidi="en-US" w:eastAsia="de-DE"/>
    </w:rPr>
  </w:style>
  <w:style w:type="paragraph" w:styleId="MDPIfooterfirstpage" w:customStyle="1">
    <w:name w:val="MDPI_footer_firstpage"/>
    <w:qFormat w:val="1"/>
    <w:rsid w:val="00522304"/>
    <w:pPr>
      <w:tabs>
        <w:tab w:val="right" w:pos="8845"/>
      </w:tabs>
      <w:spacing w:line="160" w:lineRule="exact"/>
    </w:pPr>
    <w:rPr>
      <w:color w:val="000000"/>
      <w:sz w:val="16"/>
      <w:lang w:eastAsia="de-DE"/>
    </w:rPr>
  </w:style>
  <w:style w:type="paragraph" w:styleId="MDPI23heading3" w:customStyle="1">
    <w:name w:val="MDPI_2.3_heading3"/>
    <w:qFormat w:val="1"/>
    <w:rsid w:val="00522304"/>
    <w:pPr>
      <w:adjustRightInd w:val="0"/>
      <w:snapToGrid w:val="0"/>
      <w:spacing w:after="60" w:before="60" w:line="228" w:lineRule="auto"/>
      <w:ind w:left="2608"/>
      <w:outlineLvl w:val="2"/>
    </w:pPr>
    <w:rPr>
      <w:snapToGrid w:val="0"/>
      <w:color w:val="000000"/>
      <w:szCs w:val="22"/>
      <w:lang w:bidi="en-US" w:eastAsia="de-DE"/>
    </w:rPr>
  </w:style>
  <w:style w:type="paragraph" w:styleId="MDPI21heading1" w:customStyle="1">
    <w:name w:val="MDPI_2.1_heading1"/>
    <w:qFormat w:val="1"/>
    <w:rsid w:val="00522304"/>
    <w:pPr>
      <w:adjustRightInd w:val="0"/>
      <w:snapToGrid w:val="0"/>
      <w:spacing w:after="60" w:before="240" w:line="228" w:lineRule="auto"/>
      <w:ind w:left="2608"/>
      <w:outlineLvl w:val="0"/>
    </w:pPr>
    <w:rPr>
      <w:b w:val="1"/>
      <w:snapToGrid w:val="0"/>
      <w:color w:val="000000"/>
      <w:szCs w:val="22"/>
      <w:lang w:bidi="en-US" w:eastAsia="de-DE"/>
    </w:rPr>
  </w:style>
  <w:style w:type="paragraph" w:styleId="MDPI22heading2" w:customStyle="1">
    <w:name w:val="MDPI_2.2_heading2"/>
    <w:qFormat w:val="1"/>
    <w:rsid w:val="00522304"/>
    <w:pPr>
      <w:adjustRightInd w:val="0"/>
      <w:snapToGrid w:val="0"/>
      <w:spacing w:after="60" w:before="60" w:line="228" w:lineRule="auto"/>
      <w:ind w:left="2608"/>
      <w:outlineLvl w:val="1"/>
    </w:pPr>
    <w:rPr>
      <w:i w:val="1"/>
      <w:noProof w:val="1"/>
      <w:snapToGrid w:val="0"/>
      <w:color w:val="000000"/>
      <w:szCs w:val="22"/>
      <w:lang w:bidi="en-US" w:eastAsia="de-DE"/>
    </w:rPr>
  </w:style>
  <w:style w:type="paragraph" w:styleId="MDPI71References" w:customStyle="1">
    <w:name w:val="MDPI_7.1_References"/>
    <w:qFormat w:val="1"/>
    <w:rsid w:val="00187A46"/>
    <w:pPr>
      <w:tabs>
        <w:tab w:val="num" w:pos="720"/>
      </w:tabs>
      <w:adjustRightInd w:val="0"/>
      <w:snapToGrid w:val="0"/>
      <w:spacing w:line="228" w:lineRule="auto"/>
      <w:ind w:left="720" w:hanging="720"/>
    </w:pPr>
    <w:rPr>
      <w:color w:val="000000"/>
      <w:sz w:val="18"/>
      <w:lang w:bidi="en-US" w:eastAsia="de-DE"/>
    </w:rPr>
  </w:style>
  <w:style w:type="paragraph" w:styleId="BalloonText">
    <w:name w:val="Balloon Text"/>
    <w:basedOn w:val="Normal"/>
    <w:link w:val="BalloonTextChar"/>
    <w:uiPriority w:val="99"/>
    <w:rsid w:val="00522304"/>
    <w:pPr>
      <w:spacing w:line="260" w:lineRule="atLeast"/>
      <w:jc w:val="both"/>
    </w:pPr>
    <w:rPr>
      <w:rFonts w:ascii="Palatino Linotype" w:cs="Tahoma" w:eastAsia="Palatino Linotype" w:hAnsi="Palatino Linotype"/>
      <w:noProof w:val="1"/>
      <w:color w:val="000000"/>
      <w:sz w:val="20"/>
      <w:szCs w:val="18"/>
      <w:lang w:eastAsia="en-US"/>
    </w:rPr>
  </w:style>
  <w:style w:type="character" w:styleId="BalloonTextChar" w:customStyle="1">
    <w:name w:val="Balloon Text Char"/>
    <w:link w:val="BalloonText"/>
    <w:uiPriority w:val="99"/>
    <w:rsid w:val="00522304"/>
    <w:rPr>
      <w:rFonts w:ascii="Palatino Linotype" w:cs="Tahoma" w:hAnsi="Palatino Linotype"/>
      <w:noProof w:val="1"/>
      <w:color w:val="000000"/>
      <w:szCs w:val="18"/>
    </w:rPr>
  </w:style>
  <w:style w:type="character" w:styleId="LineNumber">
    <w:name w:val="line number"/>
    <w:uiPriority w:val="99"/>
    <w:rsid w:val="00284BEB"/>
    <w:rPr>
      <w:rFonts w:ascii="Palatino Linotype" w:hAnsi="Palatino Linotype"/>
      <w:sz w:val="16"/>
    </w:rPr>
  </w:style>
  <w:style w:type="table" w:styleId="MDPI41threelinetable" w:customStyle="1">
    <w:name w:val="MDPI_4.1_three_line_table"/>
    <w:basedOn w:val="TableNormal"/>
    <w:uiPriority w:val="99"/>
    <w:rsid w:val="00522304"/>
    <w:pPr>
      <w:adjustRightInd w:val="0"/>
      <w:snapToGrid w:val="0"/>
      <w:jc w:val="center"/>
    </w:pPr>
    <w:rPr>
      <w:color w:val="000000"/>
    </w:rPr>
    <w:tblPr>
      <w:jc w:val="center"/>
      <w:tblBorders>
        <w:top w:color="auto" w:space="0" w:sz="8" w:val="single"/>
        <w:bottom w:color="auto" w:space="0" w:sz="8" w:val="single"/>
      </w:tblBorders>
    </w:tblPr>
    <w:trPr>
      <w:jc w:val="center"/>
    </w:trPr>
    <w:tcPr>
      <w:vAlign w:val="center"/>
    </w:tcPr>
    <w:tblStylePr w:type="firstRow">
      <w:rPr>
        <w:rFonts w:ascii="Palatino Linotype" w:hAnsi="Palatino Linotype"/>
        <w:b w:val="1"/>
        <w:i w:val="0"/>
        <w:sz w:val="20"/>
      </w:rPr>
      <w:tblPr/>
      <w:tcPr>
        <w:tcBorders>
          <w:bottom w:color="auto" w:space="0" w:sz="4" w:val="single"/>
        </w:tcBorders>
      </w:tcPr>
    </w:tblStylePr>
  </w:style>
  <w:style w:type="character" w:styleId="Hyperlink">
    <w:name w:val="Hyperlink"/>
    <w:uiPriority w:val="99"/>
    <w:rsid w:val="00522304"/>
    <w:rPr>
      <w:color w:val="0000ff"/>
      <w:u w:val="single"/>
    </w:rPr>
  </w:style>
  <w:style w:type="character" w:styleId="UnresolvedMention">
    <w:name w:val="Unresolved Mention"/>
    <w:uiPriority w:val="99"/>
    <w:semiHidden w:val="1"/>
    <w:unhideWhenUsed w:val="1"/>
    <w:rsid w:val="00C243C9"/>
    <w:rPr>
      <w:color w:val="605e5c"/>
      <w:shd w:color="auto" w:fill="e1dfdd" w:val="clear"/>
    </w:rPr>
  </w:style>
  <w:style w:type="table" w:styleId="PlainTable4">
    <w:name w:val="Plain Table 4"/>
    <w:basedOn w:val="TableNormal"/>
    <w:uiPriority w:val="44"/>
    <w:rsid w:val="00AE348C"/>
    <w:tblPr>
      <w:tblStyleRowBandSize w:val="1"/>
      <w:tblStyleColBandSize w:val="1"/>
    </w:tblPr>
    <w:tblStylePr w:type="firstRow">
      <w:rPr>
        <w:b w:val="1"/>
        <w:bCs w:val="1"/>
      </w:rPr>
    </w:tblStylePr>
    <w:tblStylePr w:type="lastRow">
      <w:rPr>
        <w:b w:val="1"/>
        <w:bCs w:val="1"/>
      </w:rPr>
    </w:tblStylePr>
    <w:tblStylePr w:type="firstCol">
      <w:rPr>
        <w:b w:val="1"/>
        <w:bCs w:val="1"/>
      </w:rPr>
    </w:tblStylePr>
    <w:tblStylePr w:type="lastCol">
      <w:rPr>
        <w:b w:val="1"/>
        <w:bCs w:val="1"/>
      </w:rPr>
    </w:tblStylePr>
    <w:tblStylePr w:type="band1Vert">
      <w:tblPr/>
      <w:tcPr>
        <w:shd w:color="auto" w:fill="f2f2f2" w:val="clear"/>
      </w:tcPr>
    </w:tblStylePr>
    <w:tblStylePr w:type="band1Horz">
      <w:tblPr/>
      <w:tcPr>
        <w:shd w:color="auto" w:fill="f2f2f2" w:val="clear"/>
      </w:tcPr>
    </w:tblStylePr>
  </w:style>
  <w:style w:type="paragraph" w:styleId="MDPI61Citation" w:customStyle="1">
    <w:name w:val="MDPI_6.1_Citation"/>
    <w:qFormat w:val="1"/>
    <w:rsid w:val="00522304"/>
    <w:pPr>
      <w:adjustRightInd w:val="0"/>
      <w:snapToGrid w:val="0"/>
      <w:spacing w:line="240" w:lineRule="atLeast"/>
      <w:ind w:right="113"/>
    </w:pPr>
    <w:rPr>
      <w:rFonts w:cs="Cordia New"/>
      <w:sz w:val="14"/>
      <w:szCs w:val="22"/>
    </w:rPr>
  </w:style>
  <w:style w:type="paragraph" w:styleId="MDPI62BackMatter" w:customStyle="1">
    <w:name w:val="MDPI_6.2_BackMatter"/>
    <w:qFormat w:val="1"/>
    <w:rsid w:val="00522304"/>
    <w:pPr>
      <w:adjustRightInd w:val="0"/>
      <w:snapToGrid w:val="0"/>
      <w:spacing w:after="120" w:line="228" w:lineRule="auto"/>
      <w:ind w:left="2608"/>
    </w:pPr>
    <w:rPr>
      <w:snapToGrid w:val="0"/>
      <w:color w:val="000000"/>
      <w:sz w:val="18"/>
      <w:lang w:bidi="en-US"/>
    </w:rPr>
  </w:style>
  <w:style w:type="paragraph" w:styleId="MDPI63Notes" w:customStyle="1">
    <w:name w:val="MDPI_6.3_Notes"/>
    <w:qFormat w:val="1"/>
    <w:rsid w:val="00522304"/>
    <w:pPr>
      <w:adjustRightInd w:val="0"/>
      <w:snapToGrid w:val="0"/>
      <w:spacing w:before="240" w:line="228" w:lineRule="auto"/>
    </w:pPr>
    <w:rPr>
      <w:snapToGrid w:val="0"/>
      <w:color w:val="000000"/>
      <w:sz w:val="18"/>
      <w:lang w:bidi="en-US"/>
    </w:rPr>
  </w:style>
  <w:style w:type="paragraph" w:styleId="MDPI15academiceditor" w:customStyle="1">
    <w:name w:val="MDPI_1.5_academic_editor"/>
    <w:qFormat w:val="1"/>
    <w:rsid w:val="0006442A"/>
    <w:pPr>
      <w:adjustRightInd w:val="0"/>
      <w:snapToGrid w:val="0"/>
      <w:spacing w:before="120" w:line="240" w:lineRule="atLeast"/>
      <w:ind w:right="113"/>
    </w:pPr>
    <w:rPr>
      <w:color w:val="000000"/>
      <w:sz w:val="14"/>
      <w:szCs w:val="22"/>
      <w:lang w:bidi="en-US" w:eastAsia="de-DE"/>
    </w:rPr>
  </w:style>
  <w:style w:type="paragraph" w:styleId="MDPI19classification" w:customStyle="1">
    <w:name w:val="MDPI_1.9_classification"/>
    <w:qFormat w:val="1"/>
    <w:rsid w:val="00522304"/>
    <w:pPr>
      <w:spacing w:before="240" w:line="260" w:lineRule="atLeast"/>
      <w:ind w:left="113"/>
    </w:pPr>
    <w:rPr>
      <w:b w:val="1"/>
      <w:color w:val="000000"/>
      <w:szCs w:val="22"/>
      <w:lang w:bidi="en-US" w:eastAsia="de-DE"/>
    </w:rPr>
  </w:style>
  <w:style w:type="paragraph" w:styleId="MDPI411onetablecaption" w:customStyle="1">
    <w:name w:val="MDPI_4.1.1_one_table_caption"/>
    <w:qFormat w:val="1"/>
    <w:rsid w:val="00522304"/>
    <w:pPr>
      <w:adjustRightInd w:val="0"/>
      <w:snapToGrid w:val="0"/>
      <w:spacing w:after="120" w:before="240" w:line="260" w:lineRule="atLeast"/>
      <w:jc w:val="center"/>
    </w:pPr>
    <w:rPr>
      <w:rFonts w:cs="Cordia New"/>
      <w:noProof w:val="1"/>
      <w:color w:val="000000"/>
      <w:sz w:val="18"/>
      <w:szCs w:val="22"/>
      <w:lang w:bidi="en-US"/>
    </w:rPr>
  </w:style>
  <w:style w:type="paragraph" w:styleId="MDPI511onefigurecaption" w:customStyle="1">
    <w:name w:val="MDPI_5.1.1_one_figure_caption"/>
    <w:qFormat w:val="1"/>
    <w:rsid w:val="00522304"/>
    <w:pPr>
      <w:adjustRightInd w:val="0"/>
      <w:snapToGrid w:val="0"/>
      <w:spacing w:after="120" w:before="240" w:line="260" w:lineRule="atLeast"/>
      <w:jc w:val="center"/>
    </w:pPr>
    <w:rPr>
      <w:noProof w:val="1"/>
      <w:color w:val="000000"/>
      <w:sz w:val="18"/>
      <w:lang w:bidi="en-US"/>
    </w:rPr>
  </w:style>
  <w:style w:type="paragraph" w:styleId="MDPI72Copyright" w:customStyle="1">
    <w:name w:val="MDPI_7.2_Copyright"/>
    <w:qFormat w:val="1"/>
    <w:rsid w:val="0028726C"/>
    <w:pPr>
      <w:adjustRightInd w:val="0"/>
      <w:snapToGrid w:val="0"/>
      <w:spacing w:before="60" w:line="240" w:lineRule="atLeast"/>
      <w:ind w:right="113"/>
    </w:pPr>
    <w:rPr>
      <w:noProof w:val="1"/>
      <w:snapToGrid w:val="0"/>
      <w:color w:val="000000"/>
      <w:sz w:val="14"/>
      <w:lang w:eastAsia="en-GB" w:val="en-GB"/>
    </w:rPr>
  </w:style>
  <w:style w:type="paragraph" w:styleId="MDPI73CopyrightImage" w:customStyle="1">
    <w:name w:val="MDPI_7.3_CopyrightImage"/>
    <w:rsid w:val="00522304"/>
    <w:pPr>
      <w:adjustRightInd w:val="0"/>
      <w:snapToGrid w:val="0"/>
      <w:spacing w:after="100" w:line="260" w:lineRule="atLeast"/>
      <w:jc w:val="right"/>
    </w:pPr>
    <w:rPr>
      <w:color w:val="000000"/>
      <w:lang w:eastAsia="de-CH"/>
    </w:rPr>
  </w:style>
  <w:style w:type="paragraph" w:styleId="MDPIequationFram" w:customStyle="1">
    <w:name w:val="MDPI_equationFram"/>
    <w:qFormat w:val="1"/>
    <w:rsid w:val="00522304"/>
    <w:pPr>
      <w:adjustRightInd w:val="0"/>
      <w:snapToGrid w:val="0"/>
      <w:spacing w:after="120" w:before="120"/>
      <w:jc w:val="center"/>
    </w:pPr>
    <w:rPr>
      <w:snapToGrid w:val="0"/>
      <w:color w:val="000000"/>
      <w:szCs w:val="22"/>
      <w:lang w:bidi="en-US" w:eastAsia="de-DE"/>
    </w:rPr>
  </w:style>
  <w:style w:type="paragraph" w:styleId="MDPIfooter" w:customStyle="1">
    <w:name w:val="MDPI_footer"/>
    <w:qFormat w:val="1"/>
    <w:rsid w:val="00522304"/>
    <w:pPr>
      <w:adjustRightInd w:val="0"/>
      <w:snapToGrid w:val="0"/>
      <w:spacing w:before="120" w:line="260" w:lineRule="atLeast"/>
      <w:jc w:val="center"/>
    </w:pPr>
    <w:rPr>
      <w:color w:val="000000"/>
      <w:lang w:eastAsia="de-DE"/>
    </w:rPr>
  </w:style>
  <w:style w:type="paragraph" w:styleId="MDPIheader" w:customStyle="1">
    <w:name w:val="MDPI_header"/>
    <w:qFormat w:val="1"/>
    <w:rsid w:val="00522304"/>
    <w:pPr>
      <w:adjustRightInd w:val="0"/>
      <w:snapToGrid w:val="0"/>
      <w:spacing w:after="240" w:line="260" w:lineRule="atLeast"/>
    </w:pPr>
    <w:rPr>
      <w:iCs w:val="1"/>
      <w:color w:val="000000"/>
      <w:sz w:val="16"/>
      <w:lang w:eastAsia="de-DE"/>
    </w:rPr>
  </w:style>
  <w:style w:type="paragraph" w:styleId="MDPIheadercitation" w:customStyle="1">
    <w:name w:val="MDPI_header_citation"/>
    <w:rsid w:val="00522304"/>
    <w:pPr>
      <w:spacing w:after="240"/>
    </w:pPr>
    <w:rPr>
      <w:snapToGrid w:val="0"/>
      <w:color w:val="000000"/>
      <w:sz w:val="18"/>
      <w:lang w:bidi="en-US" w:eastAsia="de-DE"/>
    </w:rPr>
  </w:style>
  <w:style w:type="paragraph" w:styleId="MDPIheadermdpilogo" w:customStyle="1">
    <w:name w:val="MDPI_header_mdpi_logo"/>
    <w:qFormat w:val="1"/>
    <w:rsid w:val="00522304"/>
    <w:pPr>
      <w:adjustRightInd w:val="0"/>
      <w:snapToGrid w:val="0"/>
      <w:spacing w:line="260" w:lineRule="atLeast"/>
      <w:jc w:val="right"/>
    </w:pPr>
    <w:rPr>
      <w:color w:val="000000"/>
      <w:szCs w:val="22"/>
      <w:lang w:eastAsia="de-CH"/>
    </w:rPr>
  </w:style>
  <w:style w:type="table" w:styleId="MDPITable" w:customStyle="1">
    <w:name w:val="MDPI_Table"/>
    <w:basedOn w:val="TableNormal"/>
    <w:uiPriority w:val="99"/>
    <w:rsid w:val="00522304"/>
    <w:rPr>
      <w:color w:val="000000"/>
      <w:lang w:val="en-CA"/>
    </w:rPr>
    <w:tblPr>
      <w:tblCellMar>
        <w:left w:w="0.0" w:type="dxa"/>
        <w:right w:w="0.0" w:type="dxa"/>
      </w:tblCellMar>
    </w:tblPr>
  </w:style>
  <w:style w:type="paragraph" w:styleId="MDPItext" w:customStyle="1">
    <w:name w:val="MDPI_text"/>
    <w:qFormat w:val="1"/>
    <w:rsid w:val="00522304"/>
    <w:pPr>
      <w:spacing w:line="260" w:lineRule="atLeast"/>
      <w:ind w:left="425" w:right="425" w:firstLine="284"/>
    </w:pPr>
    <w:rPr>
      <w:noProof w:val="1"/>
      <w:snapToGrid w:val="0"/>
      <w:color w:val="000000"/>
      <w:sz w:val="22"/>
      <w:szCs w:val="22"/>
      <w:lang w:bidi="en-US" w:eastAsia="de-DE"/>
    </w:rPr>
  </w:style>
  <w:style w:type="paragraph" w:styleId="MDPItitle" w:customStyle="1">
    <w:name w:val="MDPI_title"/>
    <w:qFormat w:val="1"/>
    <w:rsid w:val="00522304"/>
    <w:pPr>
      <w:adjustRightInd w:val="0"/>
      <w:snapToGrid w:val="0"/>
      <w:spacing w:after="240" w:line="260" w:lineRule="atLeast"/>
    </w:pPr>
    <w:rPr>
      <w:b w:val="1"/>
      <w:snapToGrid w:val="0"/>
      <w:color w:val="000000"/>
      <w:sz w:val="36"/>
      <w:lang w:bidi="en-US" w:eastAsia="de-DE"/>
    </w:rPr>
  </w:style>
  <w:style w:type="character" w:styleId="apple-converted-space" w:customStyle="1">
    <w:name w:val="apple-converted-space"/>
    <w:rsid w:val="00522304"/>
  </w:style>
  <w:style w:type="paragraph" w:styleId="Bibliography">
    <w:name w:val="Bibliography"/>
    <w:basedOn w:val="Normal"/>
    <w:next w:val="Normal"/>
    <w:uiPriority w:val="37"/>
    <w:semiHidden w:val="1"/>
    <w:unhideWhenUsed w:val="1"/>
    <w:rsid w:val="00522304"/>
    <w:pPr>
      <w:spacing w:line="260" w:lineRule="atLeast"/>
      <w:jc w:val="both"/>
    </w:pPr>
    <w:rPr>
      <w:rFonts w:ascii="Palatino Linotype" w:cs="Palatino Linotype" w:eastAsia="Palatino Linotype" w:hAnsi="Palatino Linotype"/>
      <w:noProof w:val="1"/>
      <w:color w:val="000000"/>
      <w:sz w:val="20"/>
      <w:szCs w:val="20"/>
      <w:lang w:eastAsia="en-US"/>
    </w:rPr>
  </w:style>
  <w:style w:type="paragraph" w:styleId="BodyText">
    <w:name w:val="Body Text"/>
    <w:link w:val="BodyTextChar"/>
    <w:rsid w:val="00522304"/>
    <w:pPr>
      <w:spacing w:after="120" w:line="340" w:lineRule="atLeast"/>
    </w:pPr>
    <w:rPr>
      <w:color w:val="000000"/>
      <w:lang w:eastAsia="de-DE"/>
    </w:rPr>
  </w:style>
  <w:style w:type="character" w:styleId="BodyTextChar" w:customStyle="1">
    <w:name w:val="Body Text Char"/>
    <w:link w:val="BodyText"/>
    <w:rsid w:val="00522304"/>
    <w:rPr>
      <w:color w:val="000000"/>
      <w:sz w:val="24"/>
      <w:lang w:eastAsia="de-DE"/>
    </w:rPr>
  </w:style>
  <w:style w:type="character" w:styleId="CommentReference">
    <w:name w:val="annotation reference"/>
    <w:rsid w:val="00522304"/>
    <w:rPr>
      <w:sz w:val="21"/>
      <w:szCs w:val="21"/>
    </w:rPr>
  </w:style>
  <w:style w:type="paragraph" w:styleId="CommentText">
    <w:name w:val="annotation text"/>
    <w:basedOn w:val="Normal"/>
    <w:link w:val="CommentTextChar"/>
    <w:rsid w:val="00522304"/>
    <w:pPr>
      <w:spacing w:line="260" w:lineRule="atLeast"/>
      <w:jc w:val="both"/>
    </w:pPr>
    <w:rPr>
      <w:rFonts w:ascii="Palatino Linotype" w:cs="Palatino Linotype" w:eastAsia="Palatino Linotype" w:hAnsi="Palatino Linotype"/>
      <w:noProof w:val="1"/>
      <w:color w:val="000000"/>
      <w:sz w:val="20"/>
      <w:szCs w:val="20"/>
      <w:lang w:eastAsia="en-US"/>
    </w:rPr>
  </w:style>
  <w:style w:type="character" w:styleId="CommentTextChar" w:customStyle="1">
    <w:name w:val="Comment Text Char"/>
    <w:link w:val="CommentText"/>
    <w:rsid w:val="00522304"/>
    <w:rPr>
      <w:rFonts w:ascii="Palatino Linotype" w:hAnsi="Palatino Linotype"/>
      <w:noProof w:val="1"/>
      <w:color w:val="000000"/>
    </w:rPr>
  </w:style>
  <w:style w:type="paragraph" w:styleId="CommentSubject">
    <w:name w:val="annotation subject"/>
    <w:basedOn w:val="CommentText"/>
    <w:next w:val="CommentText"/>
    <w:link w:val="CommentSubjectChar"/>
    <w:rsid w:val="00522304"/>
    <w:rPr>
      <w:b w:val="1"/>
      <w:bCs w:val="1"/>
    </w:rPr>
  </w:style>
  <w:style w:type="character" w:styleId="CommentSubjectChar" w:customStyle="1">
    <w:name w:val="Comment Subject Char"/>
    <w:link w:val="CommentSubject"/>
    <w:rsid w:val="00522304"/>
    <w:rPr>
      <w:rFonts w:ascii="Palatino Linotype" w:hAnsi="Palatino Linotype"/>
      <w:b w:val="1"/>
      <w:bCs w:val="1"/>
      <w:noProof w:val="1"/>
      <w:color w:val="000000"/>
    </w:rPr>
  </w:style>
  <w:style w:type="character" w:styleId="EndnoteReference">
    <w:name w:val="endnote reference"/>
    <w:rsid w:val="00522304"/>
    <w:rPr>
      <w:vertAlign w:val="superscript"/>
    </w:rPr>
  </w:style>
  <w:style w:type="paragraph" w:styleId="EndnoteText">
    <w:name w:val="endnote text"/>
    <w:basedOn w:val="Normal"/>
    <w:link w:val="EndnoteTextChar"/>
    <w:semiHidden w:val="1"/>
    <w:unhideWhenUsed w:val="1"/>
    <w:rsid w:val="00522304"/>
    <w:pPr>
      <w:jc w:val="both"/>
    </w:pPr>
    <w:rPr>
      <w:rFonts w:ascii="Palatino Linotype" w:cs="Palatino Linotype" w:eastAsia="Palatino Linotype" w:hAnsi="Palatino Linotype"/>
      <w:noProof w:val="1"/>
      <w:color w:val="000000"/>
      <w:sz w:val="20"/>
      <w:szCs w:val="20"/>
      <w:lang w:eastAsia="en-US"/>
    </w:rPr>
  </w:style>
  <w:style w:type="character" w:styleId="EndnoteTextChar" w:customStyle="1">
    <w:name w:val="Endnote Text Char"/>
    <w:link w:val="EndnoteText"/>
    <w:semiHidden w:val="1"/>
    <w:rsid w:val="00522304"/>
    <w:rPr>
      <w:rFonts w:ascii="Palatino Linotype" w:hAnsi="Palatino Linotype"/>
      <w:noProof w:val="1"/>
      <w:color w:val="000000"/>
    </w:rPr>
  </w:style>
  <w:style w:type="character" w:styleId="FollowedHyperlink">
    <w:name w:val="FollowedHyperlink"/>
    <w:rsid w:val="00522304"/>
    <w:rPr>
      <w:color w:val="954f72"/>
      <w:u w:val="single"/>
    </w:rPr>
  </w:style>
  <w:style w:type="paragraph" w:styleId="FootnoteText">
    <w:name w:val="footnote text"/>
    <w:basedOn w:val="Normal"/>
    <w:link w:val="FootnoteTextChar"/>
    <w:semiHidden w:val="1"/>
    <w:unhideWhenUsed w:val="1"/>
    <w:rsid w:val="00522304"/>
    <w:pPr>
      <w:jc w:val="both"/>
    </w:pPr>
    <w:rPr>
      <w:rFonts w:ascii="Palatino Linotype" w:cs="Palatino Linotype" w:eastAsia="Palatino Linotype" w:hAnsi="Palatino Linotype"/>
      <w:noProof w:val="1"/>
      <w:color w:val="000000"/>
      <w:sz w:val="20"/>
      <w:szCs w:val="20"/>
      <w:lang w:eastAsia="en-US"/>
    </w:rPr>
  </w:style>
  <w:style w:type="character" w:styleId="FootnoteTextChar" w:customStyle="1">
    <w:name w:val="Footnote Text Char"/>
    <w:link w:val="FootnoteText"/>
    <w:semiHidden w:val="1"/>
    <w:rsid w:val="00522304"/>
    <w:rPr>
      <w:rFonts w:ascii="Palatino Linotype" w:hAnsi="Palatino Linotype"/>
      <w:noProof w:val="1"/>
      <w:color w:val="000000"/>
    </w:rPr>
  </w:style>
  <w:style w:type="paragraph" w:styleId="NormalWeb">
    <w:name w:val="Normal (Web)"/>
    <w:basedOn w:val="Normal"/>
    <w:uiPriority w:val="99"/>
    <w:rsid w:val="00522304"/>
    <w:pPr>
      <w:spacing w:line="260" w:lineRule="atLeast"/>
      <w:jc w:val="both"/>
    </w:pPr>
    <w:rPr>
      <w:rFonts w:ascii="Palatino Linotype" w:cs="Palatino Linotype" w:eastAsia="Palatino Linotype" w:hAnsi="Palatino Linotype"/>
      <w:noProof w:val="1"/>
      <w:color w:val="000000"/>
      <w:sz w:val="20"/>
      <w:lang w:eastAsia="en-US"/>
    </w:rPr>
  </w:style>
  <w:style w:type="paragraph" w:styleId="MsoFootnoteText0" w:customStyle="1">
    <w:name w:val="MsoFootnoteText"/>
    <w:basedOn w:val="NormalWeb"/>
    <w:qFormat w:val="1"/>
    <w:rsid w:val="00522304"/>
    <w:rPr>
      <w:rFonts w:ascii="Times New Roman" w:hAnsi="Times New Roman"/>
    </w:rPr>
  </w:style>
  <w:style w:type="character" w:styleId="PageNumber">
    <w:name w:val="page number"/>
    <w:rsid w:val="00522304"/>
  </w:style>
  <w:style w:type="character" w:styleId="PlaceholderText">
    <w:name w:val="Placeholder Text"/>
    <w:uiPriority w:val="99"/>
    <w:semiHidden w:val="1"/>
    <w:rsid w:val="00522304"/>
    <w:rPr>
      <w:color w:val="808080"/>
    </w:rPr>
  </w:style>
  <w:style w:type="paragraph" w:styleId="MDPI71FootNotes" w:customStyle="1">
    <w:name w:val="MDPI_7.1_FootNotes"/>
    <w:qFormat w:val="1"/>
    <w:rsid w:val="00262314"/>
    <w:pPr>
      <w:tabs>
        <w:tab w:val="num" w:pos="720"/>
      </w:tabs>
      <w:adjustRightInd w:val="0"/>
      <w:snapToGrid w:val="0"/>
      <w:spacing w:line="228" w:lineRule="auto"/>
      <w:ind w:left="720" w:hanging="720"/>
    </w:pPr>
    <w:rPr>
      <w:rFonts w:eastAsiaTheme="minorEastAsia"/>
      <w:noProof w:val="1"/>
      <w:color w:val="000000"/>
      <w:sz w:val="18"/>
    </w:rPr>
  </w:style>
  <w:style w:type="paragraph" w:styleId="Subtitle">
    <w:name w:val="Subtitle"/>
    <w:basedOn w:val="Normal"/>
    <w:next w:val="Normal"/>
    <w:uiPriority w:val="11"/>
    <w:qFormat w:val="1"/>
    <w:pPr>
      <w:keepNext w:val="1"/>
      <w:keepLines w:val="1"/>
      <w:spacing w:after="80" w:before="360"/>
      <w:jc w:val="both"/>
    </w:pPr>
    <w:rPr>
      <w:rFonts w:ascii="Georgia" w:cs="Georgia" w:eastAsia="Georgia" w:hAnsi="Georgia"/>
      <w:i w:val="1"/>
      <w:color w:val="666666"/>
      <w:sz w:val="48"/>
      <w:szCs w:val="48"/>
      <w:lang w:eastAsia="zh-CN"/>
    </w:rPr>
  </w:style>
  <w:style w:type="table" w:styleId="14" w:customStyle="1">
    <w:name w:val="14"/>
    <w:basedOn w:val="TableNormal"/>
    <w:tblPr>
      <w:tblStyleRowBandSize w:val="1"/>
      <w:tblStyleColBandSize w:val="1"/>
      <w:tblCellMar>
        <w:left w:w="0.0" w:type="dxa"/>
        <w:right w:w="0.0" w:type="dxa"/>
      </w:tblCellMar>
    </w:tblPr>
  </w:style>
  <w:style w:type="table" w:styleId="13" w:customStyle="1">
    <w:name w:val="13"/>
    <w:basedOn w:val="TableNormal"/>
    <w:tblPr>
      <w:tblStyleRowBandSize w:val="1"/>
      <w:tblStyleColBandSize w:val="1"/>
      <w:tblCellMar>
        <w:left w:w="0.0" w:type="dxa"/>
        <w:right w:w="0.0" w:type="dxa"/>
      </w:tblCellMar>
    </w:tblPr>
  </w:style>
  <w:style w:type="table" w:styleId="12" w:customStyle="1">
    <w:name w:val="12"/>
    <w:basedOn w:val="TableNormal"/>
    <w:tblPr>
      <w:tblStyleRowBandSize w:val="1"/>
      <w:tblStyleColBandSize w:val="1"/>
      <w:tblCellMar>
        <w:left w:w="115.0" w:type="dxa"/>
        <w:right w:w="115.0" w:type="dxa"/>
      </w:tblCellMar>
    </w:tblPr>
  </w:style>
  <w:style w:type="table" w:styleId="11" w:customStyle="1">
    <w:name w:val="11"/>
    <w:basedOn w:val="TableNormal"/>
    <w:tblPr>
      <w:tblStyleRowBandSize w:val="1"/>
      <w:tblStyleColBandSize w:val="1"/>
      <w:tblCellMar>
        <w:left w:w="0.0" w:type="dxa"/>
        <w:right w:w="0.0" w:type="dxa"/>
      </w:tblCellMar>
    </w:tblPr>
  </w:style>
  <w:style w:type="table" w:styleId="10" w:customStyle="1">
    <w:name w:val="10"/>
    <w:basedOn w:val="TableNormal"/>
    <w:tblPr>
      <w:tblStyleRowBandSize w:val="1"/>
      <w:tblStyleColBandSize w:val="1"/>
      <w:tblCellMar>
        <w:left w:w="0.0" w:type="dxa"/>
        <w:right w:w="0.0" w:type="dxa"/>
      </w:tblCellMar>
    </w:tblPr>
  </w:style>
  <w:style w:type="table" w:styleId="9" w:customStyle="1">
    <w:name w:val="9"/>
    <w:basedOn w:val="TableNormal"/>
    <w:tblPr>
      <w:tblStyleRowBandSize w:val="1"/>
      <w:tblStyleColBandSize w:val="1"/>
      <w:tblCellMar>
        <w:left w:w="0.0" w:type="dxa"/>
        <w:right w:w="0.0" w:type="dxa"/>
      </w:tblCellMar>
    </w:tblPr>
  </w:style>
  <w:style w:type="table" w:styleId="8" w:customStyle="1">
    <w:name w:val="8"/>
    <w:basedOn w:val="TableNormal"/>
    <w:tblPr>
      <w:tblStyleRowBandSize w:val="1"/>
      <w:tblStyleColBandSize w:val="1"/>
      <w:tblCellMar>
        <w:left w:w="0.0" w:type="dxa"/>
        <w:right w:w="0.0" w:type="dxa"/>
      </w:tblCellMar>
    </w:tblPr>
  </w:style>
  <w:style w:type="table" w:styleId="7" w:customStyle="1">
    <w:name w:val="7"/>
    <w:basedOn w:val="TableNormal"/>
    <w:pPr>
      <w:spacing w:line="300" w:lineRule="auto"/>
      <w:jc w:val="center"/>
    </w:pPr>
    <w:rPr>
      <w:color w:val="000000"/>
    </w:rPr>
    <w:tblPr>
      <w:tblStyleRowBandSize w:val="1"/>
      <w:tblStyleColBandSize w:val="1"/>
      <w:tblCellMar>
        <w:left w:w="0.0" w:type="dxa"/>
        <w:right w:w="0.0" w:type="dxa"/>
      </w:tblCellMar>
    </w:tblPr>
    <w:tcPr>
      <w:vAlign w:val="center"/>
    </w:tcPr>
  </w:style>
  <w:style w:type="table" w:styleId="6" w:customStyle="1">
    <w:name w:val="6"/>
    <w:basedOn w:val="TableNormal"/>
    <w:pPr>
      <w:spacing w:line="300" w:lineRule="auto"/>
      <w:jc w:val="center"/>
    </w:pPr>
    <w:rPr>
      <w:color w:val="000000"/>
    </w:rPr>
    <w:tblPr>
      <w:tblStyleRowBandSize w:val="1"/>
      <w:tblStyleColBandSize w:val="1"/>
      <w:tblCellMar>
        <w:left w:w="0.0" w:type="dxa"/>
        <w:right w:w="0.0" w:type="dxa"/>
      </w:tblCellMar>
    </w:tblPr>
    <w:tcPr>
      <w:vAlign w:val="center"/>
    </w:tcPr>
  </w:style>
  <w:style w:type="table" w:styleId="5" w:customStyle="1">
    <w:name w:val="5"/>
    <w:basedOn w:val="TableNormal"/>
    <w:pPr>
      <w:spacing w:line="300" w:lineRule="auto"/>
      <w:jc w:val="center"/>
    </w:pPr>
    <w:rPr>
      <w:color w:val="000000"/>
    </w:rPr>
    <w:tblPr>
      <w:tblStyleRowBandSize w:val="1"/>
      <w:tblStyleColBandSize w:val="1"/>
      <w:tblCellMar>
        <w:left w:w="0.0" w:type="dxa"/>
        <w:right w:w="0.0" w:type="dxa"/>
      </w:tblCellMar>
    </w:tblPr>
    <w:tcPr>
      <w:vAlign w:val="center"/>
    </w:tcPr>
  </w:style>
  <w:style w:type="table" w:styleId="4" w:customStyle="1">
    <w:name w:val="4"/>
    <w:basedOn w:val="TableNormal"/>
    <w:pPr>
      <w:spacing w:line="300" w:lineRule="auto"/>
      <w:jc w:val="center"/>
    </w:pPr>
    <w:rPr>
      <w:color w:val="000000"/>
    </w:rPr>
    <w:tblPr>
      <w:tblStyleRowBandSize w:val="1"/>
      <w:tblStyleColBandSize w:val="1"/>
      <w:tblCellMar>
        <w:left w:w="0.0" w:type="dxa"/>
        <w:right w:w="0.0" w:type="dxa"/>
      </w:tblCellMar>
    </w:tblPr>
    <w:tcPr>
      <w:vAlign w:val="center"/>
    </w:tcPr>
  </w:style>
  <w:style w:type="table" w:styleId="3" w:customStyle="1">
    <w:name w:val="3"/>
    <w:basedOn w:val="TableNormal"/>
    <w:pPr>
      <w:spacing w:line="300" w:lineRule="auto"/>
      <w:jc w:val="center"/>
    </w:pPr>
    <w:rPr>
      <w:color w:val="000000"/>
    </w:rPr>
    <w:tblPr>
      <w:tblStyleRowBandSize w:val="1"/>
      <w:tblStyleColBandSize w:val="1"/>
      <w:tblCellMar>
        <w:left w:w="0.0" w:type="dxa"/>
        <w:right w:w="0.0" w:type="dxa"/>
      </w:tblCellMar>
    </w:tblPr>
    <w:tcPr>
      <w:vAlign w:val="center"/>
    </w:tcPr>
  </w:style>
  <w:style w:type="table" w:styleId="2" w:customStyle="1">
    <w:name w:val="2"/>
    <w:basedOn w:val="TableNormal"/>
    <w:pPr>
      <w:spacing w:line="300" w:lineRule="auto"/>
      <w:jc w:val="center"/>
    </w:pPr>
    <w:rPr>
      <w:color w:val="000000"/>
    </w:rPr>
    <w:tblPr>
      <w:tblStyleRowBandSize w:val="1"/>
      <w:tblStyleColBandSize w:val="1"/>
      <w:tblCellMar>
        <w:left w:w="0.0" w:type="dxa"/>
        <w:right w:w="0.0" w:type="dxa"/>
      </w:tblCellMar>
    </w:tblPr>
    <w:tcPr>
      <w:vAlign w:val="center"/>
    </w:tcPr>
  </w:style>
  <w:style w:type="table" w:styleId="1" w:customStyle="1">
    <w:name w:val="1"/>
    <w:basedOn w:val="TableNormal"/>
    <w:pPr>
      <w:spacing w:line="300" w:lineRule="auto"/>
      <w:jc w:val="center"/>
    </w:pPr>
    <w:rPr>
      <w:color w:val="000000"/>
    </w:rPr>
    <w:tblPr>
      <w:tblStyleRowBandSize w:val="1"/>
      <w:tblStyleColBandSize w:val="1"/>
      <w:tblCellMar>
        <w:left w:w="0.0" w:type="dxa"/>
        <w:right w:w="0.0" w:type="dxa"/>
      </w:tblCellMar>
    </w:tblPr>
    <w:tcPr>
      <w:vAlign w:val="center"/>
    </w:tcPr>
  </w:style>
  <w:style w:type="paragraph" w:styleId="Revision">
    <w:name w:val="Revision"/>
    <w:hidden w:val="1"/>
    <w:uiPriority w:val="99"/>
    <w:semiHidden w:val="1"/>
    <w:rsid w:val="00AA7535"/>
    <w:rPr>
      <w:noProof w:val="1"/>
      <w:color w:val="000000"/>
    </w:rPr>
  </w:style>
  <w:style w:type="table" w:styleId="a" w:customStyle="1">
    <w:basedOn w:val="TableNormal"/>
    <w:pPr>
      <w:spacing w:line="300" w:lineRule="auto"/>
      <w:jc w:val="center"/>
    </w:pPr>
    <w:rPr>
      <w:color w:val="000000"/>
    </w:rPr>
    <w:tblPr>
      <w:tblStyleRowBandSize w:val="1"/>
      <w:tblStyleColBandSize w:val="1"/>
      <w:tblCellMar>
        <w:left w:w="115.0" w:type="dxa"/>
        <w:right w:w="115.0" w:type="dxa"/>
      </w:tblCellMar>
    </w:tblPr>
    <w:tcPr>
      <w:vAlign w:val="center"/>
    </w:tcPr>
  </w:style>
  <w:style w:type="table" w:styleId="a0" w:customStyle="1">
    <w:basedOn w:val="TableNormal"/>
    <w:tblPr>
      <w:tblStyleRowBandSize w:val="1"/>
      <w:tblStyleColBandSize w:val="1"/>
      <w:tblCellMar>
        <w:top w:w="100.0" w:type="dxa"/>
        <w:left w:w="100.0" w:type="dxa"/>
        <w:bottom w:w="100.0" w:type="dxa"/>
        <w:right w:w="100.0" w:type="dxa"/>
      </w:tblCellMar>
    </w:tblPr>
  </w:style>
  <w:style w:type="table" w:styleId="a1" w:customStyle="1">
    <w:basedOn w:val="TableNormal"/>
    <w:pPr>
      <w:spacing w:line="300" w:lineRule="auto"/>
      <w:jc w:val="center"/>
    </w:pPr>
    <w:rPr>
      <w:color w:val="000000"/>
    </w:rPr>
    <w:tblPr>
      <w:tblStyleRowBandSize w:val="1"/>
      <w:tblStyleColBandSize w:val="1"/>
      <w:tblCellMar>
        <w:left w:w="115.0" w:type="dxa"/>
        <w:right w:w="115.0" w:type="dxa"/>
      </w:tblCellMar>
    </w:tblPr>
    <w:tcPr>
      <w:vAlign w:val="center"/>
    </w:tcPr>
  </w:style>
  <w:style w:type="character" w:styleId="Mention">
    <w:name w:val="Mention"/>
    <w:basedOn w:val="DefaultParagraphFont"/>
    <w:uiPriority w:val="99"/>
    <w:unhideWhenUsed w:val="1"/>
    <w:rsid w:val="004855D4"/>
    <w:rPr>
      <w:color w:val="2b579a"/>
      <w:shd w:color="auto" w:fill="e1dfdd" w:val="clear"/>
    </w:rPr>
  </w:style>
  <w:style w:type="character" w:styleId="Strong">
    <w:name w:val="Strong"/>
    <w:basedOn w:val="DefaultParagraphFont"/>
    <w:uiPriority w:val="22"/>
    <w:qFormat w:val="1"/>
    <w:rsid w:val="00FD1D51"/>
    <w:rPr>
      <w:b w:val="1"/>
      <w:bCs w:val="1"/>
    </w:rPr>
  </w:style>
  <w:style w:type="character" w:styleId="rynqvb" w:customStyle="1">
    <w:name w:val="rynqvb"/>
    <w:basedOn w:val="DefaultParagraphFont"/>
    <w:rsid w:val="005E3342"/>
  </w:style>
  <w:style w:type="character" w:styleId="Emphasis">
    <w:name w:val="Emphasis"/>
    <w:basedOn w:val="DefaultParagraphFont"/>
    <w:uiPriority w:val="20"/>
    <w:qFormat w:val="1"/>
    <w:rsid w:val="006C575D"/>
    <w:rPr>
      <w:i w:val="1"/>
      <w:iCs w:val="1"/>
    </w:rPr>
  </w:style>
  <w:style w:type="paragraph" w:styleId="ListParagraph">
    <w:name w:val="List Paragraph"/>
    <w:basedOn w:val="Normal"/>
    <w:uiPriority w:val="34"/>
    <w:qFormat w:val="1"/>
    <w:rsid w:val="00647810"/>
    <w:pPr>
      <w:ind w:left="720"/>
      <w:contextualSpacing w:val="1"/>
    </w:pPr>
    <w:rPr>
      <w:lang w:eastAsia="zh-CN"/>
    </w:rPr>
  </w:style>
  <w:style w:type="table" w:styleId="a2" w:customStyle="1">
    <w:basedOn w:val="TableNormal"/>
    <w:tblPr>
      <w:tblStyleRowBandSize w:val="1"/>
      <w:tblStyleColBandSize w:val="1"/>
      <w:tblCellMar>
        <w:left w:w="115.0" w:type="dxa"/>
        <w:right w:w="115.0" w:type="dxa"/>
      </w:tblCellMar>
    </w:tblPr>
  </w:style>
  <w:style w:type="table" w:styleId="a3" w:customStyle="1">
    <w:basedOn w:val="TableNormal"/>
    <w:tblPr>
      <w:tblStyleRowBandSize w:val="1"/>
      <w:tblStyleColBandSize w:val="1"/>
      <w:tblCellMar>
        <w:left w:w="115.0" w:type="dxa"/>
        <w:right w:w="115.0" w:type="dxa"/>
      </w:tblCellMar>
    </w:tblPr>
  </w:style>
  <w:style w:type="table" w:styleId="a4" w:customStyle="1">
    <w:basedOn w:val="TableNormal"/>
    <w:tblPr>
      <w:tblStyleRowBandSize w:val="1"/>
      <w:tblStyleColBandSize w:val="1"/>
      <w:tblCellMar>
        <w:left w:w="115.0" w:type="dxa"/>
        <w:right w:w="115.0" w:type="dxa"/>
      </w:tblCellMar>
    </w:tblPr>
  </w:style>
  <w:style w:type="table" w:styleId="a5" w:customStyle="1">
    <w:basedOn w:val="TableNormal"/>
    <w:tblPr>
      <w:tblStyleRowBandSize w:val="1"/>
      <w:tblStyleColBandSize w:val="1"/>
      <w:tblCellMar>
        <w:left w:w="70.0" w:type="dxa"/>
        <w:right w:w="70.0" w:type="dxa"/>
      </w:tblCellMar>
    </w:tblPr>
  </w:style>
  <w:style w:type="table" w:styleId="a6" w:customStyle="1">
    <w:basedOn w:val="TableNormal"/>
    <w:tblPr>
      <w:tblStyleRowBandSize w:val="1"/>
      <w:tblStyleColBandSize w:val="1"/>
      <w:tblCellMar>
        <w:left w:w="70.0" w:type="dxa"/>
        <w:right w:w="70.0" w:type="dxa"/>
      </w:tblCellMar>
    </w:tblPr>
  </w:style>
  <w:style w:type="table" w:styleId="a7" w:customStyle="1">
    <w:basedOn w:val="TableNormal"/>
    <w:tblPr>
      <w:tblStyleRowBandSize w:val="1"/>
      <w:tblStyleColBandSize w:val="1"/>
      <w:tblCellMar>
        <w:left w:w="70.0" w:type="dxa"/>
        <w:right w:w="70.0" w:type="dxa"/>
      </w:tblCellMar>
    </w:tblPr>
  </w:style>
  <w:style w:type="table" w:styleId="a8" w:customStyle="1">
    <w:basedOn w:val="TableNormal"/>
    <w:tblPr>
      <w:tblStyleRowBandSize w:val="1"/>
      <w:tblStyleColBandSize w:val="1"/>
      <w:tblCellMar>
        <w:left w:w="70.0" w:type="dxa"/>
        <w:right w:w="70.0" w:type="dxa"/>
      </w:tblCellMar>
    </w:tblPr>
  </w:style>
  <w:style w:type="table" w:styleId="a9" w:customStyle="1">
    <w:basedOn w:val="TableNormal"/>
    <w:tblPr>
      <w:tblStyleRowBandSize w:val="1"/>
      <w:tblStyleColBandSize w:val="1"/>
      <w:tblCellMar>
        <w:left w:w="70.0" w:type="dxa"/>
        <w:right w:w="70.0" w:type="dxa"/>
      </w:tblCellMar>
    </w:tblPr>
  </w:style>
  <w:style w:type="table" w:styleId="aa" w:customStyle="1">
    <w:basedOn w:val="TableNormal"/>
    <w:tblPr>
      <w:tblStyleRowBandSize w:val="1"/>
      <w:tblStyleColBandSize w:val="1"/>
      <w:tblCellMar>
        <w:left w:w="115.0" w:type="dxa"/>
        <w:right w:w="115.0" w:type="dxa"/>
      </w:tblCellMar>
    </w:tblPr>
  </w:style>
  <w:style w:type="table" w:styleId="ab" w:customStyle="1">
    <w:basedOn w:val="TableNormal"/>
    <w:tblPr>
      <w:tblStyleRowBandSize w:val="1"/>
      <w:tblStyleColBandSize w:val="1"/>
      <w:tblCellMar>
        <w:left w:w="115.0" w:type="dxa"/>
        <w:right w:w="115.0" w:type="dxa"/>
      </w:tblCellMar>
    </w:tblPr>
  </w:style>
  <w:style w:type="table" w:styleId="ac" w:customStyle="1">
    <w:basedOn w:val="TableNormal"/>
    <w:tblPr>
      <w:tblStyleRowBandSize w:val="1"/>
      <w:tblStyleColBandSize w:val="1"/>
      <w:tblCellMar>
        <w:left w:w="115.0" w:type="dxa"/>
        <w:right w:w="115.0" w:type="dxa"/>
      </w:tblCellMar>
    </w:tblPr>
  </w:style>
  <w:style w:type="table" w:styleId="ad" w:customStyle="1">
    <w:basedOn w:val="TableNormal"/>
    <w:tblPr>
      <w:tblStyleRowBandSize w:val="1"/>
      <w:tblStyleColBandSize w:val="1"/>
      <w:tblCellMar>
        <w:left w:w="115.0" w:type="dxa"/>
        <w:right w:w="115.0" w:type="dxa"/>
      </w:tblCellMar>
    </w:tblPr>
  </w:style>
  <w:style w:type="table" w:styleId="ae" w:customStyle="1">
    <w:basedOn w:val="TableNormal"/>
    <w:tblPr>
      <w:tblStyleRowBandSize w:val="1"/>
      <w:tblStyleColBandSize w:val="1"/>
      <w:tblCellMar>
        <w:left w:w="115.0" w:type="dxa"/>
        <w:right w:w="115.0" w:type="dxa"/>
      </w:tblCellMar>
    </w:tblPr>
  </w:style>
  <w:style w:type="table" w:styleId="af" w:customStyle="1">
    <w:basedOn w:val="TableNormal"/>
    <w:tblPr>
      <w:tblStyleRowBandSize w:val="1"/>
      <w:tblStyleColBandSize w:val="1"/>
      <w:tblCellMar>
        <w:left w:w="115.0" w:type="dxa"/>
        <w:right w:w="115.0" w:type="dxa"/>
      </w:tblCellMar>
    </w:tblPr>
  </w:style>
  <w:style w:type="table" w:styleId="PlainTable3">
    <w:name w:val="Plain Table 3"/>
    <w:basedOn w:val="TableNormal"/>
    <w:uiPriority w:val="43"/>
    <w:rsid w:val="00D94FB1"/>
    <w:rPr>
      <w:rFonts w:asciiTheme="minorHAnsi" w:cstheme="minorBidi" w:eastAsiaTheme="minorHAnsi" w:hAnsiTheme="minorHAnsi"/>
      <w:kern w:val="2"/>
      <w:lang w:eastAsia="en-US" w:val="pt-BR"/>
    </w:rPr>
    <w:tblPr>
      <w:tblStyleRowBandSize w:val="1"/>
      <w:tblStyleColBandSize w:val="1"/>
    </w:tblPr>
    <w:tblStylePr w:type="firstRow">
      <w:rPr>
        <w:b w:val="1"/>
        <w:bCs w:val="1"/>
        <w:caps w:val="1"/>
      </w:rPr>
      <w:tblPr/>
      <w:tcPr>
        <w:tcBorders>
          <w:bottom w:color="7f7f7f" w:space="0" w:sz="4" w:themeColor="text1" w:themeTint="000080" w:val="single"/>
        </w:tcBorders>
      </w:tcPr>
    </w:tblStylePr>
    <w:tblStylePr w:type="lastRow">
      <w:rPr>
        <w:b w:val="1"/>
        <w:bCs w:val="1"/>
        <w:caps w:val="1"/>
      </w:rPr>
      <w:tblPr/>
      <w:tcPr>
        <w:tcBorders>
          <w:top w:space="0" w:sz="0" w:val="nil"/>
        </w:tcBorders>
      </w:tcPr>
    </w:tblStylePr>
    <w:tblStylePr w:type="firstCol">
      <w:rPr>
        <w:b w:val="1"/>
        <w:bCs w:val="1"/>
        <w:caps w:val="1"/>
      </w:rPr>
      <w:tblPr/>
      <w:tcPr>
        <w:tcBorders>
          <w:right w:color="7f7f7f" w:space="0" w:sz="4" w:themeColor="text1" w:themeTint="000080" w:val="single"/>
        </w:tcBorders>
      </w:tcPr>
    </w:tblStylePr>
    <w:tblStylePr w:type="lastCol">
      <w:rPr>
        <w:b w:val="1"/>
        <w:bCs w:val="1"/>
        <w:caps w:val="1"/>
      </w:rPr>
      <w:tblPr/>
      <w:tcPr>
        <w:tcBorders>
          <w:left w:space="0" w:sz="0" w:val="nil"/>
        </w:tcBorders>
      </w:tcPr>
    </w:tblStylePr>
    <w:tblStylePr w:type="band1Vert">
      <w:tblPr/>
      <w:tcPr>
        <w:shd w:color="auto" w:fill="f2f2f2" w:themeFill="background1" w:themeFillShade="0000F2" w:val="clear"/>
      </w:tcPr>
    </w:tblStylePr>
    <w:tblStylePr w:type="band1Horz">
      <w:tblPr/>
      <w:tcPr>
        <w:shd w:color="auto" w:fill="f2f2f2" w:themeFill="background1" w:themeFillShade="0000F2" w:val="clear"/>
      </w:tcPr>
    </w:tblStylePr>
    <w:tblStylePr w:type="neCell">
      <w:tblPr/>
      <w:tcPr>
        <w:tcBorders>
          <w:left w:space="0" w:sz="0" w:val="nil"/>
        </w:tcBorders>
      </w:tcPr>
    </w:tblStylePr>
    <w:tblStylePr w:type="nwCell">
      <w:tblPr/>
      <w:tcPr>
        <w:tcBorders>
          <w:right w:space="0" w:sz="0" w:val="nil"/>
        </w:tcBorders>
      </w:tcPr>
    </w:tblStylePr>
  </w:style>
  <w:style w:type="character" w:styleId="overflow-hidden" w:customStyle="1">
    <w:name w:val="overflow-hidden"/>
    <w:basedOn w:val="DefaultParagraphFont"/>
    <w:rsid w:val="006326BD"/>
  </w:style>
  <w:style w:type="paragraph" w:styleId="Subtitle">
    <w:name w:val="Subtitle"/>
    <w:basedOn w:val="Normal"/>
    <w:next w:val="Normal"/>
    <w:pPr>
      <w:keepNext w:val="1"/>
      <w:keepLines w:val="1"/>
      <w:spacing w:after="80" w:before="360" w:lineRule="auto"/>
      <w:jc w:val="both"/>
    </w:pPr>
    <w:rPr>
      <w:rFonts w:ascii="Georgia" w:cs="Georgia" w:eastAsia="Georgia" w:hAnsi="Georgia"/>
      <w:i w:val="1"/>
      <w:color w:val="666666"/>
      <w:sz w:val="48"/>
      <w:szCs w:val="48"/>
    </w:rPr>
  </w:style>
  <w:style w:type="table" w:styleId="Table1">
    <w:basedOn w:val="TableNormal"/>
    <w:pPr>
      <w:spacing w:line="300" w:lineRule="auto"/>
      <w:jc w:val="center"/>
    </w:pPr>
    <w:rPr>
      <w:rFonts w:ascii="Calibri" w:cs="Calibri" w:eastAsia="Calibri" w:hAnsi="Calibri"/>
      <w:color w:val="000000"/>
    </w:rPr>
    <w:tblPr>
      <w:tblStyleRowBandSize w:val="1"/>
      <w:tblStyleColBandSize w:val="1"/>
      <w:tblCellMar>
        <w:top w:w="0.0" w:type="dxa"/>
        <w:left w:w="115.0" w:type="dxa"/>
        <w:bottom w:w="0.0" w:type="dxa"/>
        <w:right w:w="115.0" w:type="dxa"/>
      </w:tblCellMar>
    </w:tblPr>
    <w:tcPr>
      <w:vAlign w:val="center"/>
    </w:tcPr>
    <w:tblStylePr w:type="band1Horz">
      <w:tcPr>
        <w:shd w:fill="f2f2f2" w:val="clear"/>
      </w:tcPr>
    </w:tblStylePr>
    <w:tblStylePr w:type="band1Vert">
      <w:tcPr>
        <w:shd w:fill="f2f2f2" w:val="clear"/>
      </w:tcPr>
    </w:tblStylePr>
    <w:tblStylePr w:type="firstCol">
      <w:rPr>
        <w:b w:val="1"/>
        <w:smallCaps w:val="1"/>
      </w:rPr>
      <w:tcPr>
        <w:tcBorders>
          <w:right w:color="7f7f7f" w:space="0" w:sz="4" w:val="single"/>
        </w:tcBorders>
      </w:tcPr>
    </w:tblStylePr>
    <w:tblStylePr w:type="firstRow">
      <w:rPr>
        <w:b w:val="1"/>
        <w:smallCaps w:val="1"/>
      </w:rPr>
      <w:tcPr>
        <w:tcBorders>
          <w:bottom w:color="7f7f7f" w:space="0" w:sz="4" w:val="single"/>
        </w:tcBorders>
      </w:tcPr>
    </w:tblStylePr>
    <w:tblStylePr w:type="lastCol">
      <w:rPr>
        <w:b w:val="1"/>
        <w:smallCaps w:val="1"/>
      </w:rPr>
      <w:tcPr>
        <w:tcBorders>
          <w:left w:color="000000" w:space="0" w:sz="0" w:val="nil"/>
        </w:tcBorders>
      </w:tcPr>
    </w:tblStylePr>
    <w:tblStylePr w:type="lastRow">
      <w:rPr>
        <w:b w:val="1"/>
        <w:smallCaps w:val="1"/>
      </w:rPr>
      <w:tcPr>
        <w:tcBorders>
          <w:top w:color="000000" w:space="0" w:sz="0" w:val="nil"/>
        </w:tcBorders>
      </w:tcPr>
    </w:tblStylePr>
    <w:tblStylePr w:type="neCell">
      <w:tcPr>
        <w:tcBorders>
          <w:left w:color="000000" w:space="0" w:sz="0" w:val="nil"/>
        </w:tcBorders>
      </w:tcPr>
    </w:tblStylePr>
    <w:tblStylePr w:type="nwCell">
      <w:tcPr>
        <w:tcBorders>
          <w:right w:color="000000" w:space="0" w:sz="0" w:val="nil"/>
        </w:tcBorders>
      </w:tcPr>
    </w:tblStylePr>
  </w:style>
  <w:style w:type="table" w:styleId="Table2">
    <w:basedOn w:val="TableNormal"/>
    <w:pPr>
      <w:spacing w:line="300" w:lineRule="auto"/>
      <w:jc w:val="center"/>
    </w:pPr>
    <w:rPr>
      <w:rFonts w:ascii="Calibri" w:cs="Calibri" w:eastAsia="Calibri" w:hAnsi="Calibri"/>
      <w:color w:val="000000"/>
    </w:rPr>
    <w:tblPr>
      <w:tblStyleRowBandSize w:val="1"/>
      <w:tblStyleColBandSize w:val="1"/>
      <w:tblCellMar>
        <w:top w:w="0.0" w:type="dxa"/>
        <w:left w:w="115.0" w:type="dxa"/>
        <w:bottom w:w="0.0" w:type="dxa"/>
        <w:right w:w="115.0" w:type="dxa"/>
      </w:tblCellMar>
    </w:tblPr>
    <w:tcPr>
      <w:vAlign w:val="center"/>
    </w:tcPr>
  </w:style>
  <w:style w:type="table" w:styleId="Table3">
    <w:basedOn w:val="TableNormal"/>
    <w:pPr>
      <w:spacing w:line="300" w:lineRule="auto"/>
      <w:jc w:val="center"/>
    </w:pPr>
    <w:rPr>
      <w:rFonts w:ascii="Calibri" w:cs="Calibri" w:eastAsia="Calibri" w:hAnsi="Calibri"/>
      <w:color w:val="000000"/>
    </w:rPr>
    <w:tblPr>
      <w:tblStyleRowBandSize w:val="1"/>
      <w:tblStyleColBandSize w:val="1"/>
      <w:tblCellMar>
        <w:top w:w="0.0" w:type="dxa"/>
        <w:left w:w="115.0" w:type="dxa"/>
        <w:bottom w:w="0.0" w:type="dxa"/>
        <w:right w:w="115.0" w:type="dxa"/>
      </w:tblCellMar>
    </w:tblPr>
    <w:tcPr>
      <w:vAlign w:val="center"/>
    </w:tcPr>
  </w:style>
  <w:style w:type="table" w:styleId="Table4">
    <w:basedOn w:val="TableNormal"/>
    <w:pPr>
      <w:spacing w:line="300" w:lineRule="auto"/>
      <w:jc w:val="center"/>
    </w:pPr>
    <w:rPr>
      <w:rFonts w:ascii="Calibri" w:cs="Calibri" w:eastAsia="Calibri" w:hAnsi="Calibri"/>
      <w:color w:val="000000"/>
    </w:rPr>
    <w:tblPr>
      <w:tblStyleRowBandSize w:val="1"/>
      <w:tblStyleColBandSize w:val="1"/>
      <w:tblCellMar>
        <w:top w:w="0.0" w:type="dxa"/>
        <w:left w:w="115.0" w:type="dxa"/>
        <w:bottom w:w="0.0" w:type="dxa"/>
        <w:right w:w="115.0" w:type="dxa"/>
      </w:tblCellMar>
    </w:tblPr>
    <w:tcPr>
      <w:vAlign w:val="center"/>
    </w:tcPr>
  </w:style>
  <w:style w:type="table" w:styleId="Table5">
    <w:basedOn w:val="TableNormal"/>
    <w:pPr>
      <w:spacing w:line="300" w:lineRule="auto"/>
      <w:jc w:val="center"/>
    </w:pPr>
    <w:rPr>
      <w:rFonts w:ascii="Calibri" w:cs="Calibri" w:eastAsia="Calibri" w:hAnsi="Calibri"/>
      <w:color w:val="000000"/>
    </w:rPr>
    <w:tblPr>
      <w:tblStyleRowBandSize w:val="1"/>
      <w:tblStyleColBandSize w:val="1"/>
      <w:tblCellMar>
        <w:top w:w="0.0" w:type="dxa"/>
        <w:left w:w="115.0" w:type="dxa"/>
        <w:bottom w:w="0.0" w:type="dxa"/>
        <w:right w:w="115.0" w:type="dxa"/>
      </w:tblCellMar>
    </w:tblPr>
    <w:tcPr>
      <w:vAlign w:val="center"/>
    </w:tcPr>
  </w:style>
  <w:style w:type="table" w:styleId="Table6">
    <w:basedOn w:val="TableNormal"/>
    <w:pPr>
      <w:spacing w:line="300" w:lineRule="auto"/>
      <w:jc w:val="center"/>
    </w:pPr>
    <w:rPr>
      <w:rFonts w:ascii="Calibri" w:cs="Calibri" w:eastAsia="Calibri" w:hAnsi="Calibri"/>
      <w:color w:val="000000"/>
    </w:rPr>
    <w:tblPr>
      <w:tblStyleRowBandSize w:val="1"/>
      <w:tblStyleColBandSize w:val="1"/>
      <w:tblCellMar>
        <w:top w:w="0.0" w:type="dxa"/>
        <w:left w:w="115.0" w:type="dxa"/>
        <w:bottom w:w="0.0" w:type="dxa"/>
        <w:right w:w="115.0" w:type="dxa"/>
      </w:tblCellMar>
    </w:tblPr>
    <w:tcPr>
      <w:vAlign w:val="center"/>
    </w:tcPr>
  </w:style>
  <w:style w:type="table" w:styleId="Table7">
    <w:basedOn w:val="TableNormal"/>
    <w:pPr>
      <w:spacing w:line="300" w:lineRule="auto"/>
      <w:jc w:val="center"/>
    </w:pPr>
    <w:rPr>
      <w:rFonts w:ascii="Calibri" w:cs="Calibri" w:eastAsia="Calibri" w:hAnsi="Calibri"/>
      <w:color w:val="000000"/>
    </w:rPr>
    <w:tblPr>
      <w:tblStyleRowBandSize w:val="1"/>
      <w:tblStyleColBandSize w:val="1"/>
      <w:tblCellMar>
        <w:top w:w="0.0" w:type="dxa"/>
        <w:left w:w="115.0" w:type="dxa"/>
        <w:bottom w:w="0.0" w:type="dxa"/>
        <w:right w:w="115.0" w:type="dxa"/>
      </w:tblCellMar>
    </w:tblPr>
    <w:tcPr>
      <w:vAlign w:val="center"/>
    </w:tcPr>
  </w:style>
  <w:style w:type="table" w:styleId="Table8">
    <w:basedOn w:val="TableNormal"/>
    <w:pPr>
      <w:spacing w:line="300" w:lineRule="auto"/>
      <w:jc w:val="center"/>
    </w:pPr>
    <w:rPr>
      <w:rFonts w:ascii="Calibri" w:cs="Calibri" w:eastAsia="Calibri" w:hAnsi="Calibri"/>
      <w:color w:val="000000"/>
    </w:rPr>
    <w:tblPr>
      <w:tblStyleRowBandSize w:val="1"/>
      <w:tblStyleColBandSize w:val="1"/>
      <w:tblCellMar>
        <w:top w:w="0.0" w:type="dxa"/>
        <w:left w:w="115.0" w:type="dxa"/>
        <w:bottom w:w="0.0" w:type="dxa"/>
        <w:right w:w="115.0" w:type="dxa"/>
      </w:tblCellMar>
    </w:tblPr>
    <w:tcPr>
      <w:vAlign w:val="center"/>
    </w:tcPr>
  </w:style>
  <w:style w:type="table" w:styleId="Table9">
    <w:basedOn w:val="TableNormal"/>
    <w:tblPr>
      <w:tblStyleRowBandSize w:val="1"/>
      <w:tblStyleColBandSize w:val="1"/>
      <w:tblCellMar>
        <w:top w:w="0.0" w:type="dxa"/>
        <w:left w:w="115.0" w:type="dxa"/>
        <w:bottom w:w="0.0" w:type="dxa"/>
        <w:right w:w="115.0" w:type="dxa"/>
      </w:tblCellMar>
    </w:tblPr>
  </w:style>
</w:styles>
</file>

<file path=word/_rels/document.xml.rels><?xml version="1.0" encoding="UTF-8" standalone="yes"?><Relationships xmlns="http://schemas.openxmlformats.org/package/2006/relationships"><Relationship Id="rId20" Type="http://schemas.openxmlformats.org/officeDocument/2006/relationships/hyperlink" Target="https://doi.org/10.1111/jan.14813" TargetMode="External"/><Relationship Id="rId22" Type="http://schemas.openxmlformats.org/officeDocument/2006/relationships/hyperlink" Target="https://doi.org/10.1037/amp0000654" TargetMode="External"/><Relationship Id="rId21" Type="http://schemas.openxmlformats.org/officeDocument/2006/relationships/hyperlink" Target="https://doi.org/10.1037/amp0000654" TargetMode="External"/><Relationship Id="rId24" Type="http://schemas.openxmlformats.org/officeDocument/2006/relationships/hyperlink" Target="https://doi.org/10.2196/27039" TargetMode="External"/><Relationship Id="rId23" Type="http://schemas.openxmlformats.org/officeDocument/2006/relationships/hyperlink" Target="https://doi.org/10.2196/26590" TargetMode="External"/><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9" Type="http://schemas.openxmlformats.org/officeDocument/2006/relationships/image" Target="media/image3.png"/><Relationship Id="rId26" Type="http://schemas.openxmlformats.org/officeDocument/2006/relationships/hyperlink" Target="https://www.ihi.org" TargetMode="External"/><Relationship Id="rId25" Type="http://schemas.openxmlformats.org/officeDocument/2006/relationships/hyperlink" Target="https://doi.org/10.1007/s12160-013-9486-6" TargetMode="External"/><Relationship Id="rId28" Type="http://schemas.openxmlformats.org/officeDocument/2006/relationships/hyperlink" Target="https://doi.org/10.1080/13607863.2020.1753015" TargetMode="External"/><Relationship Id="rId27" Type="http://schemas.openxmlformats.org/officeDocument/2006/relationships/hyperlink" Target="https://doi.org/10.1080/10705500802222972" TargetMode="External"/><Relationship Id="rId5" Type="http://schemas.openxmlformats.org/officeDocument/2006/relationships/styles" Target="styles.xml"/><Relationship Id="rId6" Type="http://schemas.openxmlformats.org/officeDocument/2006/relationships/customXml" Target="../customXML/item1.xml"/><Relationship Id="rId29" Type="http://schemas.openxmlformats.org/officeDocument/2006/relationships/hyperlink" Target="https://doi.org/10.1007/s00406-011-0255-x" TargetMode="External"/><Relationship Id="rId7" Type="http://schemas.openxmlformats.org/officeDocument/2006/relationships/hyperlink" Target="mailto:DJames13@its.jnj.com" TargetMode="External"/><Relationship Id="rId8" Type="http://schemas.openxmlformats.org/officeDocument/2006/relationships/hyperlink" Target="mailto:SPaige@its.jnj.com" TargetMode="External"/><Relationship Id="rId31" Type="http://schemas.openxmlformats.org/officeDocument/2006/relationships/image" Target="media/image4.png"/><Relationship Id="rId30" Type="http://schemas.openxmlformats.org/officeDocument/2006/relationships/hyperlink" Target="https://doi.org/10.1007/s13187-015-0850-z" TargetMode="External"/><Relationship Id="rId11" Type="http://schemas.openxmlformats.org/officeDocument/2006/relationships/hyperlink" Target="https://doi.org/10.2147/LRA.S240564" TargetMode="External"/><Relationship Id="rId33" Type="http://schemas.openxmlformats.org/officeDocument/2006/relationships/header" Target="header3.xml"/><Relationship Id="rId10" Type="http://schemas.openxmlformats.org/officeDocument/2006/relationships/hyperlink" Target="https://dimagi.com/commcare/" TargetMode="External"/><Relationship Id="rId32" Type="http://schemas.openxmlformats.org/officeDocument/2006/relationships/header" Target="header2.xml"/><Relationship Id="rId13" Type="http://schemas.openxmlformats.org/officeDocument/2006/relationships/hyperlink" Target="https://doi.org/10.1186/s12889-020-09980-z" TargetMode="External"/><Relationship Id="rId35" Type="http://schemas.openxmlformats.org/officeDocument/2006/relationships/footer" Target="footer1.xml"/><Relationship Id="rId12" Type="http://schemas.openxmlformats.org/officeDocument/2006/relationships/hyperlink" Target="https://doi.org/10.3389/fpubh.2021.679397" TargetMode="External"/><Relationship Id="rId34" Type="http://schemas.openxmlformats.org/officeDocument/2006/relationships/header" Target="header1.xml"/><Relationship Id="rId15" Type="http://schemas.openxmlformats.org/officeDocument/2006/relationships/hyperlink" Target="https://chwi.jnj.com/about/global-interventions/the-resilience-collaborative/resources" TargetMode="External"/><Relationship Id="rId14" Type="http://schemas.openxmlformats.org/officeDocument/2006/relationships/hyperlink" Target="https://doi.org/10.1371/journal.pone.0238217" TargetMode="External"/><Relationship Id="rId36" Type="http://schemas.openxmlformats.org/officeDocument/2006/relationships/footer" Target="footer2.xml"/><Relationship Id="rId17" Type="http://schemas.openxmlformats.org/officeDocument/2006/relationships/hyperlink" Target="https://doi.org/10.1016/j.mayocp.2016.10.004" TargetMode="External"/><Relationship Id="rId16" Type="http://schemas.openxmlformats.org/officeDocument/2006/relationships/hyperlink" Target="https://chwi.jnj.com/about/global-interventions/the-resilience-collaborative/resources" TargetMode="External"/><Relationship Id="rId19" Type="http://schemas.openxmlformats.org/officeDocument/2006/relationships/hyperlink" Target="https://www.jnj.com/global-health-equity/driving-an-evidence-rich-strategy-to-strengthen-the-resilience-and-well-being-of-frontline-health-workers-in-east-africa" TargetMode="External"/><Relationship Id="rId18" Type="http://schemas.openxmlformats.org/officeDocument/2006/relationships/hyperlink" Target="https://trc.community/" TargetMode="External"/></Relationships>
</file>

<file path=word/_rels/fontTable.xml.rels><?xml version="1.0" encoding="UTF-8" standalone="yes"?><Relationships xmlns="http://schemas.openxmlformats.org/package/2006/relationships"><Relationship Id="rId1" Type="http://schemas.openxmlformats.org/officeDocument/2006/relationships/font" Target="fonts/PalatinoLinotype-regular.ttf"/><Relationship Id="rId2" Type="http://schemas.openxmlformats.org/officeDocument/2006/relationships/font" Target="fonts/PalatinoLinotype-bold.ttf"/><Relationship Id="rId3" Type="http://schemas.openxmlformats.org/officeDocument/2006/relationships/font" Target="fonts/PalatinoLinotype-italic.ttf"/><Relationship Id="rId4" Type="http://schemas.openxmlformats.org/officeDocument/2006/relationships/font" Target="fonts/PalatinoLinotype-boldItalic.ttf"/></Relationships>
</file>

<file path=word/_rels/header3.xml.rels><?xml version="1.0" encoding="UTF-8" standalone="yes"?><Relationships xmlns="http://schemas.openxmlformats.org/package/2006/relationships"><Relationship Id="rId1" Type="http://schemas.openxmlformats.org/officeDocument/2006/relationships/image" Target="media/image1.png"/><Relationship Id="rId2" Type="http://schemas.openxmlformats.org/officeDocument/2006/relationships/image" Target="media/image2.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go:gDocsCustomXmlDataStorage xmlns:go="http://customooxmlschemas.google.com/" xmlns:r="http://schemas.openxmlformats.org/officeDocument/2006/relationships" uri="GoogleDocsCustomDataVersion2">
  <go:docsCustomData xmlns:go="http://customooxmlschemas.google.com/" roundtripDataSignature="AMtx7mh5IZ2AZHqhg4L6ZUd1KtKYDxEZZA==">CgMxLjAyCWguMWZvYjl0ZTgAciExTkhJb05wb1BxeEJNUHVmSFhDeC12VDJfQ3dxb0FYYmQ=</go:docsCustomData>
</go:gDocsCustomXmlDataStorage>
</file>

<file path=customXML/itemProps1.xml><?xml version="1.0" encoding="utf-8"?>
<ds:datastoreItem xmlns:ds="http://schemas.openxmlformats.org/officeDocument/2006/customXml" ds:itemID="{11111111-1234-1234-1234-123412341234}">
  <ds:schemaRefs>
    <ds:schemaRef ds:uri="http://schemas.openxmlformats.org/officeDocument/2006/relationships"/>
    <ds:schemaRef ds:uri="http://customooxmlschemas.google.com/"/>
  </ds:schemaRefs>
</ds:datastoreItem>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2024-10-05T10:43:00Z</dcterms:created>
  <dc:creator>Microsoft Office User</dc:creator>
</cp:coreProperties>
</file>

<file path=docProps/custom.xml><?xml version="1.0" encoding="utf-8"?>
<Properties xmlns="http://schemas.openxmlformats.org/officeDocument/2006/custom-properties" xmlns:vt="http://schemas.openxmlformats.org/officeDocument/2006/docPropsVTypes">
  <property fmtid="{D5CDD505-2E9C-101B-9397-08002B2CF9AE}" pid="2" name="GrammarlyDocumentId">
    <vt:lpwstr>b2da7c493e7abbf06e5495ee3fe80980b397c72f3020422de168ae9dd253d3fc</vt:lpwstr>
  </property>
  <property fmtid="{D5CDD505-2E9C-101B-9397-08002B2CF9AE}" pid="3" name="ContentTypeId">
    <vt:lpwstr>0x0101001798D1BF9D80654ABAC36A3F7837E32F</vt:lpwstr>
  </property>
  <property fmtid="{D5CDD505-2E9C-101B-9397-08002B2CF9AE}" pid="4" name="MediaServiceImageTags">
    <vt:lpwstr>MediaServiceImageTags</vt:lpwstr>
  </property>
</Properties>
</file>