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9049fd679674474b9e96e252d66ba44442c2dcb"/>
    <w:p>
      <w:pPr>
        <w:pStyle w:val="Heading1"/>
      </w:pPr>
      <w:r>
        <w:t xml:space="preserve">FLOODSENSE: consortium response to the RP1 periodic review report</w:t>
      </w:r>
    </w:p>
    <w:bookmarkStart w:id="20" w:name="covering-text"/>
    <w:p>
      <w:pPr>
        <w:pStyle w:val="Heading2"/>
      </w:pPr>
      <w:r>
        <w:t xml:space="preserve">Covering text</w:t>
      </w:r>
    </w:p>
    <w:p>
      <w:pPr>
        <w:pStyle w:val="FirstParagraph"/>
      </w:pPr>
      <w:r>
        <w:t xml:space="preserve">To: [Project Officer name], [granting authority / unit]</w:t>
      </w:r>
      <w:r>
        <w:t xml:space="preserve"> </w:t>
      </w:r>
      <w:r>
        <w:t xml:space="preserve">Subject: FLOODSENSE (GA [number]): consortium observations on the RP1 review report of [review date]</w:t>
      </w:r>
    </w:p>
    <w:p>
      <w:pPr>
        <w:pStyle w:val="BodyText"/>
      </w:pPr>
      <w:r>
        <w:t xml:space="preserve">Dear [Title Surname],</w:t>
      </w:r>
    </w:p>
    <w:p>
      <w:pPr>
        <w:pStyle w:val="BodyText"/>
      </w:pPr>
      <w:r>
        <w:t xml:space="preserve">With reference to the periodic review report for reporting period 1 of FLOODSENSE (GA [number]), dated [review date], we send the consortium’s observations within the 30 days requested. We thank the reviewers for their comments.</w:t>
      </w:r>
    </w:p>
    <w:p>
      <w:pPr>
        <w:pStyle w:val="BodyText"/>
      </w:pPr>
      <w:r>
        <w:t xml:space="preserve">The report contains four comments requiring action (C1 to C4) and two recommendations (R1, R2). We accept all six. C1, C2 and C3 are addressed in a revised version of D3.2 (KPI values in Section 4, an updated deviation section, and a new data and code availability annex). C4 and R2 are addressed [now, as an annex to this response / in the RP2 periodic report: decisione del consorzio]. R1 is addressed in the RP2 periodic report. The table below gives, for each comment, our position, the change made or planned and where it can be found.</w:t>
      </w:r>
    </w:p>
    <w:p>
      <w:pPr>
        <w:pStyle w:val="BodyText"/>
      </w:pPr>
      <w:r>
        <w:t xml:space="preserve">[Revised D3.2 (version [n]) is attached / will be resubmitted by [date: decisione del consorzio].]</w:t>
      </w:r>
    </w:p>
    <w:p>
      <w:pPr>
        <w:pStyle w:val="BodyText"/>
      </w:pPr>
      <w:r>
        <w:t xml:space="preserve">[Points to discuss with the PO, if any: decisione del consorzio.]</w:t>
      </w:r>
    </w:p>
    <w:p>
      <w:pPr>
        <w:pStyle w:val="BodyText"/>
      </w:pPr>
      <w:r>
        <w:t xml:space="preserve">Kind regards,</w:t>
      </w:r>
    </w:p>
    <w:p>
      <w:pPr>
        <w:pStyle w:val="BodyText"/>
      </w:pPr>
      <w:r>
        <w:t xml:space="preserve">[Name Surname]</w:t>
      </w:r>
      <w:r>
        <w:t xml:space="preserve"> </w:t>
      </w:r>
      <w:r>
        <w:t xml:space="preserve">[Role], on behalf of the FLOODSENSE consortium</w:t>
      </w:r>
    </w:p>
    <w:bookmarkEnd w:id="20"/>
    <w:bookmarkStart w:id="21" w:name="response-table"/>
    <w:p>
      <w:pPr>
        <w:pStyle w:val="Heading2"/>
      </w:pPr>
      <w:r>
        <w:t xml:space="preserve">Response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(short 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and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Results are described in qualitative terms only. No KPI baseline or measured value is reported.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 of D3.2 will report each KPI in DoA Annex 1, Table 3.2 with baseline, target, measured value, period of measurement and source: [KPI 1: baseline, target, measured value, source], [KPI n: …]. Where a KPI has not been measured yet, we state why and when it will be.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D3.2 v[n], Section 4, KPI table [da fare]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[partner / person]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MS4 was reported as achieved in month 12 while D3.2 is submitted in month 20.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[Explanation of the relation between MS4 and D3.2: due month of D3.2 in the DoA (M[da DoA]), cause of the [n]-month gap, effect on other tasks and deliverables, corrective action. Decisione del consorzio: whether MS4 is confirmed as achieved at M12 or its status is corrected.] Section 5 is rewritten: the statement that there are no significant deviations is replaced by the description of the D3.2 delay.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D3.2 v[n], Section 5 [da fare]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[partner / person]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data and code availability annex required by the programme is missing.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add Annex I listing, for each dataset and code produced or used in D3.2: repository, DOI or persistent link, licence and access conditions. [List of datasets and code: to be provided.]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D3.2 v[n], Annex I [da fare]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[partner / person]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Dissemination activities listed in the periodic report are limited to conference participation.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[Progress against each dissemination KPI in the DoA: KPI, baseline, target, value at end of RP1, source.] [Activities other than conferences carried out in RP1, if any: publications, datasets, web, end-user events, each with audience reached, outcome and evidence.] [Corrective action for KPIs below target: decisione del consorzio.]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report RP1 [section to be confirmed] or RP2 report, dissemination section [decisione del consorzio: integrate now or in RP2]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[partner / person]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Align the reporting of task progress with the task structure of the DoA.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RP2 the technical report will describe progress task by task with the DoA codes (T[n].[n]).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RP2 periodic report, Part B Section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[WP leaders]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[RP2 report due 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Provide a risk update for the remaining periods.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will provide an update of each risk in the DoA risk table and of any new risk, with likelihood, mitigation and status. [Decisione del consorzio: send now as annex to this response, or in RP2.]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[Annex to this response / RP2 report, risk section]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[Coordinator]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</w:tbl>
    <w:bookmarkEnd w:id="21"/>
    <w:bookmarkStart w:id="22" w:name="follow-up-table-for-the-rp2-report"/>
    <w:p>
      <w:pPr>
        <w:pStyle w:val="Heading2"/>
      </w:pPr>
      <w:r>
        <w:t xml:space="preserve">Follow-up table for the RP2 report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Recommendation / 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at RP2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values in D3.2 Section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[completed / ongoing / not started, with reason]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[D3.2 v[n]]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section of D3.2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[status]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[D3.2 v[n], Section 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and code availability annex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[status]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[D3.2 v[n], Annex I]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Dissemination KPIs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[status]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[section]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Task-by-task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[status]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[RP2 Part B]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[status]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[annex or section]</w:t>
            </w:r>
          </w:p>
        </w:tc>
      </w:tr>
    </w:tbl>
    <w:bookmarkEnd w:id="22"/>
    <w:bookmarkStart w:id="23" w:name="notes-for-the-user-in-italiano"/>
    <w:p>
      <w:pPr>
        <w:pStyle w:val="Heading2"/>
      </w:pPr>
      <w:r>
        <w:t xml:space="preserve">Notes for the user (in italiano)</w:t>
      </w:r>
    </w:p>
    <w:p>
      <w:pPr>
        <w:pStyle w:val="FirstParagraph"/>
      </w:pPr>
      <w:r>
        <w:t xml:space="preserve">Decisioni del consorzio da prendere:</w:t>
      </w:r>
      <w:r>
        <w:t xml:space="preserve"> </w:t>
      </w:r>
      <w:r>
        <w:t xml:space="preserve">1. C2: MS4 è davvero raggiunta a M12? Qual è il mese di scadenza di D3.2 nella DoA e perché è stato consegnato a M20?</w:t>
      </w:r>
      <w:r>
        <w:t xml:space="preserve"> </w:t>
      </w:r>
      <w:r>
        <w:t xml:space="preserve">2. C4: integrare la disseminazione nel report RP1 adesso o nel report RP2?</w:t>
      </w:r>
      <w:r>
        <w:t xml:space="preserve"> </w:t>
      </w:r>
      <w:r>
        <w:t xml:space="preserve">3. R2: mandare l’aggiornamento dei rischi in allegato a questa risposta o nel report RP2?</w:t>
      </w:r>
      <w:r>
        <w:t xml:space="preserve"> </w:t>
      </w:r>
      <w:r>
        <w:t xml:space="preserve">4. Data di reinvio di D3.2 rivisto.</w:t>
      </w:r>
    </w:p>
    <w:p>
      <w:pPr>
        <w:pStyle w:val="BodyText"/>
      </w:pPr>
      <w:r>
        <w:t xml:space="preserve">Possibile amendment: se lo spostamento di D3.2 (o di MS4) supera quanto la DoA consente, valutare con il PO se serve un amendment.</w:t>
      </w:r>
    </w:p>
    <w:p>
      <w:pPr>
        <w:pStyle w:val="BodyText"/>
      </w:pPr>
      <w:r>
        <w:t xml:space="preserve">Assunzioni: programma non indicato nel report; formato e riferimenti (</w:t>
      </w:r>
      <w:r>
        <w:t xml:space="preserve">“</w:t>
      </w:r>
      <w:r>
        <w:t xml:space="preserve">Annex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periodic review</w:t>
      </w:r>
      <w:r>
        <w:t xml:space="preserve">”</w:t>
      </w:r>
      <w:r>
        <w:t xml:space="preserve">) sono compatibili con Horizon Europe, ma non è confermato. Mancano la DoA e il D3.2 inviato: tutte le risposte di merito sono segnaposto.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2026-10-10T11:58:24Z</dcterms:created>
  <dcterms:modified xsi:type="dcterms:W3CDTF">2026-10-10T11:58:24Z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