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GlobalFreight Inc. Vendor Proposal &amp; Commercial Response</w:t>
      </w:r>
    </w:p>
    <w:p>
      <w:r>
        <w:t>Vendor ID: GFR-2026 | Submitted for Walmart Regional Procurement</w:t>
      </w:r>
    </w:p>
    <w:p>
      <w:r>
        <w:t>GlobalFreight Inc. proposes our regional logistics services under the following modified terms.</w:t>
      </w:r>
    </w:p>
    <w:p>
      <w:pPr>
        <w:pStyle w:val="Heading2"/>
      </w:pPr>
      <w:r>
        <w:t>Section 1: Logistics &amp; Fleet Performance</w:t>
      </w:r>
    </w:p>
    <w:p>
      <w:r>
        <w:t>CLAUSE-1.1 — OTIF Delivery Commitment:</w:t>
        <w:br/>
        <w:t>GlobalFreight commits to a regional OTIF target rate of 92.0% on a monthly basis.</w:t>
      </w:r>
    </w:p>
    <w:p>
      <w:r>
        <w:t>CLAUSE-1.2 — GPS Location Updates:</w:t>
        <w:br/>
        <w:t>Vehicle location telemetry updates are logged and updated on our customer portal every 60 minutes.</w:t>
      </w:r>
    </w:p>
    <w:p>
      <w:r>
        <w:t>CLAUSE-1.3 — Cold-Chain Storage:</w:t>
        <w:br/>
        <w:t>Standard ambient and cold transport available; temperature logs recorded at daily stops.</w:t>
      </w:r>
    </w:p>
    <w:p>
      <w:pPr>
        <w:pStyle w:val="Heading2"/>
      </w:pPr>
      <w:r>
        <w:t>Section 2: Commercial Terms &amp; Payment Demands</w:t>
      </w:r>
    </w:p>
    <w:p>
      <w:r>
        <w:t>CLAUSE-2.1 — Proposed Payment Schedule:</w:t>
        <w:br/>
        <w:t>GlobalFreight requires standard Net-30 payment terms for all monthly logistics services.</w:t>
      </w:r>
    </w:p>
    <w:p>
      <w:r>
        <w:t>CLAUSE-2.2 — SLA Breach Penalty Exemption:</w:t>
        <w:br/>
        <w:t>GlobalFreight does not accept monthly financial penalties or billing deductions for weather-related delivery delays.</w:t>
      </w:r>
    </w:p>
    <w:p>
      <w:pPr>
        <w:pStyle w:val="Heading2"/>
      </w:pPr>
      <w:r>
        <w:t>Section 3: Compliance &amp; Security Access</w:t>
      </w:r>
    </w:p>
    <w:p>
      <w:r>
        <w:t>CLAUSE-3.1 — Quality Certifications:</w:t>
        <w:br/>
        <w:t>GlobalFreight maintains ISO 9001 certification. SOC 2 Type II certification is currently in progress for 2027.</w:t>
      </w:r>
    </w:p>
    <w:p>
      <w:r>
        <w:t>CLAUSE-3.2 — Facility Audit Notification:</w:t>
        <w:br/>
        <w:t>Facility inspections require a minimum of 7 business days advance written notice and approval.</w:t>
      </w:r>
    </w:p>
    <w:p>
      <w:pPr>
        <w:pStyle w:val="Heading2"/>
      </w:pPr>
      <w:r>
        <w:t>Section 4: Sustainability &amp; Fleet Innovation</w:t>
      </w:r>
    </w:p>
    <w:p>
      <w:r>
        <w:t>CLAUSE-4.1 — Zero-Emission Electric Freight Fleet:</w:t>
        <w:br/>
        <w:t>GlobalFreight operates a 100% electric delivery truck fleet across urban corridors, providing carbon-offset certificate reporting for sustainability goals.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