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Walmart Global Procurement &amp; Logistics Baseline Master Agreement</w:t>
      </w:r>
    </w:p>
    <w:p>
      <w:r>
        <w:t>Document ID: WMT-MSA-2026-BASE | Version: 3.0 | Status: Approved Baseline</w:t>
      </w:r>
    </w:p>
    <w:p>
      <w:r>
        <w:t>This document defines standard procurement specifications, supplier SLAs, compliance obligations, and payment terms for all logistics and supply chain vendors partnering with Walmart.</w:t>
      </w:r>
    </w:p>
    <w:p>
      <w:pPr>
        <w:pStyle w:val="Heading2"/>
      </w:pPr>
      <w:r>
        <w:t>Section 1: Logistics &amp; OTIF Delivery Performance</w:t>
      </w:r>
    </w:p>
    <w:p>
      <w:r>
        <w:t>Section 1 Objective: Establish mandatory delivery reliability and temperature monitoring standards for regional distribution.</w:t>
      </w:r>
    </w:p>
    <w:p>
      <w:r>
        <w:t>CLAUSE-1.1 — On-Time In-Full (OTIF) Rate:</w:t>
        <w:br/>
        <w:t>Given shipment dispatch from vendor hub, the vendor shall achieve a monthly On-Time In-Full (OTIF) delivery rate of at least 98.5% across all designated Walmart Distribution Centers.</w:t>
      </w:r>
    </w:p>
    <w:p>
      <w:r>
        <w:t>CLAUSE-1.2 — Real-Time GPS Telemetry Tracking:</w:t>
        <w:br/>
        <w:t>Given in-transit fleet operations, the vendor system shall transmit real-time GPS telemetry location updates to the Walmart Supply Chain API every 15 minutes.</w:t>
      </w:r>
    </w:p>
    <w:p>
      <w:r>
        <w:t>CLAUSE-1.3 — Cold-Chain Temperature Logging:</w:t>
        <w:br/>
        <w:t>Given refrigerated goods transport, continuous temperature logging must maintain -20°C ± 2°C with automated threshold alerts transmitted instantly upon a 1°C variance.</w:t>
      </w:r>
    </w:p>
    <w:p>
      <w:pPr>
        <w:pStyle w:val="Heading2"/>
      </w:pPr>
      <w:r>
        <w:t>Section 2: Commercial Terms &amp; Payment Terms</w:t>
      </w:r>
    </w:p>
    <w:p>
      <w:r>
        <w:t>Section 2 Objective: Define baseline commercial payment schedules and service level breach penalties.</w:t>
      </w:r>
    </w:p>
    <w:p>
      <w:r>
        <w:t>CLAUSE-2.1 — Baseline Payment Terms:</w:t>
        <w:br/>
        <w:t>Given valid invoice submission following verified receipt of goods, standard payment terms shall be Net-60 days from invoice approval.</w:t>
      </w:r>
    </w:p>
    <w:p>
      <w:r>
        <w:t>CLAUSE-2.2 — Service Level Breach Penalty:</w:t>
        <w:br/>
        <w:t>Given monthly OTIF delivery performance falling below 95.0%, Walmart reserves the right to deduct a 2.0% service penalty from total monthly billing.</w:t>
      </w:r>
    </w:p>
    <w:p>
      <w:r>
        <w:t>CLAUSE-2.3 — Early Settlement Discount:</w:t>
        <w:br/>
        <w:t>Given Walmart election for early invoice settlement, a 1.5% prompt payment discount shall apply for invoices settled within Net-15 days.</w:t>
      </w:r>
    </w:p>
    <w:p>
      <w:pPr>
        <w:pStyle w:val="Heading2"/>
      </w:pPr>
      <w:r>
        <w:t>Section 3: Regulatory Compliance &amp; Quality Audits</w:t>
      </w:r>
    </w:p>
    <w:p>
      <w:r>
        <w:t>Section 3 Objective: Ensure mandatory security certifications, quality management standards, and unannounced audit access.</w:t>
      </w:r>
    </w:p>
    <w:p>
      <w:r>
        <w:t>CLAUSE-3.1 — Security &amp; Quality Certifications:</w:t>
        <w:br/>
        <w:t>Given ongoing vendor partnership, the vendor must maintain active ISO 9001 Quality Management and SOC 2 Type II compliance certificates.</w:t>
      </w:r>
    </w:p>
    <w:p>
      <w:r>
        <w:t>CLAUSE-3.2 — Unannounced Facility Audit Access:</w:t>
        <w:br/>
        <w:t>Given compliance verification, vendor shall grant Walmart quality assurance auditors unannounced physical facility access within 24 hours written or digital notice.</w:t>
      </w:r>
    </w:p>
    <w:p>
      <w:r>
        <w:t>CLAUSE-3.3 — Audit Data Retention:</w:t>
        <w:br/>
        <w:t>Given operational logs and chain-of-custody records, all audit trail logs must be retained securely for a minimum of 7 years.</w:t>
      </w:r>
    </w:p>
    <w:p>
      <w:pPr>
        <w:pStyle w:val="Heading2"/>
      </w:pPr>
      <w:r>
        <w:t>Section 4: IT Integration &amp; Shipping Notices</w:t>
      </w:r>
    </w:p>
    <w:p>
      <w:r>
        <w:t>Section 4 Objective: Mandate electronic data interchange (EDI) standards for warehouse and inventory visibility.</w:t>
      </w:r>
    </w:p>
    <w:p>
      <w:r>
        <w:t>CLAUSE-4.1 — EDI 856 Shipping Notice Generation:</w:t>
        <w:br/>
        <w:t>Given shipment departure from vendor facility, an automated EDI 856 Advanced Shipping Notice (ASN) must be transmitted to Walmart Supply Chain Portal within 15 minutes of dispatch.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