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Startup Valuation Report</w:t>
      </w:r>
    </w:p>
    <w:p>
      <w:r>
        <w:t>This report provides an estimated valuation of the startup using the Scorecard Valuation Method, commonly applied to pre-revenue technology companies.</w:t>
      </w:r>
    </w:p>
    <w:p>
      <w:pPr>
        <w:pStyle w:val="Heading2"/>
      </w:pPr>
      <w:r>
        <w:t>Methodology</w:t>
      </w:r>
    </w:p>
    <w:p>
      <w:r>
        <w:t>The Scorecard Valuation Method starts with an average pre-seed valuation for startups in the region (assumed at $1,000,000 for this analysis). This base value is then adjusted based on key success factors, including team strength, market size, product status, competition, marketing, funding needs, and other considerations.</w:t>
      </w:r>
    </w:p>
    <w:p>
      <w:pPr>
        <w:pStyle w:val="Heading2"/>
      </w:pPr>
      <w:r>
        <w:t>Scorecard Valuation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Factor</w:t>
            </w:r>
          </w:p>
        </w:tc>
        <w:tc>
          <w:tcPr>
            <w:tcW w:type="dxa" w:w="2160"/>
          </w:tcPr>
          <w:p>
            <w:r>
              <w:t>Weight</w:t>
            </w:r>
          </w:p>
        </w:tc>
        <w:tc>
          <w:tcPr>
            <w:tcW w:type="dxa" w:w="2160"/>
          </w:tcPr>
          <w:p>
            <w:r>
              <w:t>Score vs Avg</w:t>
            </w:r>
          </w:p>
        </w:tc>
        <w:tc>
          <w:tcPr>
            <w:tcW w:type="dxa" w:w="2160"/>
          </w:tcPr>
          <w:p>
            <w:r>
              <w:t>Weighted Score</w:t>
            </w:r>
          </w:p>
        </w:tc>
      </w:tr>
      <w:tr>
        <w:tc>
          <w:tcPr>
            <w:tcW w:type="dxa" w:w="2160"/>
          </w:tcPr>
          <w:p>
            <w:r>
              <w:t>Strength of the Team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0.27</w:t>
            </w:r>
          </w:p>
        </w:tc>
      </w:tr>
      <w:tr>
        <w:tc>
          <w:tcPr>
            <w:tcW w:type="dxa" w:w="2160"/>
          </w:tcPr>
          <w:p>
            <w:r>
              <w:t>Size of the Opportunity (Market)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140%</w:t>
            </w:r>
          </w:p>
        </w:tc>
        <w:tc>
          <w:tcPr>
            <w:tcW w:type="dxa" w:w="2160"/>
          </w:tcPr>
          <w:p>
            <w:r>
              <w:t>0.35</w:t>
            </w:r>
          </w:p>
        </w:tc>
      </w:tr>
      <w:tr>
        <w:tc>
          <w:tcPr>
            <w:tcW w:type="dxa" w:w="2160"/>
          </w:tcPr>
          <w:p>
            <w:r>
              <w:t>Product / Technology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0.15</w:t>
            </w:r>
          </w:p>
        </w:tc>
      </w:tr>
      <w:tr>
        <w:tc>
          <w:tcPr>
            <w:tcW w:type="dxa" w:w="2160"/>
          </w:tcPr>
          <w:p>
            <w:r>
              <w:t>Competitive Environment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0.10</w:t>
            </w:r>
          </w:p>
        </w:tc>
      </w:tr>
      <w:tr>
        <w:tc>
          <w:tcPr>
            <w:tcW w:type="dxa" w:w="2160"/>
          </w:tcPr>
          <w:p>
            <w:r>
              <w:t>Marketing / Sales Channels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0.07</w:t>
            </w:r>
          </w:p>
        </w:tc>
      </w:tr>
      <w:tr>
        <w:tc>
          <w:tcPr>
            <w:tcW w:type="dxa" w:w="2160"/>
          </w:tcPr>
          <w:p>
            <w:r>
              <w:t>Need for Additional Investment</w:t>
            </w:r>
          </w:p>
        </w:tc>
        <w:tc>
          <w:tcPr>
            <w:tcW w:type="dxa" w:w="2160"/>
          </w:tcPr>
          <w:p>
            <w:r>
              <w:t>5%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0.045</w:t>
            </w:r>
          </w:p>
        </w:tc>
      </w:tr>
      <w:tr>
        <w:tc>
          <w:tcPr>
            <w:tcW w:type="dxa" w:w="2160"/>
          </w:tcPr>
          <w:p>
            <w:r>
              <w:t>Other Factors (IP, network, etc.)</w:t>
            </w:r>
          </w:p>
        </w:tc>
        <w:tc>
          <w:tcPr>
            <w:tcW w:type="dxa" w:w="2160"/>
          </w:tcPr>
          <w:p>
            <w:r>
              <w:t>5%</w:t>
            </w:r>
          </w:p>
        </w:tc>
        <w:tc>
          <w:tcPr>
            <w:tcW w:type="dxa" w:w="2160"/>
          </w:tcPr>
          <w:p>
            <w:r>
              <w:t>80%</w:t>
            </w:r>
          </w:p>
        </w:tc>
        <w:tc>
          <w:tcPr>
            <w:tcW w:type="dxa" w:w="2160"/>
          </w:tcPr>
          <w:p>
            <w:r>
              <w:t>0.04</w:t>
            </w:r>
          </w:p>
        </w:tc>
      </w:tr>
      <w:tr>
        <w:tc>
          <w:tcPr>
            <w:tcW w:type="dxa" w:w="2160"/>
          </w:tcPr>
          <w:p>
            <w:r>
              <w:t>Total Multiplier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1.025</w:t>
            </w:r>
          </w:p>
        </w:tc>
      </w:tr>
    </w:tbl>
    <w:p>
      <w:pPr>
        <w:pStyle w:val="Heading2"/>
      </w:pPr>
      <w:r>
        <w:t>Results</w:t>
      </w:r>
    </w:p>
    <w:p>
      <w:r>
        <w:t>Average Pre-Seed Valuation (Pakistan/Asia context): $1,000,000</w:t>
        <w:br/>
        <w:t>Total Multiplier: 1.025</w:t>
        <w:br/>
        <w:t>Estimated Valuation: $1,025,000</w:t>
      </w:r>
    </w:p>
    <w:p>
      <w:pPr>
        <w:pStyle w:val="Heading2"/>
      </w:pPr>
      <w:r>
        <w:t>Conclusion</w:t>
      </w:r>
    </w:p>
    <w:p>
      <w:r>
        <w:t>Based on the Scorecard Valuation Method, the startup is estimated to have a current pre-seed valuation in the range of $0.8M – $1.2M. This valuation primarily reflects the completed software product and potential in a large online/global market. The valuation can significantly increase with the addition of early traction, paying customers, or strategic partnerships.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